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94" w:lineRule="exact"/>
        <w:ind w:left="0" w:leftChars="0" w:firstLine="0" w:firstLineChars="0"/>
        <w:jc w:val="center"/>
        <w:textAlignment w:val="auto"/>
        <w:rPr>
          <w:rFonts w:hint="default" w:ascii="Times New Roman" w:hAnsi="Times New Roman"/>
          <w:color w:val="000000"/>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hint="eastAsia" w:eastAsia="方正小标宋_GBK" w:cs="方正小标宋_GBK"/>
          <w:b w:val="0"/>
          <w:color w:val="000000"/>
          <w:sz w:val="44"/>
          <w:szCs w:val="44"/>
          <w:lang w:eastAsia="zh-CN"/>
        </w:rPr>
      </w:pPr>
      <w:r>
        <w:rPr>
          <w:rFonts w:ascii="Times New Roman" w:hAnsi="Times New Roman" w:eastAsia="方正小标宋_GBK"/>
          <w:color w:val="000000"/>
          <w:sz w:val="44"/>
          <w:szCs w:val="44"/>
        </w:rPr>
        <w:t>关于</w:t>
      </w:r>
      <w:r>
        <w:rPr>
          <w:rFonts w:hint="eastAsia" w:eastAsia="方正小标宋_GBK" w:cs="方正小标宋_GBK"/>
          <w:b w:val="0"/>
          <w:color w:val="000000"/>
          <w:sz w:val="44"/>
          <w:szCs w:val="44"/>
          <w:lang w:eastAsia="zh-CN"/>
        </w:rPr>
        <w:t>垫江至丰都至武隆高速公路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hint="eastAsia" w:eastAsia="方正小标宋_GBK" w:cs="方正小标宋_GBK"/>
          <w:b w:val="0"/>
          <w:color w:val="000000"/>
          <w:sz w:val="44"/>
          <w:szCs w:val="44"/>
          <w:lang w:eastAsia="zh-CN"/>
        </w:rPr>
        <w:t>（垫江至丰都段）</w:t>
      </w:r>
      <w:r>
        <w:rPr>
          <w:rFonts w:hint="eastAsia" w:ascii="Times New Roman" w:hAnsi="Times New Roman" w:eastAsia="方正小标宋_GBK" w:cs="方正小标宋_GBK"/>
          <w:b w:val="0"/>
          <w:color w:val="000000"/>
          <w:sz w:val="44"/>
          <w:szCs w:val="44"/>
          <w:lang w:eastAsia="zh-CN"/>
        </w:rPr>
        <w:t>水土保持方案</w:t>
      </w:r>
      <w:r>
        <w:rPr>
          <w:rFonts w:ascii="Times New Roman" w:hAnsi="Times New Roman" w:eastAsia="方正小标宋_GBK"/>
          <w:color w:val="000000"/>
          <w:sz w:val="44"/>
          <w:szCs w:val="44"/>
        </w:rPr>
        <w:t>准予</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both"/>
        <w:textAlignment w:val="auto"/>
        <w:rPr>
          <w:rFonts w:ascii="Times New Roman" w:hAnsi="Times New Roman" w:eastAsia="方正仿宋_GBK"/>
          <w:color w:val="auto"/>
          <w:sz w:val="32"/>
          <w:szCs w:val="32"/>
        </w:rPr>
      </w:pPr>
      <w:r>
        <w:rPr>
          <w:rFonts w:hint="eastAsia" w:eastAsia="方正仿宋_GBK" w:cs="Times New Roman"/>
          <w:b w:val="0"/>
          <w:color w:val="auto"/>
          <w:sz w:val="32"/>
          <w:szCs w:val="32"/>
          <w:lang w:eastAsia="zh-CN"/>
        </w:rPr>
        <w:t>重庆成渝垫丰武高速公路有限公司</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你</w:t>
      </w:r>
      <w:r>
        <w:rPr>
          <w:rFonts w:hint="eastAsia" w:eastAsia="方正仿宋_GBK" w:cs="Times New Roman"/>
          <w:color w:val="auto"/>
          <w:sz w:val="32"/>
          <w:szCs w:val="32"/>
          <w:lang w:eastAsia="zh-CN"/>
        </w:rPr>
        <w:t>司</w:t>
      </w:r>
      <w:r>
        <w:rPr>
          <w:rFonts w:hint="default" w:ascii="Times New Roman" w:hAnsi="Times New Roman" w:eastAsia="方正仿宋_GBK" w:cs="Times New Roman"/>
          <w:color w:val="auto"/>
          <w:sz w:val="32"/>
          <w:szCs w:val="32"/>
        </w:rPr>
        <w:t>提交的</w:t>
      </w:r>
      <w:r>
        <w:rPr>
          <w:rFonts w:hint="eastAsia" w:ascii="Times New Roman" w:hAnsi="Times New Roman" w:eastAsia="方正仿宋_GBK" w:cs="Times New Roman"/>
          <w:color w:val="auto"/>
          <w:sz w:val="32"/>
          <w:szCs w:val="32"/>
          <w:lang w:eastAsia="zh-CN"/>
        </w:rPr>
        <w:t>垫江至丰都至武隆高速公路（垫江至丰都段）</w:t>
      </w:r>
      <w:r>
        <w:rPr>
          <w:rFonts w:hint="eastAsia" w:ascii="Times New Roman" w:hAnsi="Times New Roman" w:eastAsia="方正仿宋_GBK" w:cs="Times New Roman"/>
          <w:color w:val="auto"/>
          <w:sz w:val="32"/>
          <w:szCs w:val="32"/>
        </w:rPr>
        <w:t>水土保持方案</w:t>
      </w:r>
      <w:r>
        <w:rPr>
          <w:rFonts w:hint="default" w:ascii="Times New Roman" w:hAnsi="Times New Roman" w:eastAsia="方正仿宋_GBK" w:cs="Times New Roman"/>
          <w:color w:val="auto"/>
          <w:sz w:val="32"/>
          <w:szCs w:val="32"/>
        </w:rPr>
        <w:t>审批申请（项目代码：</w:t>
      </w:r>
      <w:r>
        <w:rPr>
          <w:rFonts w:hint="default" w:ascii="Times New Roman" w:hAnsi="Times New Roman" w:eastAsia="方正仿宋_GBK" w:cs="Times New Roman"/>
          <w:color w:val="auto"/>
          <w:sz w:val="32"/>
          <w:szCs w:val="32"/>
          <w:lang w:val="en-US" w:eastAsia="zh-CN"/>
        </w:rPr>
        <w:t>2020-500000-01-01-134549</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垫江至丰都至武隆高速公路（垫江至丰都段）</w:t>
      </w:r>
      <w:r>
        <w:rPr>
          <w:rFonts w:hint="eastAsia" w:ascii="Times New Roman" w:hAnsi="Times New Roman" w:eastAsia="方正仿宋_GBK" w:cs="Times New Roman"/>
          <w:color w:val="auto"/>
          <w:sz w:val="32"/>
          <w:szCs w:val="32"/>
        </w:rPr>
        <w:t>水土保持方案</w:t>
      </w:r>
      <w:r>
        <w:rPr>
          <w:rFonts w:hint="default" w:ascii="Times New Roman" w:hAnsi="Times New Roman" w:eastAsia="方正仿宋_GBK" w:cs="Times New Roman"/>
          <w:color w:val="auto"/>
          <w:sz w:val="32"/>
          <w:szCs w:val="32"/>
        </w:rPr>
        <w:t>报告书》收悉。经审查，该申请符合法定条件，根据《中华人民共和国行政许可法》第三十八条</w:t>
      </w:r>
      <w:r>
        <w:rPr>
          <w:rFonts w:hint="default" w:ascii="Times New Roman" w:hAnsi="Times New Roman" w:eastAsia="方正仿宋_GBK" w:cs="Times New Roman"/>
          <w:color w:val="auto"/>
          <w:sz w:val="32"/>
          <w:szCs w:val="32"/>
          <w:lang w:eastAsia="zh-CN"/>
        </w:rPr>
        <w:t>第一款、</w:t>
      </w:r>
      <w:r>
        <w:rPr>
          <w:rFonts w:hint="default" w:ascii="Times New Roman" w:hAnsi="Times New Roman" w:eastAsia="方正仿宋_GBK" w:cs="Times New Roman"/>
          <w:color w:val="auto"/>
          <w:sz w:val="32"/>
          <w:szCs w:val="32"/>
        </w:rPr>
        <w:t>《水行政许可实施办法》第三十二条第一项规定，决定准予行政许可。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一</w:t>
      </w:r>
      <w:r>
        <w:rPr>
          <w:rFonts w:ascii="Times New Roman" w:hAnsi="Times New Roman" w:eastAsia="方正黑体_GBK"/>
          <w:color w:val="auto"/>
          <w:sz w:val="32"/>
          <w:szCs w:val="32"/>
        </w:rPr>
        <w:t>、水土保持方案总体意见</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rPr>
        <w:t>方案编制依据的法律法规、部委规章、规范性文件、规范标准和技术文件及采用的资料基本正确。</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w:t>
      </w:r>
      <w:r>
        <w:rPr>
          <w:rFonts w:hint="eastAsia" w:eastAsia="方正仿宋_GBK" w:cs="Times New Roman"/>
          <w:color w:val="auto"/>
          <w:sz w:val="32"/>
          <w:szCs w:val="32"/>
          <w:lang w:val="en-US" w:eastAsia="zh-CN"/>
        </w:rPr>
        <w:t>9</w:t>
      </w:r>
      <w:r>
        <w:rPr>
          <w:rFonts w:hint="eastAsia" w:ascii="Times New Roman" w:hAnsi="Times New Roman" w:eastAsia="方正仿宋_GBK" w:cs="Times New Roman"/>
          <w:color w:val="auto"/>
          <w:sz w:val="32"/>
          <w:szCs w:val="32"/>
        </w:rPr>
        <w:t>年。</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（三）同意水土流失防治责任范围界定，水土流失防治责任范围面积为793.10hm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（垫江县462.37 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，丰都县330.73 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（四）同意项目水土流失防治标准等级执行西南紫色土区建设类项目一级标准。</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auto"/>
          <w:sz w:val="32"/>
          <w:szCs w:val="32"/>
        </w:rPr>
      </w:pPr>
      <w:r>
        <w:rPr>
          <w:rFonts w:hint="eastAsia" w:ascii="Times New Roman" w:hAnsi="Times New Roman" w:eastAsia="方正仿宋_GBK" w:cs="Times New Roman"/>
          <w:color w:val="auto"/>
          <w:sz w:val="32"/>
          <w:szCs w:val="32"/>
        </w:rPr>
        <w:t>（五）同意水土流失防治目标。其中：水土流失治理度97%，土壤流失控制比1.0，渣土防护率9</w:t>
      </w:r>
      <w:r>
        <w:rPr>
          <w:rFonts w:hint="eastAsia"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rPr>
        <w:t>%，表土保护率92%，林草植被恢复率97%，林草覆盖率2</w:t>
      </w:r>
      <w:r>
        <w:rPr>
          <w:rFonts w:hint="eastAsia" w:eastAsia="方正仿宋_GBK" w:cs="Times New Roman"/>
          <w:color w:val="auto"/>
          <w:sz w:val="32"/>
          <w:szCs w:val="32"/>
          <w:lang w:val="en-US" w:eastAsia="zh-CN"/>
        </w:rPr>
        <w:t>7</w:t>
      </w:r>
      <w:r>
        <w:rPr>
          <w:rFonts w:hint="eastAsia"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t>（六）基本同意水土流失</w:t>
      </w:r>
      <w:r>
        <w:rPr>
          <w:rFonts w:ascii="Times New Roman" w:hAnsi="Times New Roman" w:eastAsia="方正仿宋_GBK"/>
          <w:bCs/>
          <w:color w:val="auto"/>
          <w:sz w:val="32"/>
          <w:szCs w:val="32"/>
        </w:rPr>
        <w:t>防治分区和分区防治措施体系。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bCs/>
          <w:color w:val="auto"/>
          <w:sz w:val="32"/>
          <w:szCs w:val="32"/>
        </w:rPr>
        <w:t>（七）基本</w:t>
      </w:r>
      <w:r>
        <w:rPr>
          <w:rFonts w:ascii="Times New Roman" w:hAnsi="Times New Roman" w:eastAsia="方正仿宋_GBK"/>
          <w:bCs/>
          <w:color w:val="auto"/>
          <w:sz w:val="32"/>
          <w:szCs w:val="32"/>
        </w:rPr>
        <w:t>同意水土保持监测时段、内容和方法。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、水土保持方案投资</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bCs/>
          <w:color w:val="auto"/>
          <w:sz w:val="32"/>
          <w:szCs w:val="32"/>
          <w:lang w:bidi="ar"/>
        </w:rPr>
        <w:t>水土保持方案工程静态总投资67684.17万元，</w:t>
      </w:r>
      <w:r>
        <w:rPr>
          <w:rFonts w:hint="eastAsia" w:ascii="Times New Roman" w:hAnsi="Times New Roman" w:eastAsia="方正仿宋_GBK" w:cs="Times New Roman"/>
          <w:color w:val="auto"/>
          <w:sz w:val="32"/>
          <w:szCs w:val="32"/>
        </w:rPr>
        <w:t>其中</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rPr>
        <w:t>主体已列54296.50万元，方案新增13387.67万元</w:t>
      </w:r>
      <w:r>
        <w:rPr>
          <w:rFonts w:hint="eastAsia" w:ascii="Times New Roman" w:hAnsi="Times New Roman" w:eastAsia="方正仿宋_GBK" w:cs="Times New Roman"/>
          <w:color w:val="auto"/>
          <w:sz w:val="32"/>
          <w:szCs w:val="32"/>
          <w:lang w:eastAsia="zh-CN"/>
        </w:rPr>
        <w:t>（其中：</w:t>
      </w:r>
      <w:r>
        <w:rPr>
          <w:rFonts w:hint="eastAsia" w:ascii="Times New Roman" w:hAnsi="Times New Roman" w:eastAsia="方正仿宋_GBK" w:cs="Times New Roman"/>
          <w:color w:val="auto"/>
          <w:sz w:val="32"/>
          <w:szCs w:val="32"/>
        </w:rPr>
        <w:t>工程措施6344.87万元，植物措施110.25万元，监测措施462.74万元，</w:t>
      </w:r>
      <w:r>
        <w:rPr>
          <w:rFonts w:hint="eastAsia" w:ascii="Times New Roman" w:hAnsi="Times New Roman" w:eastAsia="方正仿宋_GBK" w:cs="Times New Roman"/>
          <w:color w:val="auto"/>
          <w:sz w:val="32"/>
          <w:szCs w:val="32"/>
          <w:lang w:eastAsia="zh-CN"/>
        </w:rPr>
        <w:t>施工</w:t>
      </w:r>
      <w:r>
        <w:rPr>
          <w:rFonts w:hint="eastAsia" w:ascii="Times New Roman" w:hAnsi="Times New Roman" w:eastAsia="方正仿宋_GBK" w:cs="Times New Roman"/>
          <w:color w:val="auto"/>
          <w:sz w:val="32"/>
          <w:szCs w:val="32"/>
        </w:rPr>
        <w:t>临时措施3551.49万元，独立费1113.04万元，预备费694.94万元，水土保持补偿费1110.34</w:t>
      </w:r>
      <w:r>
        <w:rPr>
          <w:rFonts w:hint="eastAsia" w:ascii="Times New Roman" w:hAnsi="Times New Roman" w:eastAsia="方正仿宋_GBK" w:cs="Times New Roman"/>
          <w:color w:val="auto"/>
          <w:sz w:val="32"/>
          <w:szCs w:val="32"/>
          <w:lang w:val="en-US" w:eastAsia="zh-CN"/>
        </w:rPr>
        <w:t>0</w:t>
      </w:r>
      <w:r>
        <w:rPr>
          <w:rFonts w:hint="eastAsia" w:ascii="Times New Roman" w:hAnsi="Times New Roman" w:eastAsia="方正仿宋_GBK" w:cs="Times New Roman"/>
          <w:color w:val="auto"/>
          <w:sz w:val="32"/>
          <w:szCs w:val="32"/>
        </w:rPr>
        <w:t>万元</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、工作要求</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（一）根据水土保持法律法规和规范标准，认真做好项目建设过程中水土流失防治工作，切实落实水土保持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三同时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（三）严格控制施工扰动范围，禁止随意占压破坏地貌植被。加强对施工单位的管理，在招投标文件和施工合同中明确施工单位的水土保持责任，强化奖惩制度，规范施工行为。</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（五）按照水土保持监理标准和规范开展水土保持工程施工监理，确保水土保持工程建设质量和进度。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（六）项目开工前向主管税务机关申报缴纳水土保持补偿费。</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jc w:val="both"/>
        <w:textAlignment w:val="auto"/>
        <w:rPr>
          <w:rFonts w:hint="eastAsia"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（七）本项目的地点、规模如发生重大变化，或者水土保持方案实施过程中水土保持措施发生重大变更的，应按</w:t>
      </w:r>
      <w:r>
        <w:rPr>
          <w:rFonts w:hint="eastAsia" w:ascii="Times New Roman" w:hAnsi="Times New Roman" w:eastAsia="方正仿宋_GBK"/>
          <w:snapToGrid w:val="0"/>
          <w:color w:val="auto"/>
          <w:kern w:val="0"/>
          <w:sz w:val="32"/>
          <w:szCs w:val="32"/>
        </w:rPr>
        <w:t>照“</w:t>
      </w:r>
      <w:r>
        <w:rPr>
          <w:rFonts w:hint="eastAsia" w:ascii="Times New Roman" w:hAnsi="Times New Roman" w:eastAsia="方正仿宋_GBK" w:cs="Times New Roman"/>
          <w:snapToGrid w:val="0"/>
          <w:color w:val="auto"/>
          <w:kern w:val="0"/>
          <w:sz w:val="32"/>
          <w:szCs w:val="32"/>
          <w:lang w:eastAsia="zh-CN"/>
        </w:rPr>
        <w:t>水利部第</w:t>
      </w:r>
      <w:r>
        <w:rPr>
          <w:rFonts w:hint="eastAsia" w:ascii="Times New Roman" w:hAnsi="Times New Roman" w:eastAsia="方正仿宋_GBK" w:cs="Times New Roman"/>
          <w:snapToGrid w:val="0"/>
          <w:color w:val="auto"/>
          <w:kern w:val="0"/>
          <w:sz w:val="32"/>
          <w:szCs w:val="32"/>
          <w:lang w:val="en-US" w:eastAsia="zh-CN"/>
        </w:rPr>
        <w:t>53号令</w:t>
      </w:r>
      <w:r>
        <w:rPr>
          <w:rFonts w:hint="eastAsia" w:ascii="Times New Roman" w:hAnsi="Times New Roman" w:eastAsia="方正仿宋_GBK" w:cs="Times New Roman"/>
          <w:snapToGrid w:val="0"/>
          <w:color w:val="auto"/>
          <w:kern w:val="0"/>
          <w:sz w:val="32"/>
          <w:szCs w:val="32"/>
          <w:lang w:eastAsia="zh-CN"/>
        </w:rPr>
        <w:t>”规定办理。确需</w:t>
      </w:r>
      <w:r>
        <w:rPr>
          <w:rFonts w:hint="default" w:ascii="Times New Roman" w:hAnsi="Times New Roman" w:eastAsia="方正仿宋_GBK" w:cs="Times New Roman"/>
          <w:i w:val="0"/>
          <w:caps w:val="0"/>
          <w:snapToGrid w:val="0"/>
          <w:color w:val="auto"/>
          <w:spacing w:val="0"/>
          <w:kern w:val="0"/>
          <w:sz w:val="32"/>
          <w:szCs w:val="32"/>
          <w:shd w:val="clear" w:color="auto" w:fill="auto"/>
        </w:rPr>
        <w:t>在水土保持方案确定的弃渣场以外新设弃渣场的，或者因弃渣量增加导致弃渣场等级提高的，生产建设单位应</w:t>
      </w:r>
      <w:r>
        <w:rPr>
          <w:rFonts w:hint="default" w:ascii="Times New Roman" w:hAnsi="Times New Roman" w:eastAsia="方正仿宋_GBK"/>
          <w:snapToGrid w:val="0"/>
          <w:color w:val="auto"/>
          <w:kern w:val="0"/>
          <w:sz w:val="32"/>
          <w:szCs w:val="32"/>
        </w:rPr>
        <w:t>当开展弃渣减量化、资源化论证，在弃渣前编制水土保持方案补充报告，</w:t>
      </w:r>
      <w:r>
        <w:rPr>
          <w:rFonts w:hint="default" w:ascii="Times New Roman" w:hAnsi="Times New Roman" w:eastAsia="方正仿宋_GBK"/>
          <w:snapToGrid w:val="0"/>
          <w:color w:val="auto"/>
          <w:kern w:val="0"/>
          <w:sz w:val="32"/>
          <w:szCs w:val="32"/>
          <w:lang w:eastAsia="zh-CN"/>
        </w:rPr>
        <w:t>并完成弃渣场变更审批手续</w:t>
      </w:r>
      <w:r>
        <w:rPr>
          <w:rFonts w:hint="eastAsia" w:ascii="Times New Roman" w:hAnsi="Times New Roman" w:eastAsia="方正仿宋_GBK"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（八）严格按照批准的水土保持方案和后续设计落实各项水土保持措施，合理安排施工时序和水土保持措施实施进度，严格控制施工期间水土流失。</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ascii="Times New Roman" w:hAnsi="Times New Roman" w:eastAsia="方正仿宋_GBK"/>
          <w:snapToGrid w:val="0"/>
          <w:color w:val="auto"/>
          <w:kern w:val="0"/>
          <w:sz w:val="32"/>
          <w:szCs w:val="32"/>
        </w:rPr>
      </w:pPr>
      <w:r>
        <w:rPr>
          <w:rFonts w:hint="default" w:ascii="Times New Roman" w:hAnsi="Times New Roman" w:eastAsia="方正仿宋_GBK" w:cs="Times New Roman"/>
          <w:snapToGrid w:val="0"/>
          <w:color w:val="auto"/>
          <w:kern w:val="0"/>
          <w:sz w:val="32"/>
          <w:szCs w:val="32"/>
        </w:rPr>
        <w:t>（九）</w:t>
      </w:r>
      <w:r>
        <w:rPr>
          <w:rFonts w:hint="default" w:ascii="Times New Roman" w:hAnsi="Times New Roman" w:eastAsia="方正仿宋_GBK" w:cs="Times New Roman"/>
          <w:color w:val="auto"/>
          <w:sz w:val="32"/>
          <w:szCs w:val="32"/>
        </w:rPr>
        <w:t>工程完工后、项目投产使用前应及时组织开展水土保持设施自主验收，并在水土保持设施自主验收通过3个月内，向我局报备验收材料（包括</w:t>
      </w:r>
      <w:r>
        <w:rPr>
          <w:rFonts w:hint="default" w:ascii="Times New Roman" w:hAnsi="Times New Roman" w:eastAsia="方正仿宋_GBK" w:cs="Times New Roman"/>
          <w:snapToGrid w:val="0"/>
          <w:color w:val="auto"/>
          <w:kern w:val="0"/>
          <w:sz w:val="32"/>
          <w:szCs w:val="32"/>
        </w:rPr>
        <w:t>水土保持设施验收鉴定书、水土保持设</w:t>
      </w:r>
      <w:r>
        <w:rPr>
          <w:rFonts w:ascii="Times New Roman" w:hAnsi="Times New Roman" w:eastAsia="方正仿宋_GBK"/>
          <w:snapToGrid w:val="0"/>
          <w:color w:val="auto"/>
          <w:kern w:val="0"/>
          <w:sz w:val="32"/>
          <w:szCs w:val="32"/>
        </w:rPr>
        <w:t>施验收报告和水土保持监测总结报告等）。</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ascii="Times New Roman" w:hAnsi="Times New Roman" w:eastAsia="方正仿宋_GBK"/>
          <w:snapToGrid w:val="0"/>
          <w:color w:val="auto"/>
          <w:kern w:val="0"/>
          <w:sz w:val="32"/>
          <w:szCs w:val="32"/>
        </w:rPr>
      </w:pPr>
      <w:r>
        <w:rPr>
          <w:rFonts w:ascii="Times New Roman" w:hAnsi="Times New Roman" w:eastAsia="方正仿宋_GBK"/>
          <w:snapToGrid w:val="0"/>
          <w:color w:val="auto"/>
          <w:kern w:val="0"/>
          <w:sz w:val="32"/>
          <w:szCs w:val="32"/>
        </w:rPr>
        <w:t>（十）本行政许可决定有效期为</w:t>
      </w:r>
      <w:r>
        <w:rPr>
          <w:rFonts w:hint="eastAsia" w:ascii="Times New Roman" w:hAnsi="Times New Roman" w:eastAsia="方正仿宋_GBK"/>
          <w:snapToGrid w:val="0"/>
          <w:color w:val="auto"/>
          <w:kern w:val="0"/>
          <w:sz w:val="32"/>
          <w:szCs w:val="32"/>
          <w:lang w:val="en-US" w:eastAsia="zh-CN"/>
        </w:rPr>
        <w:t>3</w:t>
      </w:r>
      <w:r>
        <w:rPr>
          <w:rFonts w:ascii="Times New Roman" w:hAnsi="Times New Roman" w:eastAsia="方正仿宋_GBK"/>
          <w:snapToGrid w:val="0"/>
          <w:color w:val="auto"/>
          <w:kern w:val="0"/>
          <w:sz w:val="32"/>
          <w:szCs w:val="32"/>
        </w:rPr>
        <w:t>年</w:t>
      </w:r>
      <w:r>
        <w:rPr>
          <w:rFonts w:hint="eastAsia" w:eastAsia="方正仿宋_GBK"/>
          <w:snapToGrid w:val="0"/>
          <w:color w:val="auto"/>
          <w:kern w:val="0"/>
          <w:sz w:val="32"/>
          <w:szCs w:val="32"/>
          <w:lang w:eastAsia="zh-CN"/>
        </w:rPr>
        <w:t>。</w:t>
      </w:r>
      <w:r>
        <w:rPr>
          <w:rFonts w:hint="eastAsia" w:ascii="Times New Roman" w:hAnsi="Times New Roman" w:eastAsia="方正仿宋_GBK"/>
          <w:snapToGrid w:val="0"/>
          <w:color w:val="auto"/>
          <w:kern w:val="0"/>
          <w:sz w:val="32"/>
          <w:szCs w:val="32"/>
          <w:lang w:eastAsia="zh-CN"/>
        </w:rPr>
        <w:t>水土保持方案</w:t>
      </w:r>
      <w:r>
        <w:rPr>
          <w:rFonts w:ascii="Times New Roman" w:hAnsi="Times New Roman" w:eastAsia="方正仿宋_GBK"/>
          <w:snapToGrid w:val="0"/>
          <w:color w:val="auto"/>
          <w:kern w:val="0"/>
          <w:sz w:val="32"/>
          <w:szCs w:val="32"/>
        </w:rPr>
        <w:t>自</w:t>
      </w:r>
      <w:r>
        <w:rPr>
          <w:rFonts w:hint="eastAsia" w:ascii="Times New Roman" w:hAnsi="Times New Roman" w:eastAsia="方正仿宋_GBK"/>
          <w:snapToGrid w:val="0"/>
          <w:color w:val="auto"/>
          <w:kern w:val="0"/>
          <w:sz w:val="32"/>
          <w:szCs w:val="32"/>
          <w:lang w:val="en-US" w:eastAsia="zh-CN"/>
        </w:rPr>
        <w:t>批准之</w:t>
      </w:r>
      <w:r>
        <w:rPr>
          <w:rFonts w:ascii="Times New Roman" w:hAnsi="Times New Roman" w:eastAsia="方正仿宋_GBK"/>
          <w:snapToGrid w:val="0"/>
          <w:color w:val="auto"/>
          <w:kern w:val="0"/>
          <w:sz w:val="32"/>
          <w:szCs w:val="32"/>
        </w:rPr>
        <w:t>日起</w:t>
      </w:r>
      <w:r>
        <w:rPr>
          <w:rFonts w:hint="eastAsia" w:ascii="Times New Roman" w:hAnsi="Times New Roman" w:eastAsia="方正仿宋_GBK"/>
          <w:snapToGrid w:val="0"/>
          <w:color w:val="auto"/>
          <w:kern w:val="0"/>
          <w:sz w:val="32"/>
          <w:szCs w:val="32"/>
          <w:lang w:eastAsia="zh-CN"/>
        </w:rPr>
        <w:t>满</w:t>
      </w:r>
      <w:r>
        <w:rPr>
          <w:rFonts w:hint="eastAsia" w:ascii="Times New Roman" w:hAnsi="Times New Roman" w:eastAsia="方正仿宋_GBK"/>
          <w:snapToGrid w:val="0"/>
          <w:color w:val="auto"/>
          <w:kern w:val="0"/>
          <w:sz w:val="32"/>
          <w:szCs w:val="32"/>
          <w:lang w:val="en-US" w:eastAsia="zh-CN"/>
        </w:rPr>
        <w:t>3年，生产建设项目方开工建设的，其水土保持方案</w:t>
      </w:r>
      <w:r>
        <w:rPr>
          <w:rFonts w:hint="eastAsia" w:eastAsia="方正仿宋_GBK"/>
          <w:snapToGrid w:val="0"/>
          <w:color w:val="auto"/>
          <w:kern w:val="0"/>
          <w:sz w:val="32"/>
          <w:szCs w:val="32"/>
          <w:lang w:val="en-US" w:eastAsia="zh-CN"/>
        </w:rPr>
        <w:t>开工建设前</w:t>
      </w:r>
      <w:r>
        <w:rPr>
          <w:rFonts w:hint="eastAsia" w:ascii="Times New Roman" w:hAnsi="Times New Roman" w:eastAsia="方正仿宋_GBK"/>
          <w:snapToGrid w:val="0"/>
          <w:color w:val="auto"/>
          <w:kern w:val="0"/>
          <w:sz w:val="32"/>
          <w:szCs w:val="32"/>
          <w:lang w:val="en-US" w:eastAsia="zh-CN"/>
        </w:rPr>
        <w:t>报我局重新审核</w:t>
      </w:r>
      <w:r>
        <w:rPr>
          <w:rFonts w:ascii="Times New Roman" w:hAnsi="Times New Roman" w:eastAsia="方正仿宋_GBK"/>
          <w:snapToGrid w:val="0"/>
          <w:color w:val="auto"/>
          <w:kern w:val="0"/>
          <w:sz w:val="32"/>
          <w:szCs w:val="32"/>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1918" w:leftChars="228" w:right="0" w:hanging="1280" w:hangingChars="4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附件：1</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bCs/>
          <w:color w:val="auto"/>
          <w:sz w:val="32"/>
          <w:szCs w:val="32"/>
          <w:lang w:eastAsia="zh-CN"/>
        </w:rPr>
        <w:t>垫江至丰都至武隆高速公路（垫江至丰都段）</w:t>
      </w:r>
      <w:r>
        <w:rPr>
          <w:rFonts w:hint="eastAsia" w:ascii="Times New Roman" w:hAnsi="Times New Roman" w:eastAsia="方正仿宋_GBK" w:cs="方正仿宋_GBK"/>
          <w:bCs/>
          <w:color w:val="auto"/>
          <w:spacing w:val="-11"/>
          <w:sz w:val="32"/>
          <w:szCs w:val="32"/>
        </w:rPr>
        <w:t>水土保持方案</w:t>
      </w:r>
      <w:r>
        <w:rPr>
          <w:rFonts w:hint="eastAsia" w:ascii="Times New Roman" w:hAnsi="Times New Roman" w:eastAsia="方正仿宋_GBK" w:cs="方正仿宋_GBK"/>
          <w:bCs/>
          <w:snapToGrid w:val="0"/>
          <w:color w:val="auto"/>
          <w:spacing w:val="-11"/>
          <w:kern w:val="0"/>
          <w:sz w:val="32"/>
          <w:szCs w:val="32"/>
        </w:rPr>
        <w:t>特性表</w:t>
      </w:r>
    </w:p>
    <w:p>
      <w:pPr>
        <w:keepNext w:val="0"/>
        <w:keepLines w:val="0"/>
        <w:pageBreakBefore w:val="0"/>
        <w:widowControl w:val="0"/>
        <w:kinsoku/>
        <w:wordWrap/>
        <w:overflowPunct/>
        <w:topLinePunct w:val="0"/>
        <w:autoSpaceDE/>
        <w:autoSpaceDN/>
        <w:bidi w:val="0"/>
        <w:adjustRightInd/>
        <w:snapToGrid w:val="0"/>
        <w:spacing w:line="594" w:lineRule="exact"/>
        <w:ind w:left="1916" w:leftChars="570" w:right="0" w:hanging="320" w:hangingChars="1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2</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snapToGrid w:val="0"/>
          <w:color w:val="auto"/>
          <w:kern w:val="0"/>
          <w:sz w:val="32"/>
          <w:szCs w:val="32"/>
          <w:lang w:eastAsia="zh-CN"/>
        </w:rPr>
        <w:t>垫江至丰都至武隆高速公路（垫江至丰都段）</w:t>
      </w:r>
      <w:r>
        <w:rPr>
          <w:rFonts w:hint="eastAsia" w:ascii="Times New Roman" w:hAnsi="Times New Roman" w:eastAsia="方正仿宋_GBK" w:cs="方正仿宋_GBK"/>
          <w:snapToGrid w:val="0"/>
          <w:color w:val="auto"/>
          <w:spacing w:val="-6"/>
          <w:kern w:val="0"/>
          <w:sz w:val="32"/>
          <w:szCs w:val="32"/>
        </w:rPr>
        <w:t>水土保持方案报告</w:t>
      </w:r>
      <w:r>
        <w:rPr>
          <w:rFonts w:hint="eastAsia" w:ascii="Times New Roman" w:hAnsi="Times New Roman" w:eastAsia="方正仿宋_GBK" w:cs="方正仿宋_GBK"/>
          <w:snapToGrid w:val="0"/>
          <w:color w:val="auto"/>
          <w:kern w:val="0"/>
          <w:sz w:val="32"/>
          <w:szCs w:val="32"/>
        </w:rPr>
        <w:t>书专家评审意见</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snapToGrid w:val="0"/>
        <w:spacing w:line="594" w:lineRule="exact"/>
        <w:ind w:left="0" w:leftChars="0" w:right="0" w:firstLine="5760" w:firstLineChars="18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重庆市水利局</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5440" w:firstLineChars="17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202</w:t>
      </w:r>
      <w:r>
        <w:rPr>
          <w:rFonts w:hint="eastAsia" w:eastAsia="方正仿宋_GBK"/>
          <w:color w:val="auto"/>
          <w:sz w:val="32"/>
          <w:szCs w:val="32"/>
          <w:lang w:val="en-US" w:eastAsia="zh-CN"/>
        </w:rPr>
        <w:t>4</w:t>
      </w:r>
      <w:r>
        <w:rPr>
          <w:rFonts w:ascii="Times New Roman" w:hAnsi="Times New Roman" w:eastAsia="方正仿宋_GBK"/>
          <w:color w:val="auto"/>
          <w:sz w:val="32"/>
          <w:szCs w:val="32"/>
        </w:rPr>
        <w:t>年</w:t>
      </w:r>
      <w:r>
        <w:rPr>
          <w:rFonts w:hint="eastAsia" w:eastAsia="方正仿宋_GBK"/>
          <w:color w:val="auto"/>
          <w:sz w:val="32"/>
          <w:szCs w:val="32"/>
          <w:lang w:val="en-US" w:eastAsia="zh-CN"/>
        </w:rPr>
        <w:t>4</w:t>
      </w:r>
      <w:r>
        <w:rPr>
          <w:rFonts w:ascii="Times New Roman" w:hAnsi="Times New Roman" w:eastAsia="方正仿宋_GBK"/>
          <w:color w:val="auto"/>
          <w:sz w:val="32"/>
          <w:szCs w:val="32"/>
        </w:rPr>
        <w:t>月</w:t>
      </w:r>
      <w:r>
        <w:rPr>
          <w:rFonts w:hint="eastAsia" w:eastAsia="方正仿宋_GBK"/>
          <w:color w:val="auto"/>
          <w:sz w:val="32"/>
          <w:szCs w:val="32"/>
          <w:lang w:val="en-US" w:eastAsia="zh-CN"/>
        </w:rPr>
        <w:t>3</w:t>
      </w:r>
      <w:bookmarkStart w:id="0" w:name="_GoBack"/>
      <w:bookmarkEnd w:id="0"/>
      <w:r>
        <w:rPr>
          <w:rFonts w:ascii="Times New Roman" w:hAnsi="Times New Roman" w:eastAsia="方正仿宋_GBK"/>
          <w:color w:val="auto"/>
          <w:sz w:val="32"/>
          <w:szCs w:val="32"/>
        </w:rPr>
        <w:t>日</w:t>
      </w:r>
    </w:p>
    <w:p>
      <w:pPr>
        <w:keepNext w:val="0"/>
        <w:keepLines w:val="0"/>
        <w:pageBreakBefore w:val="0"/>
        <w:widowControl w:val="0"/>
        <w:kinsoku/>
        <w:wordWrap/>
        <w:overflowPunct/>
        <w:topLinePunct w:val="0"/>
        <w:autoSpaceDE/>
        <w:autoSpaceDN/>
        <w:bidi w:val="0"/>
        <w:snapToGrid w:val="0"/>
        <w:spacing w:line="594" w:lineRule="exact"/>
        <w:ind w:firstLine="640" w:firstLineChars="200"/>
        <w:jc w:val="left"/>
        <w:textAlignment w:val="auto"/>
        <w:rPr>
          <w:rFonts w:ascii="Times New Roman" w:hAnsi="Times New Roman" w:eastAsia="方正仿宋_GBK" w:cs="Times New Roman"/>
          <w:snapToGrid w:val="0"/>
          <w:color w:val="auto"/>
          <w:kern w:val="0"/>
          <w:sz w:val="32"/>
          <w:szCs w:val="32"/>
        </w:rPr>
      </w:pPr>
      <w:r>
        <w:rPr>
          <w:rFonts w:ascii="Times New Roman" w:hAnsi="Times New Roman" w:eastAsia="方正仿宋_GBK" w:cs="Times New Roman"/>
          <w:snapToGrid w:val="0"/>
          <w:color w:val="auto"/>
          <w:kern w:val="0"/>
          <w:sz w:val="32"/>
          <w:szCs w:val="32"/>
        </w:rPr>
        <w:t>（此件</w:t>
      </w:r>
      <w:r>
        <w:rPr>
          <w:rFonts w:hint="eastAsia" w:ascii="Times New Roman" w:hAnsi="Times New Roman" w:eastAsia="方正仿宋_GBK" w:cs="Times New Roman"/>
          <w:snapToGrid w:val="0"/>
          <w:color w:val="auto"/>
          <w:kern w:val="0"/>
          <w:sz w:val="32"/>
          <w:szCs w:val="32"/>
          <w:lang w:eastAsia="zh-CN"/>
        </w:rPr>
        <w:t>主动</w:t>
      </w:r>
      <w:r>
        <w:rPr>
          <w:rFonts w:ascii="Times New Roman" w:hAnsi="Times New Roman" w:eastAsia="方正仿宋_GBK" w:cs="Times New Roman"/>
          <w:snapToGrid w:val="0"/>
          <w:color w:val="auto"/>
          <w:kern w:val="0"/>
          <w:sz w:val="32"/>
          <w:szCs w:val="32"/>
        </w:rPr>
        <w:t>公开发布）</w:t>
      </w:r>
    </w:p>
    <w:p>
      <w:pPr>
        <w:ind w:firstLine="640" w:firstLineChars="200"/>
        <w:rPr>
          <w:color w:val="FF0000"/>
        </w:rPr>
      </w:pPr>
      <w:r>
        <w:rPr>
          <w:rFonts w:ascii="Times New Roman" w:hAnsi="Times New Roman" w:eastAsia="方正仿宋_GBK" w:cs="Times New Roman"/>
          <w:snapToGrid w:val="0"/>
          <w:color w:val="auto"/>
          <w:kern w:val="0"/>
          <w:sz w:val="32"/>
          <w:szCs w:val="32"/>
        </w:rPr>
        <w:t>（联系人：张</w:t>
      </w:r>
      <w:r>
        <w:rPr>
          <w:rFonts w:hint="eastAsia" w:ascii="Times New Roman" w:hAnsi="Times New Roman" w:eastAsia="方正仿宋_GBK" w:cs="Times New Roman"/>
          <w:snapToGrid w:val="0"/>
          <w:color w:val="auto"/>
          <w:kern w:val="0"/>
          <w:sz w:val="32"/>
          <w:szCs w:val="32"/>
        </w:rPr>
        <w:t>春才</w:t>
      </w:r>
      <w:r>
        <w:rPr>
          <w:rFonts w:ascii="Times New Roman" w:hAnsi="Times New Roman" w:eastAsia="方正仿宋_GBK" w:cs="Times New Roman"/>
          <w:snapToGrid w:val="0"/>
          <w:color w:val="auto"/>
          <w:kern w:val="0"/>
          <w:sz w:val="32"/>
          <w:szCs w:val="32"/>
        </w:rPr>
        <w:t>；联系电话：02388707091）</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黑体_GBK"/>
          <w:b w:val="0"/>
          <w:color w:val="auto"/>
          <w:sz w:val="32"/>
          <w:szCs w:val="32"/>
          <w:lang w:val="en-US" w:eastAsia="zh-CN"/>
        </w:rPr>
      </w:pPr>
      <w:r>
        <w:rPr>
          <w:rFonts w:hint="eastAsia" w:ascii="Times New Roman" w:hAnsi="Times New Roman" w:eastAsia="方正仿宋_GBK" w:cs="方正仿宋"/>
          <w:b w:val="0"/>
          <w:color w:val="FF0000"/>
          <w:sz w:val="32"/>
          <w:szCs w:val="36"/>
        </w:rPr>
        <w:br w:type="page"/>
      </w:r>
      <w:r>
        <w:rPr>
          <w:rFonts w:hint="eastAsia" w:ascii="Times New Roman" w:hAnsi="Times New Roman" w:eastAsia="方正黑体_GBK" w:cs="方正黑体_GBK"/>
          <w:b w:val="0"/>
          <w:color w:val="auto"/>
          <w:sz w:val="32"/>
          <w:szCs w:val="32"/>
        </w:rPr>
        <w:t>附件</w:t>
      </w:r>
      <w:r>
        <w:rPr>
          <w:rFonts w:hint="eastAsia" w:ascii="Times New Roman" w:hAnsi="Times New Roman" w:eastAsia="方正黑体_GBK" w:cs="方正黑体_GBK"/>
          <w:b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eastAsia="方正小标宋_GBK" w:cs="方正小标宋_GBK"/>
          <w:bCs/>
          <w:color w:val="auto"/>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eastAsia="方正小标宋_GBK" w:cs="方正小标宋_GBK"/>
          <w:bCs/>
          <w:color w:val="auto"/>
          <w:spacing w:val="0"/>
          <w:w w:val="100"/>
          <w:sz w:val="44"/>
          <w:szCs w:val="44"/>
          <w:lang w:eastAsia="zh-CN"/>
        </w:rPr>
      </w:pPr>
      <w:r>
        <w:rPr>
          <w:rFonts w:hint="eastAsia" w:eastAsia="方正小标宋_GBK" w:cs="方正小标宋_GBK"/>
          <w:bCs/>
          <w:color w:val="auto"/>
          <w:spacing w:val="0"/>
          <w:w w:val="100"/>
          <w:sz w:val="44"/>
          <w:szCs w:val="44"/>
          <w:lang w:eastAsia="zh-CN"/>
        </w:rPr>
        <w:t>垫江至丰都至武隆高速公路（垫江至丰都段）</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ascii="Times New Roman" w:hAnsi="Times New Roman" w:eastAsia="方正黑体_GBK" w:cs="Times New Roman"/>
          <w:color w:val="auto"/>
          <w:sz w:val="44"/>
          <w:szCs w:val="44"/>
        </w:rPr>
      </w:pPr>
      <w:r>
        <w:rPr>
          <w:rFonts w:hint="eastAsia" w:ascii="Times New Roman" w:hAnsi="Times New Roman" w:eastAsia="方正小标宋_GBK" w:cs="方正小标宋_GBK"/>
          <w:bCs/>
          <w:color w:val="auto"/>
          <w:spacing w:val="0"/>
          <w:w w:val="100"/>
          <w:sz w:val="44"/>
          <w:szCs w:val="44"/>
        </w:rPr>
        <w:t>水土保持方案</w:t>
      </w:r>
      <w:r>
        <w:rPr>
          <w:rFonts w:hint="eastAsia" w:ascii="Times New Roman" w:hAnsi="Times New Roman" w:eastAsia="方正小标宋_GBK" w:cs="方正小标宋_GBK"/>
          <w:bCs/>
          <w:snapToGrid w:val="0"/>
          <w:color w:val="auto"/>
          <w:spacing w:val="0"/>
          <w:w w:val="100"/>
          <w:kern w:val="0"/>
          <w:sz w:val="44"/>
          <w:szCs w:val="44"/>
        </w:rPr>
        <w:t>特性表</w:t>
      </w:r>
    </w:p>
    <w:tbl>
      <w:tblPr>
        <w:tblStyle w:val="17"/>
        <w:tblW w:w="92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720"/>
        <w:gridCol w:w="281"/>
        <w:gridCol w:w="1192"/>
        <w:gridCol w:w="337"/>
        <w:gridCol w:w="1451"/>
        <w:gridCol w:w="1414"/>
        <w:gridCol w:w="667"/>
        <w:gridCol w:w="93"/>
        <w:gridCol w:w="368"/>
        <w:gridCol w:w="631"/>
        <w:gridCol w:w="13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36"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项目名称</w:t>
            </w:r>
          </w:p>
        </w:tc>
        <w:tc>
          <w:tcPr>
            <w:tcW w:w="3261"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垫江至丰都至武隆高速公路（垫江至丰都段）</w:t>
            </w:r>
          </w:p>
        </w:tc>
        <w:tc>
          <w:tcPr>
            <w:tcW w:w="3173"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流域管理机构</w:t>
            </w:r>
          </w:p>
        </w:tc>
        <w:tc>
          <w:tcPr>
            <w:tcW w:w="1348"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36"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涉及省</w:t>
            </w:r>
          </w:p>
        </w:tc>
        <w:tc>
          <w:tcPr>
            <w:tcW w:w="1473"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重庆市</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涉及地市或个数</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重庆市</w:t>
            </w:r>
          </w:p>
        </w:tc>
        <w:tc>
          <w:tcPr>
            <w:tcW w:w="175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涉及县或个数</w:t>
            </w:r>
          </w:p>
        </w:tc>
        <w:tc>
          <w:tcPr>
            <w:tcW w:w="1348"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垫江县、</w:t>
            </w:r>
            <w:r>
              <w:rPr>
                <w:rFonts w:cs="Times New Roman"/>
                <w:color w:val="auto"/>
                <w:kern w:val="0"/>
                <w:sz w:val="18"/>
                <w:szCs w:val="18"/>
                <w:highlight w:val="none"/>
              </w:rPr>
              <w:t>丰都县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36"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项目规模</w:t>
            </w:r>
          </w:p>
        </w:tc>
        <w:tc>
          <w:tcPr>
            <w:tcW w:w="1473"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全长</w:t>
            </w:r>
            <w:r>
              <w:rPr>
                <w:rFonts w:cs="Times New Roman"/>
                <w:color w:val="auto"/>
                <w:kern w:val="0"/>
                <w:sz w:val="18"/>
                <w:szCs w:val="18"/>
                <w:highlight w:val="none"/>
              </w:rPr>
              <w:t>78.258</w:t>
            </w:r>
            <w:r>
              <w:rPr>
                <w:rFonts w:hint="eastAsia" w:cs="Times New Roman"/>
                <w:color w:val="auto"/>
                <w:kern w:val="0"/>
                <w:sz w:val="18"/>
                <w:szCs w:val="18"/>
                <w:highlight w:val="none"/>
              </w:rPr>
              <w:t>km</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总投资（万元）</w:t>
            </w:r>
          </w:p>
        </w:tc>
        <w:tc>
          <w:tcPr>
            <w:tcW w:w="1414" w:type="dxa"/>
            <w:noWrap w:val="0"/>
            <w:vAlign w:val="center"/>
          </w:tcPr>
          <w:p>
            <w:pPr>
              <w:pStyle w:val="85"/>
              <w:keepNext w:val="0"/>
              <w:keepLines w:val="0"/>
              <w:suppressLineNumbers w:val="0"/>
              <w:spacing w:before="0" w:beforeAutospacing="0" w:after="0" w:afterAutospacing="0"/>
              <w:ind w:left="0" w:right="0"/>
              <w:rPr>
                <w:rFonts w:hint="eastAsia" w:cs="Times New Roman"/>
                <w:color w:val="auto"/>
                <w:kern w:val="0"/>
                <w:sz w:val="18"/>
                <w:szCs w:val="18"/>
                <w:highlight w:val="none"/>
              </w:rPr>
            </w:pPr>
            <w:r>
              <w:rPr>
                <w:rFonts w:hint="eastAsia" w:cs="Times New Roman"/>
                <w:color w:val="auto"/>
                <w:kern w:val="0"/>
                <w:sz w:val="18"/>
                <w:szCs w:val="18"/>
                <w:highlight w:val="none"/>
              </w:rPr>
              <w:t>1531993</w:t>
            </w:r>
          </w:p>
        </w:tc>
        <w:tc>
          <w:tcPr>
            <w:tcW w:w="175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土建投资（万元）</w:t>
            </w:r>
          </w:p>
        </w:tc>
        <w:tc>
          <w:tcPr>
            <w:tcW w:w="1348" w:type="dxa"/>
            <w:noWrap w:val="0"/>
            <w:vAlign w:val="center"/>
          </w:tcPr>
          <w:p>
            <w:pPr>
              <w:pStyle w:val="85"/>
              <w:keepNext w:val="0"/>
              <w:keepLines w:val="0"/>
              <w:suppressLineNumbers w:val="0"/>
              <w:spacing w:before="0" w:beforeAutospacing="0" w:after="0" w:afterAutospacing="0"/>
              <w:ind w:left="0" w:right="0"/>
              <w:rPr>
                <w:rFonts w:hint="eastAsia" w:cs="Times New Roman"/>
                <w:color w:val="auto"/>
                <w:kern w:val="0"/>
                <w:sz w:val="18"/>
                <w:szCs w:val="18"/>
                <w:highlight w:val="none"/>
              </w:rPr>
            </w:pPr>
            <w:r>
              <w:rPr>
                <w:rFonts w:hint="eastAsia" w:cs="Times New Roman"/>
                <w:color w:val="auto"/>
                <w:kern w:val="0"/>
                <w:sz w:val="18"/>
                <w:szCs w:val="18"/>
                <w:highlight w:val="none"/>
              </w:rPr>
              <w:t>1101632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36"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动工时间</w:t>
            </w:r>
          </w:p>
        </w:tc>
        <w:tc>
          <w:tcPr>
            <w:tcW w:w="1473"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2024年</w:t>
            </w:r>
            <w:r>
              <w:rPr>
                <w:rFonts w:hint="eastAsia" w:cs="Times New Roman"/>
                <w:color w:val="auto"/>
                <w:kern w:val="0"/>
                <w:sz w:val="18"/>
                <w:szCs w:val="18"/>
                <w:highlight w:val="none"/>
                <w:lang w:val="en-US" w:eastAsia="zh-CN"/>
              </w:rPr>
              <w:t>4</w:t>
            </w:r>
            <w:r>
              <w:rPr>
                <w:rFonts w:cs="Times New Roman"/>
                <w:color w:val="auto"/>
                <w:kern w:val="0"/>
                <w:sz w:val="18"/>
                <w:szCs w:val="18"/>
                <w:highlight w:val="none"/>
              </w:rPr>
              <w:t>月</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完工时间</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202</w:t>
            </w:r>
            <w:r>
              <w:rPr>
                <w:rFonts w:hint="eastAsia" w:cs="Times New Roman"/>
                <w:color w:val="auto"/>
                <w:kern w:val="0"/>
                <w:sz w:val="18"/>
                <w:szCs w:val="18"/>
                <w:highlight w:val="none"/>
                <w:lang w:val="en-US" w:eastAsia="zh-CN"/>
              </w:rPr>
              <w:t>9</w:t>
            </w:r>
            <w:r>
              <w:rPr>
                <w:rFonts w:cs="Times New Roman"/>
                <w:color w:val="auto"/>
                <w:kern w:val="0"/>
                <w:sz w:val="18"/>
                <w:szCs w:val="18"/>
                <w:highlight w:val="none"/>
              </w:rPr>
              <w:t>年</w:t>
            </w:r>
            <w:r>
              <w:rPr>
                <w:rFonts w:hint="eastAsia" w:cs="Times New Roman"/>
                <w:color w:val="auto"/>
                <w:kern w:val="0"/>
                <w:sz w:val="18"/>
                <w:szCs w:val="18"/>
                <w:highlight w:val="none"/>
                <w:lang w:val="en-US" w:eastAsia="zh-CN"/>
              </w:rPr>
              <w:t>3</w:t>
            </w:r>
            <w:r>
              <w:rPr>
                <w:rFonts w:cs="Times New Roman"/>
                <w:color w:val="auto"/>
                <w:kern w:val="0"/>
                <w:sz w:val="18"/>
                <w:szCs w:val="18"/>
                <w:highlight w:val="none"/>
              </w:rPr>
              <w:t>月</w:t>
            </w:r>
          </w:p>
        </w:tc>
        <w:tc>
          <w:tcPr>
            <w:tcW w:w="175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设计水平年</w:t>
            </w:r>
          </w:p>
        </w:tc>
        <w:tc>
          <w:tcPr>
            <w:tcW w:w="1348"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20</w:t>
            </w:r>
            <w:r>
              <w:rPr>
                <w:rFonts w:hint="eastAsia" w:cs="Times New Roman"/>
                <w:color w:val="auto"/>
                <w:kern w:val="0"/>
                <w:sz w:val="18"/>
                <w:szCs w:val="18"/>
                <w:highlight w:val="none"/>
                <w:lang w:val="en-US" w:eastAsia="zh-CN"/>
              </w:rPr>
              <w:t>29</w:t>
            </w:r>
            <w:r>
              <w:rPr>
                <w:rFonts w:cs="Times New Roman"/>
                <w:color w:val="auto"/>
                <w:kern w:val="0"/>
                <w:sz w:val="18"/>
                <w:szCs w:val="18"/>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36"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工程占地（h</w:t>
            </w:r>
            <w:r>
              <w:rPr>
                <w:rFonts w:cs="Times New Roman"/>
                <w:b w:val="0"/>
                <w:bCs w:val="0"/>
                <w:color w:val="auto"/>
                <w:highlight w:val="none"/>
              </w:rPr>
              <w:t>m</w:t>
            </w:r>
            <w:r>
              <w:rPr>
                <w:rFonts w:cs="Times New Roman"/>
                <w:b w:val="0"/>
                <w:bCs w:val="0"/>
                <w:color w:val="auto"/>
                <w:highlight w:val="none"/>
                <w:vertAlign w:val="superscript"/>
              </w:rPr>
              <w:t>2</w:t>
            </w:r>
            <w:r>
              <w:rPr>
                <w:rFonts w:cs="Times New Roman"/>
                <w:color w:val="auto"/>
                <w:kern w:val="0"/>
                <w:sz w:val="18"/>
                <w:szCs w:val="18"/>
                <w:highlight w:val="none"/>
              </w:rPr>
              <w:t>）</w:t>
            </w:r>
          </w:p>
        </w:tc>
        <w:tc>
          <w:tcPr>
            <w:tcW w:w="1473" w:type="dxa"/>
            <w:gridSpan w:val="2"/>
            <w:noWrap w:val="0"/>
            <w:vAlign w:val="center"/>
          </w:tcPr>
          <w:p>
            <w:pPr>
              <w:pStyle w:val="85"/>
              <w:keepNext w:val="0"/>
              <w:keepLines w:val="0"/>
              <w:suppressLineNumbers w:val="0"/>
              <w:spacing w:before="0" w:beforeAutospacing="0" w:after="0" w:afterAutospacing="0"/>
              <w:ind w:left="0" w:right="0"/>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lang w:eastAsia="zh-CN"/>
              </w:rPr>
              <w:t>793.10</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永久占地（h</w:t>
            </w:r>
            <w:r>
              <w:rPr>
                <w:rFonts w:cs="Times New Roman"/>
                <w:b w:val="0"/>
                <w:bCs w:val="0"/>
                <w:color w:val="auto"/>
                <w:highlight w:val="none"/>
              </w:rPr>
              <w:t>m</w:t>
            </w:r>
            <w:r>
              <w:rPr>
                <w:rFonts w:cs="Times New Roman"/>
                <w:b w:val="0"/>
                <w:bCs w:val="0"/>
                <w:color w:val="auto"/>
                <w:highlight w:val="none"/>
                <w:vertAlign w:val="superscript"/>
              </w:rPr>
              <w:t>2</w:t>
            </w:r>
            <w:r>
              <w:rPr>
                <w:rFonts w:cs="Times New Roman"/>
                <w:color w:val="auto"/>
                <w:kern w:val="0"/>
                <w:sz w:val="18"/>
                <w:szCs w:val="18"/>
                <w:highlight w:val="none"/>
              </w:rPr>
              <w:t>）</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587.35</w:t>
            </w:r>
          </w:p>
        </w:tc>
        <w:tc>
          <w:tcPr>
            <w:tcW w:w="175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临时占地（h</w:t>
            </w:r>
            <w:r>
              <w:rPr>
                <w:rFonts w:cs="Times New Roman"/>
                <w:b w:val="0"/>
                <w:bCs w:val="0"/>
                <w:color w:val="auto"/>
                <w:highlight w:val="none"/>
              </w:rPr>
              <w:t>m</w:t>
            </w:r>
            <w:r>
              <w:rPr>
                <w:rFonts w:cs="Times New Roman"/>
                <w:b w:val="0"/>
                <w:bCs w:val="0"/>
                <w:color w:val="auto"/>
                <w:highlight w:val="none"/>
                <w:vertAlign w:val="superscript"/>
              </w:rPr>
              <w:t>2</w:t>
            </w:r>
            <w:r>
              <w:rPr>
                <w:rFonts w:cs="Times New Roman"/>
                <w:color w:val="auto"/>
                <w:kern w:val="0"/>
                <w:sz w:val="18"/>
                <w:szCs w:val="18"/>
                <w:highlight w:val="none"/>
              </w:rPr>
              <w:t>）</w:t>
            </w:r>
          </w:p>
        </w:tc>
        <w:tc>
          <w:tcPr>
            <w:tcW w:w="1348" w:type="dxa"/>
            <w:noWrap w:val="0"/>
            <w:vAlign w:val="center"/>
          </w:tcPr>
          <w:p>
            <w:pPr>
              <w:pStyle w:val="85"/>
              <w:keepNext w:val="0"/>
              <w:keepLines w:val="0"/>
              <w:suppressLineNumbers w:val="0"/>
              <w:spacing w:before="0" w:beforeAutospacing="0" w:after="0" w:afterAutospacing="0"/>
              <w:ind w:left="0" w:right="0"/>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lang w:eastAsia="zh-CN"/>
              </w:rPr>
              <w:t>205.75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909" w:type="dxa"/>
            <w:gridSpan w:val="4"/>
            <w:vMerge w:val="restart"/>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土石方量（万</w:t>
            </w:r>
            <w:r>
              <w:rPr>
                <w:rFonts w:hint="default" w:cs="Times New Roman"/>
                <w:highlight w:val="none"/>
                <w:lang w:val="en-US" w:eastAsia="zh-CN"/>
              </w:rPr>
              <w:t>m</w:t>
            </w:r>
            <w:r>
              <w:rPr>
                <w:rFonts w:hint="default" w:cs="Times New Roman"/>
                <w:highlight w:val="none"/>
                <w:vertAlign w:val="superscript"/>
                <w:lang w:val="en-US" w:eastAsia="zh-CN"/>
              </w:rPr>
              <w:t>3</w:t>
            </w:r>
            <w:r>
              <w:rPr>
                <w:rFonts w:cs="Times New Roman"/>
                <w:color w:val="auto"/>
                <w:kern w:val="0"/>
                <w:sz w:val="18"/>
                <w:szCs w:val="18"/>
                <w:highlight w:val="none"/>
              </w:rPr>
              <w:t>）</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挖方</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填方</w:t>
            </w:r>
          </w:p>
        </w:tc>
        <w:tc>
          <w:tcPr>
            <w:tcW w:w="760" w:type="dxa"/>
            <w:gridSpan w:val="2"/>
            <w:tcBorders>
              <w:right w:val="single" w:color="auto" w:sz="4" w:space="0"/>
            </w:tcBorders>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借方</w:t>
            </w:r>
          </w:p>
        </w:tc>
        <w:tc>
          <w:tcPr>
            <w:tcW w:w="999" w:type="dxa"/>
            <w:gridSpan w:val="2"/>
            <w:tcBorders>
              <w:left w:val="single" w:color="auto" w:sz="4" w:space="0"/>
            </w:tcBorders>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综合利用</w:t>
            </w:r>
          </w:p>
        </w:tc>
        <w:tc>
          <w:tcPr>
            <w:tcW w:w="1348"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余（弃）方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909" w:type="dxa"/>
            <w:gridSpan w:val="4"/>
            <w:vMerge w:val="continue"/>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p>
        </w:tc>
        <w:tc>
          <w:tcPr>
            <w:tcW w:w="1788" w:type="dxa"/>
            <w:gridSpan w:val="2"/>
            <w:noWrap w:val="0"/>
            <w:vAlign w:val="center"/>
          </w:tcPr>
          <w:p>
            <w:pPr>
              <w:pStyle w:val="85"/>
              <w:keepNext w:val="0"/>
              <w:keepLines w:val="0"/>
              <w:suppressLineNumbers w:val="0"/>
              <w:spacing w:before="0" w:beforeAutospacing="0" w:after="0" w:afterAutospacing="0"/>
              <w:ind w:left="0" w:right="0"/>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lang w:eastAsia="zh-CN"/>
              </w:rPr>
              <w:t>3159.55</w:t>
            </w:r>
          </w:p>
        </w:tc>
        <w:tc>
          <w:tcPr>
            <w:tcW w:w="1414" w:type="dxa"/>
            <w:noWrap w:val="0"/>
            <w:vAlign w:val="center"/>
          </w:tcPr>
          <w:p>
            <w:pPr>
              <w:pStyle w:val="85"/>
              <w:keepNext w:val="0"/>
              <w:keepLines w:val="0"/>
              <w:suppressLineNumbers w:val="0"/>
              <w:spacing w:before="0" w:beforeAutospacing="0" w:after="0" w:afterAutospacing="0"/>
              <w:ind w:left="0" w:right="0"/>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lang w:eastAsia="zh-CN"/>
              </w:rPr>
              <w:t>1952.10</w:t>
            </w:r>
          </w:p>
        </w:tc>
        <w:tc>
          <w:tcPr>
            <w:tcW w:w="760" w:type="dxa"/>
            <w:gridSpan w:val="2"/>
            <w:tcBorders>
              <w:right w:val="single" w:color="auto" w:sz="4" w:space="0"/>
            </w:tcBorders>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0</w:t>
            </w:r>
          </w:p>
        </w:tc>
        <w:tc>
          <w:tcPr>
            <w:tcW w:w="999" w:type="dxa"/>
            <w:gridSpan w:val="2"/>
            <w:tcBorders>
              <w:left w:val="single" w:color="auto" w:sz="4" w:space="0"/>
            </w:tcBorders>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171.68</w:t>
            </w:r>
          </w:p>
        </w:tc>
        <w:tc>
          <w:tcPr>
            <w:tcW w:w="1348"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1035.77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90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重点防治区名称</w:t>
            </w:r>
          </w:p>
        </w:tc>
        <w:tc>
          <w:tcPr>
            <w:tcW w:w="6309" w:type="dxa"/>
            <w:gridSpan w:val="8"/>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三峡库区国家级水土流失重点治理区、重庆市水土流失重点治理区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90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地貌类型</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中低山</w:t>
            </w:r>
          </w:p>
        </w:tc>
        <w:tc>
          <w:tcPr>
            <w:tcW w:w="2542"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水土保持区划</w:t>
            </w:r>
          </w:p>
        </w:tc>
        <w:tc>
          <w:tcPr>
            <w:tcW w:w="1979"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西南紫色土区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90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土壤侵蚀类型</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水力侵蚀</w:t>
            </w:r>
          </w:p>
        </w:tc>
        <w:tc>
          <w:tcPr>
            <w:tcW w:w="2542"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土壤侵蚀强度</w:t>
            </w:r>
          </w:p>
        </w:tc>
        <w:tc>
          <w:tcPr>
            <w:tcW w:w="1979"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轻度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90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防治责任范围面积（h</w:t>
            </w:r>
            <w:r>
              <w:rPr>
                <w:rFonts w:cs="Times New Roman"/>
                <w:b w:val="0"/>
                <w:bCs w:val="0"/>
                <w:color w:val="auto"/>
                <w:highlight w:val="none"/>
              </w:rPr>
              <w:t>m</w:t>
            </w:r>
            <w:r>
              <w:rPr>
                <w:rFonts w:cs="Times New Roman"/>
                <w:b w:val="0"/>
                <w:bCs w:val="0"/>
                <w:color w:val="auto"/>
                <w:highlight w:val="none"/>
                <w:vertAlign w:val="superscript"/>
              </w:rPr>
              <w:t>2</w:t>
            </w:r>
            <w:r>
              <w:rPr>
                <w:rFonts w:cs="Times New Roman"/>
                <w:color w:val="auto"/>
                <w:kern w:val="0"/>
                <w:sz w:val="18"/>
                <w:szCs w:val="18"/>
                <w:highlight w:val="none"/>
              </w:rPr>
              <w:t>）</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lang w:eastAsia="zh-CN"/>
              </w:rPr>
              <w:t>793.10</w:t>
            </w:r>
          </w:p>
        </w:tc>
        <w:tc>
          <w:tcPr>
            <w:tcW w:w="2542"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容许土壤流失量〔t/（k</w:t>
            </w:r>
            <w:r>
              <w:rPr>
                <w:rFonts w:cs="Times New Roman"/>
                <w:b w:val="0"/>
                <w:bCs w:val="0"/>
                <w:color w:val="auto"/>
                <w:highlight w:val="none"/>
              </w:rPr>
              <w:t>m</w:t>
            </w:r>
            <w:r>
              <w:rPr>
                <w:rFonts w:cs="Times New Roman"/>
                <w:b w:val="0"/>
                <w:bCs w:val="0"/>
                <w:color w:val="auto"/>
                <w:highlight w:val="none"/>
                <w:vertAlign w:val="superscript"/>
              </w:rPr>
              <w:t>2</w:t>
            </w:r>
            <w:r>
              <w:rPr>
                <w:rFonts w:cs="Times New Roman"/>
                <w:color w:val="auto"/>
                <w:kern w:val="0"/>
                <w:sz w:val="18"/>
                <w:szCs w:val="18"/>
                <w:highlight w:val="none"/>
              </w:rPr>
              <w:t>•a）〕</w:t>
            </w:r>
          </w:p>
        </w:tc>
        <w:tc>
          <w:tcPr>
            <w:tcW w:w="1979"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90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土壤流失预测总量（万t）</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lang w:eastAsia="zh-CN"/>
              </w:rPr>
              <w:t>19.02</w:t>
            </w:r>
          </w:p>
        </w:tc>
        <w:tc>
          <w:tcPr>
            <w:tcW w:w="2542"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新增土壤流失量（万t）</w:t>
            </w:r>
          </w:p>
        </w:tc>
        <w:tc>
          <w:tcPr>
            <w:tcW w:w="1979" w:type="dxa"/>
            <w:gridSpan w:val="2"/>
            <w:noWrap w:val="0"/>
            <w:vAlign w:val="center"/>
          </w:tcPr>
          <w:p>
            <w:pPr>
              <w:pStyle w:val="85"/>
              <w:keepNext w:val="0"/>
              <w:keepLines w:val="0"/>
              <w:suppressLineNumbers w:val="0"/>
              <w:spacing w:before="0" w:beforeAutospacing="0" w:after="0" w:afterAutospacing="0"/>
              <w:ind w:left="0" w:right="0"/>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lang w:eastAsia="zh-CN"/>
              </w:rPr>
              <w:t>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90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水土流失防治标准执行等级</w:t>
            </w:r>
          </w:p>
        </w:tc>
        <w:tc>
          <w:tcPr>
            <w:tcW w:w="6309" w:type="dxa"/>
            <w:gridSpan w:val="8"/>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西南紫色土区一级标准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restart"/>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防治</w:t>
            </w:r>
          </w:p>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指标</w:t>
            </w:r>
          </w:p>
        </w:tc>
        <w:tc>
          <w:tcPr>
            <w:tcW w:w="2193"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水土流失治理度（%）</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97</w:t>
            </w:r>
          </w:p>
        </w:tc>
        <w:tc>
          <w:tcPr>
            <w:tcW w:w="3173"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土壤流失控制比</w:t>
            </w:r>
          </w:p>
        </w:tc>
        <w:tc>
          <w:tcPr>
            <w:tcW w:w="1348"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p>
        </w:tc>
        <w:tc>
          <w:tcPr>
            <w:tcW w:w="2193"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渣土挡护率（%）</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9</w:t>
            </w:r>
            <w:r>
              <w:rPr>
                <w:rFonts w:hint="eastAsia" w:cs="Times New Roman"/>
                <w:color w:val="auto"/>
                <w:kern w:val="0"/>
                <w:sz w:val="18"/>
                <w:szCs w:val="18"/>
                <w:highlight w:val="none"/>
              </w:rPr>
              <w:t>4</w:t>
            </w:r>
          </w:p>
        </w:tc>
        <w:tc>
          <w:tcPr>
            <w:tcW w:w="3173"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表土保护率（%）</w:t>
            </w:r>
          </w:p>
        </w:tc>
        <w:tc>
          <w:tcPr>
            <w:tcW w:w="1348"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p>
        </w:tc>
        <w:tc>
          <w:tcPr>
            <w:tcW w:w="2193"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林草植被恢复率（%）</w:t>
            </w:r>
          </w:p>
        </w:tc>
        <w:tc>
          <w:tcPr>
            <w:tcW w:w="1788"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97</w:t>
            </w:r>
          </w:p>
        </w:tc>
        <w:tc>
          <w:tcPr>
            <w:tcW w:w="3173"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林草覆盖率（%）</w:t>
            </w:r>
          </w:p>
        </w:tc>
        <w:tc>
          <w:tcPr>
            <w:tcW w:w="1348"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2</w:t>
            </w:r>
            <w:r>
              <w:rPr>
                <w:rFonts w:hint="eastAsia" w:cs="Times New Roman"/>
                <w:color w:val="auto"/>
                <w:kern w:val="0"/>
                <w:sz w:val="18"/>
                <w:szCs w:val="18"/>
                <w:highlight w:val="none"/>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restart"/>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r>
              <w:rPr>
                <w:rFonts w:cs="Times New Roman"/>
                <w:color w:val="auto"/>
                <w:kern w:val="0"/>
                <w:sz w:val="18"/>
                <w:szCs w:val="18"/>
                <w:highlight w:val="none"/>
              </w:rPr>
              <w:t>防治措施及工程量</w:t>
            </w: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防治分区</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工程措施</w:t>
            </w:r>
          </w:p>
        </w:tc>
        <w:tc>
          <w:tcPr>
            <w:tcW w:w="208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植物措施</w:t>
            </w:r>
          </w:p>
        </w:tc>
        <w:tc>
          <w:tcPr>
            <w:tcW w:w="2440"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路基工程防治区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主体设计：</w:t>
            </w:r>
            <w:r>
              <w:rPr>
                <w:rFonts w:cs="Times New Roman"/>
                <w:color w:val="auto"/>
                <w:kern w:val="0"/>
                <w:sz w:val="18"/>
                <w:szCs w:val="18"/>
                <w:highlight w:val="none"/>
              </w:rPr>
              <w:t>排水沟</w:t>
            </w:r>
            <w:r>
              <w:rPr>
                <w:rFonts w:hint="eastAsia" w:cs="Times New Roman"/>
                <w:color w:val="auto"/>
                <w:kern w:val="0"/>
                <w:sz w:val="18"/>
                <w:szCs w:val="18"/>
                <w:highlight w:val="none"/>
              </w:rPr>
              <w:t>32469m</w:t>
            </w:r>
            <w:r>
              <w:rPr>
                <w:rFonts w:cs="Times New Roman"/>
                <w:color w:val="auto"/>
                <w:kern w:val="0"/>
                <w:sz w:val="18"/>
                <w:szCs w:val="18"/>
                <w:highlight w:val="none"/>
              </w:rPr>
              <w:t>、边沟</w:t>
            </w:r>
            <w:r>
              <w:rPr>
                <w:rFonts w:hint="eastAsia" w:cs="Times New Roman"/>
                <w:color w:val="auto"/>
                <w:kern w:val="0"/>
                <w:sz w:val="18"/>
                <w:szCs w:val="18"/>
                <w:highlight w:val="none"/>
              </w:rPr>
              <w:t>22231m</w:t>
            </w:r>
            <w:r>
              <w:rPr>
                <w:rFonts w:cs="Times New Roman"/>
                <w:color w:val="auto"/>
                <w:kern w:val="0"/>
                <w:sz w:val="18"/>
                <w:szCs w:val="18"/>
                <w:highlight w:val="none"/>
              </w:rPr>
              <w:t>、截水沟</w:t>
            </w:r>
            <w:r>
              <w:rPr>
                <w:rFonts w:hint="eastAsia" w:cs="Times New Roman"/>
                <w:color w:val="auto"/>
                <w:kern w:val="0"/>
                <w:sz w:val="18"/>
                <w:szCs w:val="18"/>
                <w:highlight w:val="none"/>
              </w:rPr>
              <w:t>37001m</w:t>
            </w:r>
            <w:r>
              <w:rPr>
                <w:rFonts w:cs="Times New Roman"/>
                <w:color w:val="auto"/>
                <w:kern w:val="0"/>
                <w:sz w:val="18"/>
                <w:szCs w:val="18"/>
                <w:highlight w:val="none"/>
              </w:rPr>
              <w:t>、急流槽</w:t>
            </w:r>
            <w:r>
              <w:rPr>
                <w:rFonts w:hint="eastAsia" w:cs="Times New Roman"/>
                <w:color w:val="auto"/>
                <w:kern w:val="0"/>
                <w:sz w:val="18"/>
                <w:szCs w:val="18"/>
                <w:highlight w:val="none"/>
              </w:rPr>
              <w:t>7430m</w:t>
            </w:r>
            <w:r>
              <w:rPr>
                <w:rFonts w:cs="Times New Roman"/>
                <w:color w:val="auto"/>
                <w:kern w:val="0"/>
                <w:sz w:val="18"/>
                <w:szCs w:val="18"/>
                <w:highlight w:val="none"/>
              </w:rPr>
              <w:t>、沉沙池</w:t>
            </w:r>
            <w:r>
              <w:rPr>
                <w:rFonts w:hint="eastAsia" w:cs="Times New Roman"/>
                <w:color w:val="auto"/>
                <w:kern w:val="0"/>
                <w:sz w:val="18"/>
                <w:szCs w:val="18"/>
                <w:highlight w:val="none"/>
              </w:rPr>
              <w:t>60座</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w:t>
            </w:r>
            <w:r>
              <w:rPr>
                <w:rFonts w:cs="Times New Roman"/>
                <w:color w:val="auto"/>
                <w:kern w:val="0"/>
                <w:sz w:val="18"/>
                <w:szCs w:val="18"/>
                <w:highlight w:val="none"/>
              </w:rPr>
              <w:t>表土剥离</w:t>
            </w:r>
            <w:r>
              <w:rPr>
                <w:rFonts w:hint="eastAsia" w:cs="Times New Roman"/>
                <w:color w:val="auto"/>
                <w:kern w:val="0"/>
                <w:sz w:val="18"/>
                <w:szCs w:val="18"/>
                <w:highlight w:val="none"/>
              </w:rPr>
              <w:t>61.5万</w:t>
            </w:r>
            <w:r>
              <w:rPr>
                <w:rFonts w:hint="default" w:cs="Times New Roman"/>
                <w:highlight w:val="none"/>
                <w:lang w:val="en-US" w:eastAsia="zh-CN"/>
              </w:rPr>
              <w:t>m</w:t>
            </w:r>
            <w:r>
              <w:rPr>
                <w:rFonts w:hint="default" w:cs="Times New Roman"/>
                <w:highlight w:val="none"/>
                <w:vertAlign w:val="superscript"/>
                <w:lang w:val="en-US" w:eastAsia="zh-CN"/>
              </w:rPr>
              <w:t>3</w:t>
            </w:r>
            <w:r>
              <w:rPr>
                <w:rFonts w:cs="Times New Roman"/>
                <w:color w:val="auto"/>
                <w:kern w:val="0"/>
                <w:sz w:val="18"/>
                <w:szCs w:val="18"/>
                <w:highlight w:val="none"/>
              </w:rPr>
              <w:t>、表土回覆</w:t>
            </w:r>
            <w:r>
              <w:rPr>
                <w:rFonts w:hint="eastAsia" w:cs="Times New Roman"/>
                <w:color w:val="auto"/>
                <w:kern w:val="0"/>
                <w:sz w:val="18"/>
                <w:szCs w:val="18"/>
                <w:highlight w:val="none"/>
                <w:lang w:val="en-US" w:eastAsia="zh-CN"/>
              </w:rPr>
              <w:t>32.64</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rPr>
              <w:t>主体设计：综合绿化面积46.97</w:t>
            </w:r>
            <w:r>
              <w:rPr>
                <w:rFonts w:hint="eastAsia" w:cs="Times New Roman"/>
                <w:color w:val="auto"/>
                <w:kern w:val="0"/>
                <w:sz w:val="18"/>
                <w:szCs w:val="18"/>
                <w:highlight w:val="none"/>
                <w:lang w:val="en-US" w:eastAsia="zh-CN"/>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（包含植物护坡面积，共植乔木36312株、植灌木30166株、植草469729</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r>
              <w:rPr>
                <w:rFonts w:hint="eastAsia" w:cs="Times New Roman"/>
                <w:color w:val="auto"/>
                <w:kern w:val="0"/>
                <w:sz w:val="18"/>
                <w:szCs w:val="18"/>
                <w:highlight w:val="none"/>
                <w:lang w:eastAsia="zh-CN"/>
              </w:rPr>
              <w:t>、</w:t>
            </w:r>
            <w:r>
              <w:rPr>
                <w:rFonts w:hint="eastAsia" w:cs="Times New Roman"/>
                <w:color w:val="auto"/>
                <w:kern w:val="0"/>
                <w:sz w:val="18"/>
                <w:szCs w:val="18"/>
                <w:highlight w:val="none"/>
              </w:rPr>
              <w:t>喷播植草护坡39242</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、挂三维网植草护坡56280</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、方格网植草护坡379</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r>
              <w:rPr>
                <w:rFonts w:cs="Times New Roman"/>
                <w:color w:val="auto"/>
                <w:kern w:val="0"/>
                <w:sz w:val="18"/>
                <w:szCs w:val="18"/>
                <w:highlight w:val="none"/>
              </w:rPr>
              <w:t>拱形骨架植草护坡</w:t>
            </w:r>
            <w:r>
              <w:rPr>
                <w:rFonts w:hint="eastAsia" w:cs="Times New Roman"/>
                <w:color w:val="auto"/>
                <w:kern w:val="0"/>
                <w:sz w:val="18"/>
                <w:szCs w:val="18"/>
                <w:highlight w:val="none"/>
              </w:rPr>
              <w:t>234838</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、挂CF网植草护坡44710</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、锚杆框架梁植草护坡81043</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、窗孔式护面墙植草护坡5251</w:t>
            </w:r>
            <w:r>
              <w:rPr>
                <w:rFonts w:cs="Times New Roman"/>
                <w:b w:val="0"/>
                <w:bCs w:val="0"/>
                <w:color w:val="auto"/>
                <w:highlight w:val="none"/>
              </w:rPr>
              <w:t>m</w:t>
            </w:r>
            <w:r>
              <w:rPr>
                <w:rFonts w:cs="Times New Roman"/>
                <w:b w:val="0"/>
                <w:bCs w:val="0"/>
                <w:color w:val="auto"/>
                <w:highlight w:val="none"/>
                <w:vertAlign w:val="superscript"/>
              </w:rPr>
              <w:t>2</w:t>
            </w: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hint="eastAsia" w:cs="Times New Roman"/>
                <w:color w:val="auto"/>
                <w:kern w:val="0"/>
                <w:sz w:val="18"/>
                <w:szCs w:val="18"/>
                <w:highlight w:val="none"/>
              </w:rPr>
            </w:pPr>
            <w:r>
              <w:rPr>
                <w:rFonts w:hint="eastAsia" w:cs="Times New Roman"/>
                <w:color w:val="auto"/>
                <w:kern w:val="0"/>
                <w:sz w:val="18"/>
                <w:szCs w:val="18"/>
                <w:highlight w:val="none"/>
              </w:rPr>
              <w:t>方案新增：临时拦水坎14530m、临时急流槽21800m、临时排水沟58700m、临时沉沙池84座、编织土袋挡墙临时拦挡18354m、无纺布临时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盖544940</w:t>
            </w:r>
            <w:r>
              <w:rPr>
                <w:rFonts w:cs="Times New Roman"/>
                <w:b w:val="0"/>
                <w:bCs w:val="0"/>
                <w:color w:val="auto"/>
                <w:highlight w:val="none"/>
              </w:rPr>
              <w:t>m</w:t>
            </w:r>
            <w:r>
              <w:rPr>
                <w:rFonts w:cs="Times New Roman"/>
                <w:b w:val="0"/>
                <w:bCs w:val="0"/>
                <w:color w:val="auto"/>
                <w:highlight w:val="none"/>
                <w:vertAlign w:val="superscript"/>
              </w:rPr>
              <w:t>2</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桥梁工程防治区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w:t>
            </w:r>
            <w:r>
              <w:rPr>
                <w:rFonts w:cs="Times New Roman"/>
                <w:color w:val="auto"/>
                <w:kern w:val="0"/>
                <w:sz w:val="18"/>
                <w:szCs w:val="18"/>
                <w:highlight w:val="none"/>
              </w:rPr>
              <w:t>表土剥离</w:t>
            </w:r>
            <w:r>
              <w:rPr>
                <w:rFonts w:hint="eastAsia" w:cs="Times New Roman"/>
                <w:color w:val="auto"/>
                <w:kern w:val="0"/>
                <w:sz w:val="18"/>
                <w:szCs w:val="18"/>
                <w:highlight w:val="none"/>
              </w:rPr>
              <w:t>12.26万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、表土回覆</w:t>
            </w:r>
            <w:r>
              <w:rPr>
                <w:rFonts w:hint="eastAsia" w:cs="Times New Roman"/>
                <w:color w:val="auto"/>
                <w:kern w:val="0"/>
                <w:sz w:val="18"/>
                <w:szCs w:val="18"/>
                <w:highlight w:val="none"/>
                <w:lang w:eastAsia="zh-CN"/>
              </w:rPr>
              <w:t>9.86</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w:t>
            </w:r>
            <w:r>
              <w:rPr>
                <w:rFonts w:cs="Times New Roman"/>
                <w:color w:val="auto"/>
                <w:kern w:val="0"/>
                <w:sz w:val="18"/>
                <w:szCs w:val="18"/>
                <w:highlight w:val="none"/>
              </w:rPr>
              <w:t>土地整治</w:t>
            </w:r>
            <w:r>
              <w:rPr>
                <w:rFonts w:hint="eastAsia" w:cs="Times New Roman"/>
                <w:color w:val="auto"/>
                <w:kern w:val="0"/>
                <w:sz w:val="18"/>
                <w:szCs w:val="18"/>
                <w:highlight w:val="none"/>
              </w:rPr>
              <w:t>19.71</w:t>
            </w:r>
            <w:r>
              <w:rPr>
                <w:rFonts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方案新增：植被恢复19.71</w:t>
            </w:r>
            <w:r>
              <w:rPr>
                <w:rFonts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（植草）</w:t>
            </w: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cs="Times New Roman"/>
                <w:color w:val="FF0000"/>
                <w:kern w:val="0"/>
                <w:sz w:val="18"/>
                <w:szCs w:val="18"/>
                <w:highlight w:val="none"/>
              </w:rPr>
            </w:pPr>
            <w:r>
              <w:rPr>
                <w:rFonts w:hint="eastAsia" w:cs="Times New Roman"/>
                <w:color w:val="auto"/>
                <w:kern w:val="0"/>
                <w:sz w:val="18"/>
                <w:szCs w:val="18"/>
                <w:highlight w:val="none"/>
              </w:rPr>
              <w:t>方案新增：临时排水沟28830m、临时沉沙池186座、编织土袋挡墙临时拦挡24920m、无纺布临时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盖54100</w:t>
            </w:r>
            <w:r>
              <w:rPr>
                <w:rFonts w:cs="Times New Roman"/>
                <w:b w:val="0"/>
                <w:bCs w:val="0"/>
                <w:color w:val="auto"/>
                <w:highlight w:val="none"/>
              </w:rPr>
              <w:t>m</w:t>
            </w:r>
            <w:r>
              <w:rPr>
                <w:rFonts w:cs="Times New Roman"/>
                <w:b w:val="0"/>
                <w:bCs w:val="0"/>
                <w:color w:val="auto"/>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隧道工程防治区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主体设计：洞外排水沟</w:t>
            </w:r>
            <w:r>
              <w:rPr>
                <w:rFonts w:hint="eastAsia" w:cs="Times New Roman"/>
                <w:color w:val="auto"/>
                <w:kern w:val="0"/>
                <w:sz w:val="18"/>
                <w:szCs w:val="18"/>
                <w:highlight w:val="none"/>
                <w:lang w:eastAsia="zh-CN"/>
              </w:rPr>
              <w:t>461</w:t>
            </w:r>
            <w:r>
              <w:rPr>
                <w:rFonts w:hint="eastAsia" w:cs="Times New Roman"/>
                <w:color w:val="auto"/>
                <w:kern w:val="0"/>
                <w:sz w:val="18"/>
                <w:szCs w:val="18"/>
                <w:highlight w:val="none"/>
              </w:rPr>
              <w:t>m、洞外截水沟</w:t>
            </w:r>
            <w:r>
              <w:rPr>
                <w:rFonts w:hint="eastAsia" w:cs="Times New Roman"/>
                <w:color w:val="auto"/>
                <w:kern w:val="0"/>
                <w:sz w:val="18"/>
                <w:szCs w:val="18"/>
                <w:highlight w:val="none"/>
                <w:lang w:eastAsia="zh-CN"/>
              </w:rPr>
              <w:t>2595</w:t>
            </w:r>
            <w:r>
              <w:rPr>
                <w:rFonts w:hint="eastAsia" w:cs="Times New Roman"/>
                <w:color w:val="auto"/>
                <w:kern w:val="0"/>
                <w:sz w:val="18"/>
                <w:szCs w:val="18"/>
                <w:highlight w:val="none"/>
              </w:rPr>
              <w:t>m、盲沟1598m、</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w:t>
            </w:r>
            <w:r>
              <w:rPr>
                <w:rFonts w:cs="Times New Roman"/>
                <w:color w:val="auto"/>
                <w:kern w:val="0"/>
                <w:sz w:val="18"/>
                <w:szCs w:val="18"/>
                <w:highlight w:val="none"/>
              </w:rPr>
              <w:t>表土剥离</w:t>
            </w:r>
            <w:r>
              <w:rPr>
                <w:rFonts w:hint="eastAsia" w:cs="Times New Roman"/>
                <w:color w:val="auto"/>
                <w:kern w:val="0"/>
                <w:sz w:val="18"/>
                <w:szCs w:val="18"/>
                <w:highlight w:val="none"/>
              </w:rPr>
              <w:t>2.24万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、表土回覆</w:t>
            </w:r>
            <w:r>
              <w:rPr>
                <w:rFonts w:hint="eastAsia" w:cs="Times New Roman"/>
                <w:color w:val="auto"/>
                <w:kern w:val="0"/>
                <w:sz w:val="18"/>
                <w:szCs w:val="18"/>
                <w:highlight w:val="none"/>
                <w:lang w:eastAsia="zh-CN"/>
              </w:rPr>
              <w:t>1.94</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hint="eastAsia" w:eastAsia="仿宋_GB2312" w:cs="Times New Roman"/>
                <w:color w:val="FF0000"/>
                <w:kern w:val="0"/>
                <w:sz w:val="18"/>
                <w:szCs w:val="18"/>
                <w:highlight w:val="none"/>
                <w:lang w:eastAsia="zh-CN"/>
              </w:rPr>
            </w:pPr>
            <w:r>
              <w:rPr>
                <w:rFonts w:hint="eastAsia" w:cs="Times New Roman"/>
                <w:color w:val="auto"/>
                <w:kern w:val="0"/>
                <w:sz w:val="18"/>
                <w:szCs w:val="18"/>
                <w:highlight w:val="none"/>
              </w:rPr>
              <w:t>主体设计：综合绿化4.71h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（包含植物护坡面积，共植乔木2903株、植灌木75530株、植草47127</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r>
              <w:rPr>
                <w:rFonts w:hint="eastAsia" w:cs="Times New Roman"/>
                <w:color w:val="auto"/>
                <w:kern w:val="0"/>
                <w:sz w:val="18"/>
                <w:szCs w:val="18"/>
                <w:highlight w:val="none"/>
                <w:lang w:eastAsia="zh-CN"/>
              </w:rPr>
              <w:t>、挂网喷播植草1909</w:t>
            </w:r>
            <w:r>
              <w:rPr>
                <w:rFonts w:hint="default" w:cs="Times New Roman"/>
                <w:highlight w:val="none"/>
                <w:lang w:val="en-US" w:eastAsia="zh-CN"/>
              </w:rPr>
              <w:t>m</w:t>
            </w:r>
            <w:r>
              <w:rPr>
                <w:rFonts w:hint="default" w:cs="Times New Roman"/>
                <w:highlight w:val="none"/>
                <w:vertAlign w:val="superscript"/>
                <w:lang w:val="en-US" w:eastAsia="zh-CN"/>
              </w:rPr>
              <w:t>3</w:t>
            </w: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hint="eastAsia" w:cs="Times New Roman"/>
                <w:color w:val="auto"/>
                <w:kern w:val="0"/>
                <w:sz w:val="18"/>
                <w:szCs w:val="18"/>
                <w:highlight w:val="none"/>
              </w:rPr>
            </w:pPr>
            <w:r>
              <w:rPr>
                <w:rFonts w:hint="eastAsia" w:cs="Times New Roman"/>
                <w:color w:val="auto"/>
                <w:kern w:val="0"/>
                <w:sz w:val="18"/>
                <w:szCs w:val="18"/>
                <w:highlight w:val="none"/>
              </w:rPr>
              <w:t>方案新增：临时排水沟15200m、临时沉沙池16座、编织土袋挡墙临时拦挡</w:t>
            </w:r>
            <w:r>
              <w:rPr>
                <w:rFonts w:hint="eastAsia" w:cs="Times New Roman"/>
                <w:color w:val="auto"/>
                <w:kern w:val="0"/>
                <w:sz w:val="18"/>
                <w:szCs w:val="18"/>
                <w:highlight w:val="none"/>
                <w:lang w:val="en-US" w:eastAsia="zh-CN"/>
              </w:rPr>
              <w:t>4064</w:t>
            </w:r>
            <w:r>
              <w:rPr>
                <w:rFonts w:hint="eastAsia" w:cs="Times New Roman"/>
                <w:color w:val="auto"/>
                <w:kern w:val="0"/>
                <w:sz w:val="18"/>
                <w:szCs w:val="18"/>
                <w:highlight w:val="none"/>
              </w:rPr>
              <w:t>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w:t>
            </w:r>
          </w:p>
          <w:p>
            <w:pPr>
              <w:pStyle w:val="85"/>
              <w:keepNext w:val="0"/>
              <w:keepLines w:val="0"/>
              <w:suppressLineNumbers w:val="0"/>
              <w:spacing w:before="0" w:beforeAutospacing="0" w:after="0" w:afterAutospacing="0"/>
              <w:ind w:left="0" w:right="0"/>
              <w:jc w:val="left"/>
              <w:rPr>
                <w:rFonts w:cs="Times New Roman"/>
                <w:color w:val="FF0000"/>
                <w:kern w:val="0"/>
                <w:sz w:val="18"/>
                <w:szCs w:val="18"/>
                <w:highlight w:val="none"/>
              </w:rPr>
            </w:pPr>
            <w:r>
              <w:rPr>
                <w:rFonts w:hint="eastAsia" w:cs="Times New Roman"/>
                <w:color w:val="auto"/>
                <w:kern w:val="0"/>
                <w:sz w:val="18"/>
                <w:szCs w:val="18"/>
                <w:highlight w:val="none"/>
                <w:lang w:val="en-US" w:eastAsia="zh-CN"/>
              </w:rPr>
              <w:t>37</w:t>
            </w:r>
            <w:r>
              <w:rPr>
                <w:rFonts w:hint="eastAsia" w:cs="Times New Roman"/>
                <w:color w:val="auto"/>
                <w:kern w:val="0"/>
                <w:sz w:val="18"/>
                <w:szCs w:val="18"/>
                <w:highlight w:val="none"/>
              </w:rPr>
              <w:t>800</w:t>
            </w:r>
            <w:r>
              <w:rPr>
                <w:rFonts w:cs="Times New Roman"/>
                <w:b w:val="0"/>
                <w:bCs w:val="0"/>
                <w:color w:val="auto"/>
                <w:highlight w:val="none"/>
              </w:rPr>
              <w:t>m</w:t>
            </w:r>
            <w:r>
              <w:rPr>
                <w:rFonts w:cs="Times New Roman"/>
                <w:b w:val="0"/>
                <w:bCs w:val="0"/>
                <w:color w:val="auto"/>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互通工程</w:t>
            </w:r>
            <w:r>
              <w:rPr>
                <w:rFonts w:cs="Times New Roman"/>
                <w:color w:val="auto"/>
                <w:kern w:val="0"/>
                <w:sz w:val="18"/>
                <w:szCs w:val="18"/>
                <w:highlight w:val="none"/>
              </w:rPr>
              <w:t>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主体设计：排水沟34464m、纵向排水沟748</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、边沟30514m、坡顶截水沟7083m、平台截水沟10008m、急流槽153m、实体护坡1389</w:t>
            </w:r>
            <w:r>
              <w:rPr>
                <w:rFonts w:hint="default" w:cs="Times New Roman"/>
                <w:highlight w:val="none"/>
                <w:lang w:val="en-US" w:eastAsia="zh-CN"/>
              </w:rPr>
              <w:t>m</w:t>
            </w:r>
            <w:r>
              <w:rPr>
                <w:rFonts w:hint="default" w:cs="Times New Roman"/>
                <w:highlight w:val="none"/>
                <w:vertAlign w:val="superscript"/>
                <w:lang w:val="en-US" w:eastAsia="zh-CN"/>
              </w:rPr>
              <w:t>3</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w:t>
            </w:r>
            <w:r>
              <w:rPr>
                <w:rFonts w:cs="Times New Roman"/>
                <w:color w:val="auto"/>
                <w:kern w:val="0"/>
                <w:sz w:val="18"/>
                <w:szCs w:val="18"/>
                <w:highlight w:val="none"/>
              </w:rPr>
              <w:t>表土剥离</w:t>
            </w:r>
            <w:r>
              <w:rPr>
                <w:rFonts w:hint="eastAsia" w:cs="Times New Roman"/>
                <w:color w:val="auto"/>
                <w:kern w:val="0"/>
                <w:sz w:val="18"/>
                <w:szCs w:val="18"/>
                <w:highlight w:val="none"/>
              </w:rPr>
              <w:t>47.86万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、表土回覆</w:t>
            </w:r>
            <w:r>
              <w:rPr>
                <w:rFonts w:hint="eastAsia" w:cs="Times New Roman"/>
                <w:color w:val="auto"/>
                <w:kern w:val="0"/>
                <w:sz w:val="18"/>
                <w:szCs w:val="18"/>
                <w:highlight w:val="none"/>
                <w:lang w:eastAsia="zh-CN"/>
              </w:rPr>
              <w:t>29.41</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hint="eastAsia" w:eastAsia="仿宋_GB2312" w:cs="Times New Roman"/>
                <w:color w:val="FF0000"/>
                <w:kern w:val="0"/>
                <w:sz w:val="18"/>
                <w:szCs w:val="18"/>
                <w:highlight w:val="none"/>
                <w:lang w:eastAsia="zh-CN"/>
              </w:rPr>
            </w:pPr>
            <w:r>
              <w:rPr>
                <w:rFonts w:hint="eastAsia" w:cs="Times New Roman"/>
                <w:color w:val="auto"/>
                <w:kern w:val="0"/>
                <w:sz w:val="18"/>
                <w:szCs w:val="18"/>
                <w:highlight w:val="none"/>
              </w:rPr>
              <w:t>主体设计：综合绿化23.59h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（包含植物护坡面积，共植乔木5962株、植灌木44370株、植草235858</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r>
              <w:rPr>
                <w:rFonts w:hint="eastAsia" w:cs="Times New Roman"/>
                <w:color w:val="auto"/>
                <w:kern w:val="0"/>
                <w:sz w:val="18"/>
                <w:szCs w:val="18"/>
                <w:highlight w:val="none"/>
                <w:lang w:eastAsia="zh-CN"/>
              </w:rPr>
              <w:t>、喷播</w:t>
            </w:r>
            <w:r>
              <w:rPr>
                <w:rFonts w:hint="eastAsia" w:cs="Times New Roman"/>
                <w:color w:val="auto"/>
                <w:kern w:val="0"/>
                <w:sz w:val="18"/>
                <w:szCs w:val="18"/>
                <w:highlight w:val="none"/>
              </w:rPr>
              <w:t>植草101892</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、三维网植草145300</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、CF网植草35105</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、拱形骨架植草144423</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、锚杆框架梁植草27134</w:t>
            </w:r>
            <w:r>
              <w:rPr>
                <w:rFonts w:cs="Times New Roman"/>
                <w:b w:val="0"/>
                <w:bCs w:val="0"/>
                <w:color w:val="auto"/>
                <w:highlight w:val="none"/>
              </w:rPr>
              <w:t>m</w:t>
            </w:r>
            <w:r>
              <w:rPr>
                <w:rFonts w:cs="Times New Roman"/>
                <w:b w:val="0"/>
                <w:bCs w:val="0"/>
                <w:color w:val="auto"/>
                <w:highlight w:val="none"/>
                <w:vertAlign w:val="superscript"/>
              </w:rPr>
              <w:t>2</w:t>
            </w: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cs="Times New Roman"/>
                <w:color w:val="FF0000"/>
                <w:kern w:val="0"/>
                <w:sz w:val="18"/>
                <w:szCs w:val="18"/>
                <w:highlight w:val="none"/>
              </w:rPr>
            </w:pPr>
            <w:r>
              <w:rPr>
                <w:rFonts w:hint="eastAsia" w:cs="Times New Roman"/>
                <w:color w:val="auto"/>
                <w:kern w:val="0"/>
                <w:sz w:val="18"/>
                <w:szCs w:val="18"/>
                <w:highlight w:val="none"/>
              </w:rPr>
              <w:t>方案新增：临时拦水坎20040m、临时急流槽30060m、临时排水沟76300m、临时沉沙池20座、编织土袋挡墙临时拦挡27130m、无纺布临时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盖488850</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、表土撒播草籽（过渡性绿化）3.5h</w:t>
            </w:r>
            <w:r>
              <w:rPr>
                <w:rFonts w:cs="Times New Roman"/>
                <w:b w:val="0"/>
                <w:bCs w:val="0"/>
                <w:color w:val="auto"/>
                <w:highlight w:val="none"/>
              </w:rPr>
              <w:t>m</w:t>
            </w:r>
            <w:r>
              <w:rPr>
                <w:rFonts w:cs="Times New Roman"/>
                <w:b w:val="0"/>
                <w:bCs w:val="0"/>
                <w:color w:val="auto"/>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restart"/>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r>
              <w:rPr>
                <w:rFonts w:cs="Times New Roman"/>
                <w:color w:val="auto"/>
                <w:kern w:val="0"/>
                <w:sz w:val="18"/>
                <w:szCs w:val="18"/>
                <w:highlight w:val="none"/>
              </w:rPr>
              <w:t>防治措施及工程量</w:t>
            </w: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r>
              <w:rPr>
                <w:rFonts w:cs="Times New Roman"/>
                <w:color w:val="auto"/>
                <w:kern w:val="0"/>
                <w:sz w:val="18"/>
                <w:szCs w:val="18"/>
                <w:highlight w:val="none"/>
              </w:rPr>
              <w:t>沿线设施防治区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主体设计：排水沟4127m、边沟1014m、坡顶截水沟1050m、平台截水沟2448m、急流槽1132m、</w:t>
            </w:r>
          </w:p>
          <w:p>
            <w:pPr>
              <w:pStyle w:val="85"/>
              <w:keepNext w:val="0"/>
              <w:keepLines w:val="0"/>
              <w:suppressLineNumbers w:val="0"/>
              <w:spacing w:before="0" w:beforeAutospacing="0" w:after="0" w:afterAutospacing="0"/>
              <w:ind w:left="0" w:right="0"/>
              <w:jc w:val="left"/>
              <w:rPr>
                <w:rFonts w:cs="Times New Roman"/>
                <w:color w:val="FF0000"/>
                <w:kern w:val="0"/>
                <w:sz w:val="18"/>
                <w:szCs w:val="18"/>
                <w:highlight w:val="none"/>
              </w:rPr>
            </w:pPr>
            <w:r>
              <w:rPr>
                <w:rFonts w:hint="eastAsia" w:cs="Times New Roman"/>
                <w:color w:val="auto"/>
                <w:kern w:val="0"/>
                <w:sz w:val="18"/>
                <w:szCs w:val="18"/>
                <w:highlight w:val="none"/>
              </w:rPr>
              <w:t>方案新增：</w:t>
            </w:r>
            <w:r>
              <w:rPr>
                <w:rFonts w:cs="Times New Roman"/>
                <w:color w:val="auto"/>
                <w:kern w:val="0"/>
                <w:sz w:val="18"/>
                <w:szCs w:val="18"/>
                <w:highlight w:val="none"/>
              </w:rPr>
              <w:t>表土剥离</w:t>
            </w:r>
            <w:r>
              <w:rPr>
                <w:rFonts w:hint="eastAsia" w:cs="Times New Roman"/>
                <w:color w:val="auto"/>
                <w:kern w:val="0"/>
                <w:sz w:val="18"/>
                <w:szCs w:val="18"/>
                <w:highlight w:val="none"/>
              </w:rPr>
              <w:t>18.6万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、表土回覆</w:t>
            </w:r>
            <w:r>
              <w:rPr>
                <w:rFonts w:hint="eastAsia" w:cs="Times New Roman"/>
                <w:color w:val="auto"/>
                <w:kern w:val="0"/>
                <w:sz w:val="18"/>
                <w:szCs w:val="18"/>
                <w:highlight w:val="none"/>
                <w:lang w:eastAsia="zh-CN"/>
              </w:rPr>
              <w:t>5.48</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hint="eastAsia" w:eastAsia="仿宋_GB2312" w:cs="Times New Roman"/>
                <w:color w:val="FF0000"/>
                <w:kern w:val="0"/>
                <w:sz w:val="18"/>
                <w:szCs w:val="18"/>
                <w:highlight w:val="none"/>
                <w:lang w:eastAsia="zh-CN"/>
              </w:rPr>
            </w:pPr>
            <w:r>
              <w:rPr>
                <w:rFonts w:hint="eastAsia" w:cs="Times New Roman"/>
                <w:color w:val="auto"/>
                <w:kern w:val="0"/>
                <w:sz w:val="18"/>
                <w:szCs w:val="18"/>
                <w:highlight w:val="none"/>
              </w:rPr>
              <w:t>主体设计：综合绿化2.57h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（包含植物护坡面积，共植乔木1342株、植灌木367371株、植草25669</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r>
              <w:rPr>
                <w:rFonts w:hint="eastAsia" w:cs="Times New Roman"/>
                <w:color w:val="auto"/>
                <w:kern w:val="0"/>
                <w:sz w:val="18"/>
                <w:szCs w:val="18"/>
                <w:highlight w:val="none"/>
                <w:lang w:eastAsia="zh-CN"/>
              </w:rPr>
              <w:t>、</w:t>
            </w:r>
            <w:r>
              <w:rPr>
                <w:rFonts w:hint="eastAsia" w:cs="Times New Roman"/>
                <w:color w:val="auto"/>
                <w:kern w:val="0"/>
                <w:sz w:val="18"/>
                <w:szCs w:val="18"/>
                <w:highlight w:val="none"/>
              </w:rPr>
              <w:t>喷播植草3646</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、三维网植草5795</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、拱形骨架护坡植草138968</w:t>
            </w:r>
            <w:r>
              <w:rPr>
                <w:rFonts w:cs="Times New Roman"/>
                <w:b w:val="0"/>
                <w:bCs w:val="0"/>
                <w:color w:val="auto"/>
                <w:highlight w:val="none"/>
              </w:rPr>
              <w:t>m</w:t>
            </w:r>
            <w:r>
              <w:rPr>
                <w:rFonts w:cs="Times New Roman"/>
                <w:b w:val="0"/>
                <w:bCs w:val="0"/>
                <w:color w:val="auto"/>
                <w:highlight w:val="none"/>
                <w:vertAlign w:val="superscript"/>
              </w:rPr>
              <w:t>2</w:t>
            </w: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cs="Times New Roman"/>
                <w:color w:val="FF0000"/>
                <w:kern w:val="0"/>
                <w:sz w:val="18"/>
                <w:szCs w:val="18"/>
                <w:highlight w:val="none"/>
              </w:rPr>
            </w:pPr>
            <w:r>
              <w:rPr>
                <w:rFonts w:hint="eastAsia" w:cs="Times New Roman"/>
                <w:color w:val="auto"/>
                <w:kern w:val="0"/>
                <w:sz w:val="18"/>
                <w:szCs w:val="18"/>
                <w:highlight w:val="none"/>
              </w:rPr>
              <w:t>方案新增：临时拦水坎1950m、临时急流槽2925m、临时排水沟6020m、临时沉沙池20座、编织土袋挡墙临时拦挡</w:t>
            </w:r>
            <w:r>
              <w:rPr>
                <w:rFonts w:hint="eastAsia" w:cs="Times New Roman"/>
                <w:color w:val="auto"/>
                <w:kern w:val="0"/>
                <w:sz w:val="18"/>
                <w:szCs w:val="18"/>
                <w:highlight w:val="none"/>
                <w:lang w:val="en-US" w:eastAsia="zh-CN"/>
              </w:rPr>
              <w:t>3</w:t>
            </w:r>
            <w:r>
              <w:rPr>
                <w:rFonts w:hint="eastAsia" w:cs="Times New Roman"/>
                <w:color w:val="auto"/>
                <w:kern w:val="0"/>
                <w:sz w:val="18"/>
                <w:szCs w:val="18"/>
                <w:highlight w:val="none"/>
              </w:rPr>
              <w:t>570m、无纺布临时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盖3</w:t>
            </w:r>
            <w:r>
              <w:rPr>
                <w:rFonts w:hint="eastAsia" w:cs="Times New Roman"/>
                <w:color w:val="auto"/>
                <w:kern w:val="0"/>
                <w:sz w:val="18"/>
                <w:szCs w:val="18"/>
                <w:highlight w:val="none"/>
                <w:lang w:val="en-US" w:eastAsia="zh-CN"/>
              </w:rPr>
              <w:t>9</w:t>
            </w:r>
            <w:r>
              <w:rPr>
                <w:rFonts w:hint="eastAsia" w:cs="Times New Roman"/>
                <w:color w:val="auto"/>
                <w:kern w:val="0"/>
                <w:sz w:val="18"/>
                <w:szCs w:val="18"/>
                <w:highlight w:val="none"/>
              </w:rPr>
              <w:t>9400</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、表土撒播草籽（过渡性绿化）13.14h</w:t>
            </w:r>
            <w:r>
              <w:rPr>
                <w:rFonts w:cs="Times New Roman"/>
                <w:b w:val="0"/>
                <w:bCs w:val="0"/>
                <w:color w:val="auto"/>
                <w:highlight w:val="none"/>
              </w:rPr>
              <w:t>m</w:t>
            </w:r>
            <w:r>
              <w:rPr>
                <w:rFonts w:cs="Times New Roman"/>
                <w:b w:val="0"/>
                <w:bCs w:val="0"/>
                <w:color w:val="auto"/>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改移工程防治区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hint="eastAsia" w:cs="Times New Roman"/>
                <w:color w:val="auto"/>
                <w:kern w:val="0"/>
                <w:sz w:val="18"/>
                <w:szCs w:val="18"/>
                <w:highlight w:val="none"/>
                <w:lang w:val="en-US" w:eastAsia="zh-CN"/>
              </w:rPr>
            </w:pPr>
            <w:r>
              <w:rPr>
                <w:rFonts w:hint="eastAsia" w:cs="Times New Roman"/>
                <w:color w:val="auto"/>
                <w:kern w:val="0"/>
                <w:sz w:val="18"/>
                <w:szCs w:val="18"/>
                <w:highlight w:val="none"/>
              </w:rPr>
              <w:t>主体设计：边沟24405m、</w:t>
            </w:r>
            <w:r>
              <w:rPr>
                <w:rFonts w:hint="eastAsia" w:cs="Times New Roman"/>
                <w:color w:val="auto"/>
                <w:kern w:val="0"/>
                <w:sz w:val="18"/>
                <w:szCs w:val="18"/>
                <w:highlight w:val="none"/>
                <w:lang w:val="en-US" w:eastAsia="zh-CN"/>
              </w:rPr>
              <w:t>片石混凝土护坡4054</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lang w:val="en-US" w:eastAsia="zh-CN"/>
              </w:rPr>
              <w:t>。</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方案新增：表土剥离3.61万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、表土回覆</w:t>
            </w:r>
            <w:r>
              <w:rPr>
                <w:rFonts w:hint="eastAsia" w:cs="Times New Roman"/>
                <w:color w:val="auto"/>
                <w:kern w:val="0"/>
                <w:sz w:val="18"/>
                <w:szCs w:val="18"/>
                <w:highlight w:val="none"/>
                <w:lang w:eastAsia="zh-CN"/>
              </w:rPr>
              <w:t>1.64</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p>
        </w:tc>
        <w:tc>
          <w:tcPr>
            <w:tcW w:w="2081" w:type="dxa"/>
            <w:gridSpan w:val="2"/>
            <w:noWrap w:val="0"/>
            <w:vAlign w:val="center"/>
          </w:tcPr>
          <w:p>
            <w:pPr>
              <w:pStyle w:val="85"/>
              <w:keepNext w:val="0"/>
              <w:keepLines w:val="0"/>
              <w:suppressLineNumbers w:val="0"/>
              <w:spacing w:before="0" w:beforeAutospacing="0" w:after="0" w:afterAutospacing="0"/>
              <w:ind w:left="0" w:right="0"/>
              <w:rPr>
                <w:rFonts w:hint="eastAsia" w:cs="Times New Roman"/>
                <w:color w:val="FF0000"/>
                <w:kern w:val="0"/>
                <w:sz w:val="18"/>
                <w:szCs w:val="18"/>
                <w:highlight w:val="none"/>
              </w:rPr>
            </w:pPr>
            <w:r>
              <w:rPr>
                <w:rFonts w:hint="eastAsia" w:cs="Times New Roman"/>
                <w:color w:val="auto"/>
                <w:kern w:val="0"/>
                <w:sz w:val="18"/>
                <w:szCs w:val="18"/>
                <w:highlight w:val="none"/>
                <w:lang w:val="en-US" w:eastAsia="zh-CN"/>
              </w:rPr>
              <w:t>主体设计：</w:t>
            </w:r>
            <w:r>
              <w:rPr>
                <w:rFonts w:hint="eastAsia" w:cs="Times New Roman"/>
                <w:color w:val="auto"/>
                <w:kern w:val="0"/>
                <w:sz w:val="18"/>
                <w:szCs w:val="18"/>
                <w:highlight w:val="none"/>
              </w:rPr>
              <w:t>喷播植草护坡</w:t>
            </w:r>
            <w:r>
              <w:rPr>
                <w:rFonts w:hint="eastAsia" w:cs="Times New Roman"/>
                <w:color w:val="auto"/>
                <w:kern w:val="0"/>
                <w:sz w:val="18"/>
                <w:szCs w:val="18"/>
                <w:highlight w:val="none"/>
                <w:lang w:eastAsia="zh-CN"/>
              </w:rPr>
              <w:t>54705</w:t>
            </w:r>
            <w:r>
              <w:rPr>
                <w:rFonts w:cs="Times New Roman"/>
                <w:b w:val="0"/>
                <w:bCs w:val="0"/>
                <w:color w:val="auto"/>
                <w:highlight w:val="none"/>
              </w:rPr>
              <w:t>m</w:t>
            </w:r>
            <w:r>
              <w:rPr>
                <w:rFonts w:cs="Times New Roman"/>
                <w:b w:val="0"/>
                <w:bCs w:val="0"/>
                <w:color w:val="auto"/>
                <w:highlight w:val="none"/>
                <w:vertAlign w:val="superscript"/>
              </w:rPr>
              <w:t>2</w:t>
            </w: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cs="Times New Roman"/>
                <w:color w:val="FF0000"/>
                <w:kern w:val="0"/>
                <w:sz w:val="18"/>
                <w:szCs w:val="18"/>
                <w:highlight w:val="none"/>
              </w:rPr>
            </w:pPr>
            <w:r>
              <w:rPr>
                <w:rFonts w:hint="eastAsia" w:cs="Times New Roman"/>
                <w:color w:val="auto"/>
                <w:kern w:val="0"/>
                <w:sz w:val="18"/>
                <w:szCs w:val="18"/>
                <w:highlight w:val="none"/>
              </w:rPr>
              <w:t>方案新增：临时排水沟26400m、临时沉沙池20座、编织土袋挡墙临时拦挡7120m、无纺布临时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w:t>
            </w:r>
            <w:r>
              <w:rPr>
                <w:rFonts w:hint="eastAsia" w:cs="Times New Roman"/>
                <w:color w:val="auto"/>
                <w:kern w:val="0"/>
                <w:sz w:val="18"/>
                <w:szCs w:val="18"/>
                <w:highlight w:val="none"/>
                <w:lang w:val="en-US" w:eastAsia="zh-CN"/>
              </w:rPr>
              <w:t>5</w:t>
            </w:r>
            <w:r>
              <w:rPr>
                <w:rFonts w:hint="eastAsia" w:cs="Times New Roman"/>
                <w:color w:val="auto"/>
                <w:kern w:val="0"/>
                <w:sz w:val="18"/>
                <w:szCs w:val="18"/>
                <w:highlight w:val="none"/>
              </w:rPr>
              <w:t>3070</w:t>
            </w:r>
            <w:r>
              <w:rPr>
                <w:rFonts w:cs="Times New Roman"/>
                <w:b w:val="0"/>
                <w:bCs w:val="0"/>
                <w:color w:val="auto"/>
                <w:highlight w:val="none"/>
              </w:rPr>
              <w:t>m</w:t>
            </w:r>
            <w:r>
              <w:rPr>
                <w:rFonts w:cs="Times New Roman"/>
                <w:b w:val="0"/>
                <w:bCs w:val="0"/>
                <w:color w:val="auto"/>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施工生产生活区防治区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hint="eastAsia" w:cs="Times New Roman"/>
                <w:color w:val="auto"/>
                <w:kern w:val="0"/>
                <w:sz w:val="18"/>
                <w:szCs w:val="18"/>
                <w:highlight w:val="none"/>
              </w:rPr>
            </w:pPr>
            <w:r>
              <w:rPr>
                <w:rFonts w:hint="eastAsia" w:cs="Times New Roman"/>
                <w:color w:val="auto"/>
                <w:kern w:val="0"/>
                <w:sz w:val="18"/>
                <w:szCs w:val="18"/>
                <w:highlight w:val="none"/>
              </w:rPr>
              <w:t>主体设计：表土剥离10.52万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、表土回覆</w:t>
            </w:r>
            <w:r>
              <w:rPr>
                <w:rFonts w:hint="eastAsia" w:cs="Times New Roman"/>
                <w:color w:val="auto"/>
                <w:kern w:val="0"/>
                <w:sz w:val="18"/>
                <w:szCs w:val="18"/>
                <w:highlight w:val="none"/>
                <w:lang w:eastAsia="zh-CN"/>
              </w:rPr>
              <w:t>17.54</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、土地整治35.08h</w:t>
            </w:r>
            <w:r>
              <w:rPr>
                <w:rFonts w:cs="Times New Roman"/>
                <w:b w:val="0"/>
                <w:bCs w:val="0"/>
                <w:color w:val="auto"/>
                <w:highlight w:val="none"/>
              </w:rPr>
              <w:t>m</w:t>
            </w:r>
            <w:r>
              <w:rPr>
                <w:rFonts w:cs="Times New Roman"/>
                <w:b w:val="0"/>
                <w:bCs w:val="0"/>
                <w:color w:val="auto"/>
                <w:highlight w:val="none"/>
                <w:vertAlign w:val="superscript"/>
              </w:rPr>
              <w:t>2</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主体设计：综合绿化35.08h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（植乔木87703株，播种灌草35.08h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主体设计：临时排水沟70009m、编织土袋挡墙临时拦挡27306m、无纺布临时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盖47342</w:t>
            </w:r>
            <w:r>
              <w:rPr>
                <w:rFonts w:cs="Times New Roman"/>
                <w:b w:val="0"/>
                <w:bCs w:val="0"/>
                <w:color w:val="auto"/>
                <w:highlight w:val="none"/>
              </w:rPr>
              <w:t>m</w:t>
            </w:r>
            <w:r>
              <w:rPr>
                <w:rFonts w:cs="Times New Roman"/>
                <w:b w:val="0"/>
                <w:bCs w:val="0"/>
                <w:color w:val="auto"/>
                <w:highlight w:val="none"/>
                <w:vertAlign w:val="superscript"/>
              </w:rPr>
              <w:t>2</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方案新增：临时沉沙池31座、表土撒播草籽（过渡性绿化）6.80h</w:t>
            </w:r>
            <w:r>
              <w:rPr>
                <w:rFonts w:cs="Times New Roman"/>
                <w:b w:val="0"/>
                <w:bCs w:val="0"/>
                <w:color w:val="auto"/>
                <w:highlight w:val="none"/>
              </w:rPr>
              <w:t>m</w:t>
            </w:r>
            <w:r>
              <w:rPr>
                <w:rFonts w:cs="Times New Roman"/>
                <w:b w:val="0"/>
                <w:bCs w:val="0"/>
                <w:color w:val="auto"/>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施工便道防治区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hint="default" w:eastAsia="仿宋_GB2312" w:cs="Times New Roman"/>
                <w:color w:val="auto"/>
                <w:kern w:val="0"/>
                <w:sz w:val="18"/>
                <w:szCs w:val="18"/>
                <w:highlight w:val="none"/>
                <w:lang w:val="en-US" w:eastAsia="zh-CN"/>
              </w:rPr>
            </w:pPr>
            <w:r>
              <w:rPr>
                <w:rFonts w:hint="eastAsia" w:cs="Times New Roman"/>
                <w:color w:val="auto"/>
                <w:kern w:val="0"/>
                <w:sz w:val="18"/>
                <w:szCs w:val="18"/>
                <w:highlight w:val="none"/>
              </w:rPr>
              <w:t>主体设计：表土剥离</w:t>
            </w:r>
            <w:r>
              <w:rPr>
                <w:rFonts w:hint="eastAsia" w:cs="Times New Roman"/>
                <w:color w:val="auto"/>
                <w:kern w:val="0"/>
                <w:sz w:val="18"/>
                <w:szCs w:val="18"/>
                <w:highlight w:val="none"/>
                <w:lang w:eastAsia="zh-CN"/>
              </w:rPr>
              <w:t>11.24</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、表土回覆</w:t>
            </w:r>
            <w:r>
              <w:rPr>
                <w:rFonts w:hint="eastAsia" w:cs="Times New Roman"/>
                <w:color w:val="auto"/>
                <w:kern w:val="0"/>
                <w:sz w:val="18"/>
                <w:szCs w:val="18"/>
                <w:highlight w:val="none"/>
                <w:lang w:eastAsia="zh-CN"/>
              </w:rPr>
              <w:t>37.61</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r>
              <w:rPr>
                <w:rFonts w:hint="eastAsia" w:cs="Times New Roman"/>
                <w:color w:val="auto"/>
                <w:kern w:val="0"/>
                <w:sz w:val="18"/>
                <w:szCs w:val="18"/>
                <w:highlight w:val="none"/>
              </w:rPr>
              <w:t>、土地整治</w:t>
            </w:r>
            <w:r>
              <w:rPr>
                <w:rFonts w:hint="eastAsia" w:cs="Times New Roman"/>
                <w:color w:val="auto"/>
                <w:kern w:val="0"/>
                <w:sz w:val="18"/>
                <w:szCs w:val="18"/>
                <w:highlight w:val="none"/>
                <w:lang w:eastAsia="zh-CN"/>
              </w:rPr>
              <w:t>56.19</w:t>
            </w:r>
            <w:r>
              <w:rPr>
                <w:rFonts w:hint="eastAsia"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r>
              <w:rPr>
                <w:rFonts w:hint="eastAsia" w:cs="Times New Roman"/>
                <w:color w:val="auto"/>
                <w:kern w:val="0"/>
                <w:sz w:val="18"/>
                <w:szCs w:val="18"/>
                <w:highlight w:val="none"/>
                <w:lang w:val="en-US" w:eastAsia="zh-CN"/>
              </w:rPr>
              <w:t>复耕31.73h</w:t>
            </w:r>
            <w:r>
              <w:rPr>
                <w:rFonts w:cs="Times New Roman"/>
                <w:b w:val="0"/>
                <w:bCs w:val="0"/>
                <w:color w:val="auto"/>
                <w:highlight w:val="none"/>
              </w:rPr>
              <w:t>m</w:t>
            </w:r>
            <w:r>
              <w:rPr>
                <w:rFonts w:cs="Times New Roman"/>
                <w:b w:val="0"/>
                <w:bCs w:val="0"/>
                <w:color w:val="auto"/>
                <w:highlight w:val="none"/>
                <w:vertAlign w:val="superscript"/>
              </w:rPr>
              <w:t>2</w:t>
            </w: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cs="Times New Roman"/>
                <w:color w:val="FF0000"/>
                <w:kern w:val="0"/>
                <w:sz w:val="18"/>
                <w:szCs w:val="18"/>
                <w:highlight w:val="none"/>
              </w:rPr>
            </w:pPr>
            <w:r>
              <w:rPr>
                <w:rFonts w:hint="eastAsia" w:cs="Times New Roman"/>
                <w:color w:val="auto"/>
                <w:kern w:val="0"/>
                <w:sz w:val="18"/>
                <w:szCs w:val="18"/>
                <w:highlight w:val="none"/>
              </w:rPr>
              <w:t>主体设计：综合绿化</w:t>
            </w:r>
            <w:r>
              <w:rPr>
                <w:rFonts w:hint="eastAsia" w:cs="Times New Roman"/>
                <w:color w:val="auto"/>
                <w:kern w:val="0"/>
                <w:sz w:val="18"/>
                <w:szCs w:val="18"/>
                <w:highlight w:val="none"/>
                <w:lang w:eastAsia="zh-CN"/>
              </w:rPr>
              <w:t>24.46</w:t>
            </w:r>
            <w:r>
              <w:rPr>
                <w:rFonts w:hint="eastAsia"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（植乔木</w:t>
            </w:r>
            <w:r>
              <w:rPr>
                <w:rFonts w:hint="eastAsia" w:cs="Times New Roman"/>
                <w:color w:val="auto"/>
                <w:kern w:val="0"/>
                <w:sz w:val="18"/>
                <w:szCs w:val="18"/>
                <w:highlight w:val="none"/>
                <w:lang w:eastAsia="zh-CN"/>
              </w:rPr>
              <w:t>61152</w:t>
            </w:r>
            <w:r>
              <w:rPr>
                <w:rFonts w:hint="eastAsia" w:cs="Times New Roman"/>
                <w:color w:val="auto"/>
                <w:kern w:val="0"/>
                <w:sz w:val="18"/>
                <w:szCs w:val="18"/>
                <w:highlight w:val="none"/>
              </w:rPr>
              <w:t>株，播种灌草</w:t>
            </w:r>
            <w:r>
              <w:rPr>
                <w:rFonts w:hint="eastAsia" w:cs="Times New Roman"/>
                <w:color w:val="auto"/>
                <w:kern w:val="0"/>
                <w:sz w:val="18"/>
                <w:szCs w:val="18"/>
                <w:highlight w:val="none"/>
                <w:lang w:eastAsia="zh-CN"/>
              </w:rPr>
              <w:t>24.46</w:t>
            </w:r>
            <w:r>
              <w:rPr>
                <w:rFonts w:hint="eastAsia"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hint="eastAsia" w:cs="Times New Roman"/>
                <w:color w:val="auto"/>
                <w:kern w:val="0"/>
                <w:sz w:val="18"/>
                <w:szCs w:val="18"/>
                <w:highlight w:val="none"/>
              </w:rPr>
            </w:pPr>
            <w:r>
              <w:rPr>
                <w:rFonts w:hint="eastAsia" w:cs="Times New Roman"/>
                <w:color w:val="auto"/>
                <w:kern w:val="0"/>
                <w:sz w:val="18"/>
                <w:szCs w:val="18"/>
                <w:highlight w:val="none"/>
              </w:rPr>
              <w:t>主体设计：临时排水沟</w:t>
            </w:r>
            <w:r>
              <w:rPr>
                <w:rFonts w:hint="eastAsia" w:cs="Times New Roman"/>
                <w:color w:val="auto"/>
                <w:kern w:val="0"/>
                <w:sz w:val="18"/>
                <w:szCs w:val="18"/>
                <w:highlight w:val="none"/>
                <w:lang w:eastAsia="zh-CN"/>
              </w:rPr>
              <w:t>108868</w:t>
            </w:r>
            <w:r>
              <w:rPr>
                <w:rFonts w:hint="eastAsia" w:cs="Times New Roman"/>
                <w:color w:val="auto"/>
                <w:kern w:val="0"/>
                <w:sz w:val="18"/>
                <w:szCs w:val="18"/>
                <w:highlight w:val="none"/>
              </w:rPr>
              <w:t>m、编织土袋挡墙临时拦挡</w:t>
            </w:r>
            <w:r>
              <w:rPr>
                <w:rFonts w:hint="eastAsia" w:cs="Times New Roman"/>
                <w:color w:val="auto"/>
                <w:kern w:val="0"/>
                <w:sz w:val="18"/>
                <w:szCs w:val="18"/>
                <w:highlight w:val="none"/>
                <w:lang w:eastAsia="zh-CN"/>
              </w:rPr>
              <w:t>42142</w:t>
            </w:r>
            <w:r>
              <w:rPr>
                <w:rFonts w:hint="eastAsia" w:cs="Times New Roman"/>
                <w:color w:val="auto"/>
                <w:kern w:val="0"/>
                <w:sz w:val="18"/>
                <w:szCs w:val="18"/>
                <w:highlight w:val="none"/>
              </w:rPr>
              <w:t>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w:t>
            </w:r>
            <w:r>
              <w:rPr>
                <w:rFonts w:hint="eastAsia" w:cs="Times New Roman"/>
                <w:color w:val="auto"/>
                <w:kern w:val="0"/>
                <w:sz w:val="18"/>
                <w:szCs w:val="18"/>
                <w:highlight w:val="none"/>
                <w:lang w:eastAsia="zh-CN"/>
              </w:rPr>
              <w:t>44952</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p>
          <w:p>
            <w:pPr>
              <w:pStyle w:val="85"/>
              <w:keepNext w:val="0"/>
              <w:keepLines w:val="0"/>
              <w:suppressLineNumbers w:val="0"/>
              <w:spacing w:before="0" w:beforeAutospacing="0" w:after="0" w:afterAutospacing="0"/>
              <w:ind w:left="0" w:right="0"/>
              <w:jc w:val="left"/>
              <w:rPr>
                <w:rFonts w:cs="Times New Roman"/>
                <w:color w:val="FF0000"/>
                <w:kern w:val="0"/>
                <w:sz w:val="18"/>
                <w:szCs w:val="18"/>
                <w:highlight w:val="none"/>
              </w:rPr>
            </w:pPr>
            <w:r>
              <w:rPr>
                <w:rFonts w:hint="eastAsia" w:cs="Times New Roman"/>
                <w:color w:val="auto"/>
                <w:kern w:val="0"/>
                <w:sz w:val="18"/>
                <w:szCs w:val="18"/>
                <w:highlight w:val="none"/>
                <w:lang w:val="en-US" w:eastAsia="zh-CN"/>
              </w:rPr>
              <w:t>方案新增</w:t>
            </w:r>
            <w:r>
              <w:rPr>
                <w:rFonts w:hint="eastAsia" w:cs="Times New Roman"/>
                <w:color w:val="auto"/>
                <w:kern w:val="0"/>
                <w:sz w:val="18"/>
                <w:szCs w:val="18"/>
                <w:highlight w:val="none"/>
              </w:rPr>
              <w:t>：临时沉沙池52座。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弃渣场防治区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主体设计：</w:t>
            </w:r>
            <w:r>
              <w:rPr>
                <w:rFonts w:cs="Times New Roman"/>
                <w:color w:val="auto"/>
                <w:kern w:val="0"/>
                <w:sz w:val="18"/>
                <w:szCs w:val="18"/>
                <w:highlight w:val="none"/>
              </w:rPr>
              <w:t>表土剥离</w:t>
            </w:r>
            <w:r>
              <w:rPr>
                <w:rFonts w:hint="eastAsia" w:cs="Times New Roman"/>
                <w:color w:val="auto"/>
                <w:kern w:val="0"/>
                <w:sz w:val="18"/>
                <w:szCs w:val="18"/>
                <w:highlight w:val="none"/>
                <w:lang w:eastAsia="zh-CN"/>
              </w:rPr>
              <w:t>18.11</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r>
              <w:rPr>
                <w:rFonts w:cs="Times New Roman"/>
                <w:color w:val="auto"/>
                <w:kern w:val="0"/>
                <w:sz w:val="18"/>
                <w:szCs w:val="18"/>
                <w:highlight w:val="none"/>
              </w:rPr>
              <w:t>、表土回覆</w:t>
            </w:r>
            <w:r>
              <w:rPr>
                <w:rFonts w:hint="eastAsia" w:cs="Times New Roman"/>
                <w:color w:val="auto"/>
                <w:kern w:val="0"/>
                <w:sz w:val="18"/>
                <w:szCs w:val="18"/>
                <w:highlight w:val="none"/>
                <w:lang w:eastAsia="zh-CN"/>
              </w:rPr>
              <w:t>49.82</w:t>
            </w:r>
            <w:r>
              <w:rPr>
                <w:rFonts w:hint="eastAsia" w:cs="Times New Roman"/>
                <w:color w:val="auto"/>
                <w:kern w:val="0"/>
                <w:sz w:val="18"/>
                <w:szCs w:val="18"/>
                <w:highlight w:val="none"/>
              </w:rPr>
              <w:t>万</w:t>
            </w:r>
            <w:r>
              <w:rPr>
                <w:rFonts w:hint="default" w:cs="Times New Roman"/>
                <w:highlight w:val="none"/>
                <w:lang w:val="en-US" w:eastAsia="zh-CN"/>
              </w:rPr>
              <w:t>m</w:t>
            </w:r>
            <w:r>
              <w:rPr>
                <w:rFonts w:hint="default" w:cs="Times New Roman"/>
                <w:highlight w:val="none"/>
                <w:vertAlign w:val="superscript"/>
                <w:lang w:val="en-US" w:eastAsia="zh-CN"/>
              </w:rPr>
              <w:t>3</w:t>
            </w:r>
            <w:r>
              <w:rPr>
                <w:rFonts w:cs="Times New Roman"/>
                <w:color w:val="auto"/>
                <w:kern w:val="0"/>
                <w:sz w:val="18"/>
                <w:szCs w:val="18"/>
                <w:highlight w:val="none"/>
              </w:rPr>
              <w:t>、挡渣墙</w:t>
            </w:r>
            <w:r>
              <w:rPr>
                <w:rFonts w:hint="eastAsia" w:cs="Times New Roman"/>
                <w:color w:val="auto"/>
                <w:kern w:val="0"/>
                <w:sz w:val="18"/>
                <w:szCs w:val="18"/>
                <w:highlight w:val="none"/>
                <w:lang w:eastAsia="zh-CN"/>
              </w:rPr>
              <w:t>1148</w:t>
            </w:r>
            <w:r>
              <w:rPr>
                <w:rFonts w:hint="eastAsia" w:cs="Times New Roman"/>
                <w:color w:val="auto"/>
                <w:kern w:val="0"/>
                <w:sz w:val="18"/>
                <w:szCs w:val="18"/>
                <w:highlight w:val="none"/>
              </w:rPr>
              <w:t>m</w:t>
            </w:r>
            <w:r>
              <w:rPr>
                <w:rFonts w:cs="Times New Roman"/>
                <w:color w:val="auto"/>
                <w:kern w:val="0"/>
                <w:sz w:val="18"/>
                <w:szCs w:val="18"/>
                <w:highlight w:val="none"/>
              </w:rPr>
              <w:t>、排水沟</w:t>
            </w:r>
            <w:r>
              <w:rPr>
                <w:rFonts w:hint="eastAsia" w:cs="Times New Roman"/>
                <w:color w:val="auto"/>
                <w:kern w:val="0"/>
                <w:sz w:val="18"/>
                <w:szCs w:val="18"/>
                <w:highlight w:val="none"/>
                <w:lang w:val="en-US" w:eastAsia="zh-CN"/>
              </w:rPr>
              <w:t>及消力槛</w:t>
            </w:r>
            <w:r>
              <w:rPr>
                <w:rFonts w:hint="eastAsia" w:cs="Times New Roman"/>
                <w:color w:val="auto"/>
                <w:kern w:val="0"/>
                <w:sz w:val="18"/>
                <w:szCs w:val="18"/>
                <w:highlight w:val="none"/>
                <w:lang w:eastAsia="zh-CN"/>
              </w:rPr>
              <w:t>43552</w:t>
            </w:r>
            <w:r>
              <w:rPr>
                <w:rFonts w:hint="default" w:cs="Times New Roman"/>
                <w:highlight w:val="none"/>
                <w:lang w:val="en-US" w:eastAsia="zh-CN"/>
              </w:rPr>
              <w:t>m</w:t>
            </w:r>
            <w:r>
              <w:rPr>
                <w:rFonts w:hint="default" w:cs="Times New Roman"/>
                <w:highlight w:val="none"/>
                <w:vertAlign w:val="superscript"/>
                <w:lang w:val="en-US" w:eastAsia="zh-CN"/>
              </w:rPr>
              <w:t>3</w:t>
            </w:r>
            <w:r>
              <w:rPr>
                <w:rFonts w:cs="Times New Roman"/>
                <w:color w:val="auto"/>
                <w:kern w:val="0"/>
                <w:sz w:val="18"/>
                <w:szCs w:val="18"/>
                <w:highlight w:val="none"/>
              </w:rPr>
              <w:t>、盲沟</w:t>
            </w:r>
            <w:r>
              <w:rPr>
                <w:rFonts w:hint="eastAsia" w:cs="Times New Roman"/>
                <w:color w:val="auto"/>
                <w:kern w:val="0"/>
                <w:sz w:val="18"/>
                <w:szCs w:val="18"/>
                <w:highlight w:val="none"/>
                <w:lang w:eastAsia="zh-CN"/>
              </w:rPr>
              <w:t>9030</w:t>
            </w:r>
            <w:r>
              <w:rPr>
                <w:rFonts w:hint="eastAsia" w:cs="Times New Roman"/>
                <w:color w:val="auto"/>
                <w:kern w:val="0"/>
                <w:sz w:val="18"/>
                <w:szCs w:val="18"/>
                <w:highlight w:val="none"/>
              </w:rPr>
              <w:t>m</w:t>
            </w:r>
            <w:r>
              <w:rPr>
                <w:rFonts w:cs="Times New Roman"/>
                <w:color w:val="auto"/>
                <w:kern w:val="0"/>
                <w:sz w:val="18"/>
                <w:szCs w:val="18"/>
                <w:highlight w:val="none"/>
              </w:rPr>
              <w:t>、</w:t>
            </w:r>
            <w:r>
              <w:rPr>
                <w:rFonts w:hint="eastAsia" w:cs="Times New Roman"/>
                <w:color w:val="auto"/>
                <w:kern w:val="0"/>
                <w:sz w:val="18"/>
                <w:szCs w:val="18"/>
                <w:highlight w:val="none"/>
                <w:lang w:val="en-US" w:eastAsia="zh-CN"/>
              </w:rPr>
              <w:t>消力池50座、</w:t>
            </w:r>
            <w:r>
              <w:rPr>
                <w:rFonts w:cs="Times New Roman"/>
                <w:color w:val="auto"/>
                <w:kern w:val="0"/>
                <w:sz w:val="18"/>
                <w:szCs w:val="18"/>
                <w:highlight w:val="none"/>
              </w:rPr>
              <w:t>土地整治</w:t>
            </w:r>
            <w:r>
              <w:rPr>
                <w:rFonts w:hint="eastAsia" w:cs="Times New Roman"/>
                <w:color w:val="auto"/>
                <w:kern w:val="0"/>
                <w:sz w:val="18"/>
                <w:szCs w:val="18"/>
                <w:highlight w:val="none"/>
                <w:lang w:eastAsia="zh-CN"/>
              </w:rPr>
              <w:t>86.1</w:t>
            </w:r>
            <w:r>
              <w:rPr>
                <w:rFonts w:hint="eastAsia" w:cs="Times New Roman"/>
                <w:color w:val="auto"/>
                <w:kern w:val="0"/>
                <w:sz w:val="18"/>
                <w:szCs w:val="18"/>
                <w:highlight w:val="none"/>
                <w:lang w:val="en-US" w:eastAsia="zh-CN"/>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、复耕</w:t>
            </w:r>
            <w:r>
              <w:rPr>
                <w:rFonts w:hint="eastAsia" w:cs="Times New Roman"/>
                <w:color w:val="auto"/>
                <w:kern w:val="0"/>
                <w:sz w:val="18"/>
                <w:szCs w:val="18"/>
                <w:highlight w:val="none"/>
                <w:lang w:eastAsia="zh-CN"/>
              </w:rPr>
              <w:t>22.55</w:t>
            </w:r>
            <w:r>
              <w:rPr>
                <w:rFonts w:hint="eastAsia"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cs="Times New Roman"/>
                <w:color w:val="auto"/>
                <w:kern w:val="0"/>
                <w:sz w:val="18"/>
                <w:szCs w:val="18"/>
                <w:highlight w:val="none"/>
              </w:rPr>
              <w:t>；</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方案新增：平台排水沟</w:t>
            </w:r>
            <w:r>
              <w:rPr>
                <w:rFonts w:hint="eastAsia" w:cs="Times New Roman"/>
                <w:color w:val="auto"/>
                <w:kern w:val="0"/>
                <w:sz w:val="18"/>
                <w:szCs w:val="18"/>
                <w:highlight w:val="none"/>
                <w:lang w:eastAsia="zh-CN"/>
              </w:rPr>
              <w:t>8936</w:t>
            </w:r>
            <w:r>
              <w:rPr>
                <w:rFonts w:hint="eastAsia" w:cs="Times New Roman"/>
                <w:color w:val="auto"/>
                <w:kern w:val="0"/>
                <w:sz w:val="18"/>
                <w:szCs w:val="18"/>
                <w:highlight w:val="none"/>
              </w:rPr>
              <w:t>m、</w:t>
            </w:r>
            <w:r>
              <w:rPr>
                <w:rFonts w:hint="eastAsia" w:cs="Times New Roman"/>
                <w:color w:val="auto"/>
                <w:kern w:val="0"/>
                <w:sz w:val="18"/>
                <w:szCs w:val="18"/>
                <w:highlight w:val="none"/>
                <w:lang w:eastAsia="zh-CN"/>
              </w:rPr>
              <w:t>渣面土埂6361</w:t>
            </w:r>
            <w:r>
              <w:rPr>
                <w:rFonts w:hint="default" w:cs="Times New Roman"/>
                <w:highlight w:val="none"/>
                <w:lang w:val="en-US" w:eastAsia="zh-CN"/>
              </w:rPr>
              <w:t>m</w:t>
            </w:r>
            <w:r>
              <w:rPr>
                <w:rFonts w:hint="default" w:cs="Times New Roman"/>
                <w:highlight w:val="none"/>
                <w:vertAlign w:val="superscript"/>
                <w:lang w:val="en-US" w:eastAsia="zh-CN"/>
              </w:rPr>
              <w:t>3</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hint="eastAsia" w:cs="Times New Roman"/>
                <w:color w:val="auto"/>
                <w:kern w:val="0"/>
                <w:sz w:val="18"/>
                <w:szCs w:val="18"/>
                <w:highlight w:val="none"/>
              </w:rPr>
            </w:pPr>
            <w:r>
              <w:rPr>
                <w:rFonts w:hint="eastAsia" w:cs="Times New Roman"/>
                <w:color w:val="auto"/>
                <w:kern w:val="0"/>
                <w:sz w:val="18"/>
                <w:szCs w:val="18"/>
                <w:highlight w:val="none"/>
              </w:rPr>
              <w:t>主体设计：综合绿化</w:t>
            </w:r>
            <w:r>
              <w:rPr>
                <w:rFonts w:hint="eastAsia" w:cs="Times New Roman"/>
                <w:color w:val="auto"/>
                <w:kern w:val="0"/>
                <w:sz w:val="18"/>
                <w:szCs w:val="18"/>
                <w:highlight w:val="none"/>
                <w:lang w:eastAsia="zh-CN"/>
              </w:rPr>
              <w:t>63.55</w:t>
            </w:r>
            <w:r>
              <w:rPr>
                <w:rFonts w:hint="eastAsia"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（植乔木158875</w:t>
            </w:r>
            <w:r>
              <w:rPr>
                <w:rFonts w:hint="eastAsia" w:cs="Times New Roman"/>
                <w:color w:val="auto"/>
                <w:kern w:val="0"/>
                <w:sz w:val="18"/>
                <w:szCs w:val="18"/>
                <w:highlight w:val="none"/>
                <w:lang w:val="en-US" w:eastAsia="zh-CN"/>
              </w:rPr>
              <w:t>棵</w:t>
            </w:r>
            <w:r>
              <w:rPr>
                <w:rFonts w:hint="eastAsia" w:cs="Times New Roman"/>
                <w:color w:val="auto"/>
                <w:kern w:val="0"/>
                <w:sz w:val="18"/>
                <w:szCs w:val="18"/>
                <w:highlight w:val="none"/>
              </w:rPr>
              <w:t>，播种灌草</w:t>
            </w:r>
            <w:r>
              <w:rPr>
                <w:rFonts w:hint="eastAsia" w:cs="Times New Roman"/>
                <w:color w:val="auto"/>
                <w:kern w:val="0"/>
                <w:sz w:val="18"/>
                <w:szCs w:val="18"/>
                <w:highlight w:val="none"/>
                <w:lang w:eastAsia="zh-CN"/>
              </w:rPr>
              <w:t>63.55</w:t>
            </w:r>
            <w:r>
              <w:rPr>
                <w:rFonts w:hint="eastAsia"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hint="eastAsia" w:cs="Times New Roman"/>
                <w:color w:val="auto"/>
                <w:kern w:val="0"/>
                <w:sz w:val="18"/>
                <w:szCs w:val="18"/>
                <w:highlight w:val="none"/>
              </w:rPr>
            </w:pPr>
            <w:r>
              <w:rPr>
                <w:rFonts w:hint="eastAsia" w:cs="Times New Roman"/>
                <w:color w:val="auto"/>
                <w:kern w:val="0"/>
                <w:sz w:val="18"/>
                <w:szCs w:val="18"/>
                <w:highlight w:val="none"/>
              </w:rPr>
              <w:t>主体设计：无纺布临时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w:t>
            </w:r>
            <w:r>
              <w:rPr>
                <w:rFonts w:hint="eastAsia" w:cs="Times New Roman"/>
                <w:color w:val="auto"/>
                <w:kern w:val="0"/>
                <w:sz w:val="18"/>
                <w:szCs w:val="18"/>
                <w:highlight w:val="none"/>
                <w:lang w:eastAsia="zh-CN"/>
              </w:rPr>
              <w:t>63.14</w:t>
            </w:r>
            <w:r>
              <w:rPr>
                <w:rFonts w:hint="eastAsia"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p>
          <w:p>
            <w:pPr>
              <w:pStyle w:val="85"/>
              <w:keepNext w:val="0"/>
              <w:keepLines w:val="0"/>
              <w:suppressLineNumbers w:val="0"/>
              <w:spacing w:before="0" w:beforeAutospacing="0" w:after="0" w:afterAutospacing="0"/>
              <w:ind w:left="0" w:right="0"/>
              <w:jc w:val="left"/>
              <w:rPr>
                <w:rFonts w:hint="default" w:eastAsia="仿宋_GB2312" w:cs="Times New Roman"/>
                <w:color w:val="auto"/>
                <w:kern w:val="0"/>
                <w:sz w:val="18"/>
                <w:szCs w:val="18"/>
                <w:highlight w:val="none"/>
                <w:lang w:val="en-US" w:eastAsia="zh-CN"/>
              </w:rPr>
            </w:pPr>
            <w:r>
              <w:rPr>
                <w:rFonts w:hint="eastAsia" w:cs="Times New Roman"/>
                <w:color w:val="auto"/>
                <w:kern w:val="0"/>
                <w:sz w:val="18"/>
                <w:szCs w:val="18"/>
                <w:highlight w:val="none"/>
                <w:lang w:val="en-US" w:eastAsia="zh-CN"/>
              </w:rPr>
              <w:t>方案新增：临时排水沟9332m、沉沙函8座</w:t>
            </w:r>
          </w:p>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16" w:type="dxa"/>
            <w:vMerge w:val="continue"/>
            <w:noWrap w:val="0"/>
            <w:vAlign w:val="center"/>
          </w:tcPr>
          <w:p>
            <w:pPr>
              <w:pStyle w:val="85"/>
              <w:keepNext w:val="0"/>
              <w:keepLines w:val="0"/>
              <w:suppressLineNumbers w:val="0"/>
              <w:spacing w:before="0" w:beforeAutospacing="0" w:after="0" w:afterAutospacing="0"/>
              <w:ind w:left="0" w:right="0"/>
              <w:rPr>
                <w:rFonts w:cs="Times New Roman"/>
                <w:color w:val="FF0000"/>
                <w:kern w:val="0"/>
                <w:sz w:val="18"/>
                <w:szCs w:val="18"/>
                <w:highlight w:val="none"/>
              </w:rPr>
            </w:pPr>
          </w:p>
        </w:tc>
        <w:tc>
          <w:tcPr>
            <w:tcW w:w="1001" w:type="dxa"/>
            <w:gridSpan w:val="2"/>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表土堆放场防治区</w:t>
            </w:r>
          </w:p>
        </w:tc>
        <w:tc>
          <w:tcPr>
            <w:tcW w:w="2980" w:type="dxa"/>
            <w:gridSpan w:val="3"/>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w:t>
            </w:r>
            <w:r>
              <w:rPr>
                <w:rFonts w:cs="Times New Roman"/>
                <w:color w:val="auto"/>
                <w:kern w:val="0"/>
                <w:sz w:val="18"/>
                <w:szCs w:val="18"/>
                <w:highlight w:val="none"/>
              </w:rPr>
              <w:t>土地整治</w:t>
            </w:r>
            <w:r>
              <w:rPr>
                <w:rFonts w:hint="eastAsia" w:cs="Times New Roman"/>
                <w:color w:val="auto"/>
                <w:kern w:val="0"/>
                <w:sz w:val="18"/>
                <w:szCs w:val="18"/>
                <w:highlight w:val="none"/>
              </w:rPr>
              <w:t>28.38h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、复耕</w:t>
            </w:r>
            <w:r>
              <w:rPr>
                <w:rFonts w:hint="eastAsia" w:cs="Times New Roman"/>
                <w:color w:val="auto"/>
                <w:kern w:val="0"/>
                <w:sz w:val="18"/>
                <w:szCs w:val="18"/>
                <w:highlight w:val="none"/>
                <w:lang w:val="en-US" w:eastAsia="zh-CN"/>
              </w:rPr>
              <w:t>22.77</w:t>
            </w:r>
            <w:r>
              <w:rPr>
                <w:rFonts w:hint="eastAsia" w:cs="Times New Roman"/>
                <w:color w:val="auto"/>
                <w:kern w:val="0"/>
                <w:sz w:val="18"/>
                <w:szCs w:val="18"/>
                <w:highlight w:val="none"/>
              </w:rPr>
              <w:t>h</w:t>
            </w:r>
            <w:r>
              <w:rPr>
                <w:rFonts w:cs="Times New Roman"/>
                <w:b w:val="0"/>
                <w:bCs w:val="0"/>
                <w:color w:val="auto"/>
                <w:highlight w:val="none"/>
              </w:rPr>
              <w:t>m</w:t>
            </w:r>
            <w:r>
              <w:rPr>
                <w:rFonts w:cs="Times New Roman"/>
                <w:b w:val="0"/>
                <w:bCs w:val="0"/>
                <w:color w:val="auto"/>
                <w:highlight w:val="none"/>
                <w:vertAlign w:val="superscript"/>
              </w:rPr>
              <w:t>2</w:t>
            </w:r>
            <w:r>
              <w:rPr>
                <w:rFonts w:cs="Times New Roman"/>
                <w:color w:val="auto"/>
                <w:kern w:val="0"/>
                <w:sz w:val="18"/>
                <w:szCs w:val="18"/>
                <w:highlight w:val="none"/>
              </w:rPr>
              <w:t>；</w:t>
            </w:r>
          </w:p>
        </w:tc>
        <w:tc>
          <w:tcPr>
            <w:tcW w:w="2081" w:type="dxa"/>
            <w:gridSpan w:val="2"/>
            <w:noWrap w:val="0"/>
            <w:vAlign w:val="center"/>
          </w:tcPr>
          <w:p>
            <w:pPr>
              <w:pStyle w:val="85"/>
              <w:keepNext w:val="0"/>
              <w:keepLines w:val="0"/>
              <w:suppressLineNumbers w:val="0"/>
              <w:spacing w:before="0" w:beforeAutospacing="0" w:after="0" w:afterAutospacing="0"/>
              <w:ind w:left="0" w:right="0"/>
              <w:jc w:val="left"/>
              <w:rPr>
                <w:rFonts w:cs="Times New Roman"/>
                <w:color w:val="auto"/>
                <w:kern w:val="0"/>
                <w:sz w:val="18"/>
                <w:szCs w:val="18"/>
                <w:highlight w:val="none"/>
              </w:rPr>
            </w:pPr>
            <w:r>
              <w:rPr>
                <w:rFonts w:hint="eastAsia" w:cs="Times New Roman"/>
                <w:color w:val="auto"/>
                <w:kern w:val="0"/>
                <w:sz w:val="18"/>
                <w:szCs w:val="18"/>
                <w:highlight w:val="none"/>
              </w:rPr>
              <w:t>方案新增：综合绿化5.61h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p>
        </w:tc>
        <w:tc>
          <w:tcPr>
            <w:tcW w:w="2440" w:type="dxa"/>
            <w:gridSpan w:val="4"/>
            <w:noWrap w:val="0"/>
            <w:vAlign w:val="center"/>
          </w:tcPr>
          <w:p>
            <w:pPr>
              <w:pStyle w:val="85"/>
              <w:keepNext w:val="0"/>
              <w:keepLines w:val="0"/>
              <w:suppressLineNumbers w:val="0"/>
              <w:spacing w:before="0" w:beforeAutospacing="0" w:after="0" w:afterAutospacing="0"/>
              <w:ind w:left="0" w:right="0"/>
              <w:jc w:val="left"/>
              <w:rPr>
                <w:rFonts w:hint="eastAsia" w:cs="Times New Roman"/>
                <w:color w:val="auto"/>
                <w:kern w:val="0"/>
                <w:sz w:val="18"/>
                <w:szCs w:val="18"/>
                <w:highlight w:val="none"/>
              </w:rPr>
            </w:pPr>
            <w:r>
              <w:rPr>
                <w:rFonts w:hint="eastAsia" w:cs="Times New Roman"/>
                <w:color w:val="auto"/>
                <w:kern w:val="0"/>
                <w:sz w:val="18"/>
                <w:szCs w:val="18"/>
                <w:highlight w:val="none"/>
              </w:rPr>
              <w:t>方案新增：编织土袋挡墙临时拦挡1888m、无纺布临时</w:t>
            </w:r>
            <w:r>
              <w:rPr>
                <w:rFonts w:hint="eastAsia" w:cs="Times New Roman"/>
                <w:color w:val="auto"/>
                <w:kern w:val="0"/>
                <w:sz w:val="18"/>
                <w:szCs w:val="18"/>
                <w:highlight w:val="none"/>
                <w:lang w:eastAsia="zh-CN"/>
              </w:rPr>
              <w:t>覆</w:t>
            </w:r>
            <w:r>
              <w:rPr>
                <w:rFonts w:hint="eastAsia" w:cs="Times New Roman"/>
                <w:color w:val="auto"/>
                <w:kern w:val="0"/>
                <w:sz w:val="18"/>
                <w:szCs w:val="18"/>
                <w:highlight w:val="none"/>
              </w:rPr>
              <w:t>盖28.38h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、临时排水沟1888m、临时沉沙池50座、表土撒播草籽28.38h</w:t>
            </w:r>
            <w:r>
              <w:rPr>
                <w:rFonts w:cs="Times New Roman"/>
                <w:b w:val="0"/>
                <w:bCs w:val="0"/>
                <w:color w:val="auto"/>
                <w:highlight w:val="none"/>
              </w:rPr>
              <w:t>m</w:t>
            </w:r>
            <w:r>
              <w:rPr>
                <w:rFonts w:cs="Times New Roman"/>
                <w:b w:val="0"/>
                <w:bCs w:val="0"/>
                <w:color w:val="auto"/>
                <w:highlight w:val="none"/>
                <w:vertAlign w:val="superscript"/>
              </w:rPr>
              <w:t>2</w:t>
            </w:r>
            <w:r>
              <w:rPr>
                <w:rFonts w:hint="eastAsia" w:cs="Times New Roman"/>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投资（万元）</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lang w:eastAsia="zh-CN"/>
              </w:rPr>
              <w:t>21587.0</w:t>
            </w:r>
            <w:r>
              <w:rPr>
                <w:rFonts w:hint="eastAsia" w:cs="Times New Roman"/>
                <w:color w:val="auto"/>
                <w:kern w:val="0"/>
                <w:sz w:val="18"/>
                <w:szCs w:val="18"/>
                <w:highlight w:val="none"/>
                <w:lang w:val="en-US" w:eastAsia="zh-CN"/>
              </w:rPr>
              <w:t>2</w:t>
            </w:r>
            <w:r>
              <w:rPr>
                <w:rFonts w:hint="eastAsia" w:cs="Times New Roman"/>
                <w:color w:val="auto"/>
                <w:kern w:val="0"/>
                <w:sz w:val="18"/>
                <w:szCs w:val="18"/>
                <w:highlight w:val="none"/>
              </w:rPr>
              <w:t xml:space="preserve"> </w:t>
            </w:r>
          </w:p>
        </w:tc>
        <w:tc>
          <w:tcPr>
            <w:tcW w:w="2081" w:type="dxa"/>
            <w:gridSpan w:val="2"/>
            <w:noWrap w:val="0"/>
            <w:vAlign w:val="center"/>
          </w:tcPr>
          <w:p>
            <w:pPr>
              <w:pStyle w:val="85"/>
              <w:keepNext w:val="0"/>
              <w:keepLines w:val="0"/>
              <w:suppressLineNumbers w:val="0"/>
              <w:spacing w:before="0" w:beforeAutospacing="0" w:after="0" w:afterAutospacing="0"/>
              <w:ind w:left="0" w:right="0"/>
              <w:rPr>
                <w:rFonts w:hint="default" w:eastAsia="仿宋_GB2312" w:cs="Times New Roman"/>
                <w:color w:val="auto"/>
                <w:kern w:val="0"/>
                <w:sz w:val="18"/>
                <w:szCs w:val="18"/>
                <w:highlight w:val="none"/>
                <w:lang w:val="en-US" w:eastAsia="zh-CN"/>
              </w:rPr>
            </w:pPr>
            <w:r>
              <w:rPr>
                <w:rFonts w:hint="eastAsia" w:cs="Times New Roman"/>
                <w:color w:val="auto"/>
                <w:kern w:val="0"/>
                <w:sz w:val="18"/>
                <w:szCs w:val="18"/>
                <w:highlight w:val="none"/>
              </w:rPr>
              <w:t>32858.</w:t>
            </w:r>
            <w:r>
              <w:rPr>
                <w:rFonts w:hint="eastAsia" w:cs="Times New Roman"/>
                <w:color w:val="auto"/>
                <w:kern w:val="0"/>
                <w:sz w:val="18"/>
                <w:szCs w:val="18"/>
                <w:highlight w:val="none"/>
                <w:lang w:val="en-US" w:eastAsia="zh-CN"/>
              </w:rPr>
              <w:t>89</w:t>
            </w:r>
          </w:p>
        </w:tc>
        <w:tc>
          <w:tcPr>
            <w:tcW w:w="2440" w:type="dxa"/>
            <w:gridSpan w:val="4"/>
            <w:noWrap w:val="0"/>
            <w:vAlign w:val="center"/>
          </w:tcPr>
          <w:p>
            <w:pPr>
              <w:pStyle w:val="85"/>
              <w:keepNext w:val="0"/>
              <w:keepLines w:val="0"/>
              <w:suppressLineNumbers w:val="0"/>
              <w:spacing w:before="0" w:beforeAutospacing="0" w:after="0" w:afterAutospacing="0"/>
              <w:ind w:left="0" w:right="0"/>
              <w:rPr>
                <w:rFonts w:hint="default" w:cs="Times New Roman"/>
                <w:color w:val="auto"/>
                <w:kern w:val="0"/>
                <w:sz w:val="18"/>
                <w:szCs w:val="18"/>
                <w:highlight w:val="none"/>
                <w:lang w:val="en-US"/>
              </w:rPr>
            </w:pPr>
            <w:r>
              <w:rPr>
                <w:rFonts w:hint="default" w:cs="Times New Roman"/>
                <w:color w:val="auto"/>
                <w:sz w:val="18"/>
                <w:szCs w:val="21"/>
                <w:highlight w:val="none"/>
                <w:lang w:val="en-US" w:eastAsia="zh-CN"/>
              </w:rPr>
              <w:t>9857.</w:t>
            </w:r>
            <w:r>
              <w:rPr>
                <w:rFonts w:hint="eastAsia" w:cs="Times New Roman"/>
                <w:color w:val="auto"/>
                <w:sz w:val="18"/>
                <w:szCs w:val="21"/>
                <w:highlight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水土保持总投资（万元）</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hint="default" w:eastAsia="仿宋_GB2312" w:cs="Times New Roman"/>
                <w:color w:val="auto"/>
                <w:kern w:val="0"/>
                <w:sz w:val="18"/>
                <w:szCs w:val="18"/>
                <w:highlight w:val="none"/>
                <w:lang w:val="en-US" w:eastAsia="zh-CN"/>
              </w:rPr>
            </w:pPr>
            <w:r>
              <w:rPr>
                <w:rFonts w:hint="eastAsia" w:cs="Times New Roman"/>
                <w:color w:val="auto"/>
                <w:kern w:val="0"/>
                <w:sz w:val="18"/>
                <w:szCs w:val="18"/>
                <w:highlight w:val="none"/>
                <w:lang w:val="en-US" w:eastAsia="zh-CN"/>
              </w:rPr>
              <w:t>67684.17</w:t>
            </w:r>
          </w:p>
        </w:tc>
        <w:tc>
          <w:tcPr>
            <w:tcW w:w="3173"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独立费用（万元）</w:t>
            </w:r>
          </w:p>
        </w:tc>
        <w:tc>
          <w:tcPr>
            <w:tcW w:w="1348" w:type="dxa"/>
            <w:noWrap w:val="0"/>
            <w:vAlign w:val="center"/>
          </w:tcPr>
          <w:p>
            <w:pPr>
              <w:pStyle w:val="85"/>
              <w:keepNext w:val="0"/>
              <w:keepLines w:val="0"/>
              <w:suppressLineNumbers w:val="0"/>
              <w:spacing w:before="0" w:beforeAutospacing="0" w:after="0" w:afterAutospacing="0"/>
              <w:ind w:left="0" w:right="0"/>
              <w:rPr>
                <w:rFonts w:hint="default" w:eastAsia="仿宋_GB2312" w:cs="Times New Roman"/>
                <w:color w:val="auto"/>
                <w:kern w:val="0"/>
                <w:sz w:val="18"/>
                <w:szCs w:val="18"/>
                <w:highlight w:val="none"/>
                <w:lang w:val="en-US" w:eastAsia="zh-CN"/>
              </w:rPr>
            </w:pPr>
            <w:r>
              <w:rPr>
                <w:rFonts w:hint="eastAsia" w:cs="Times New Roman"/>
                <w:color w:val="auto"/>
                <w:kern w:val="0"/>
                <w:sz w:val="18"/>
                <w:szCs w:val="18"/>
                <w:highlight w:val="none"/>
                <w:lang w:val="en-US" w:eastAsia="zh-CN"/>
              </w:rPr>
              <w:t>1113.04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监理费（万元）</w:t>
            </w:r>
          </w:p>
        </w:tc>
        <w:tc>
          <w:tcPr>
            <w:tcW w:w="1529" w:type="dxa"/>
            <w:gridSpan w:val="2"/>
            <w:noWrap w:val="0"/>
            <w:vAlign w:val="center"/>
          </w:tcPr>
          <w:p>
            <w:pPr>
              <w:pStyle w:val="85"/>
              <w:keepNext w:val="0"/>
              <w:keepLines w:val="0"/>
              <w:suppressLineNumbers w:val="0"/>
              <w:spacing w:before="0" w:beforeAutospacing="0" w:after="0" w:afterAutospacing="0"/>
              <w:ind w:left="0" w:right="0"/>
              <w:rPr>
                <w:rFonts w:hint="default" w:eastAsia="仿宋_GB2312" w:cs="Times New Roman"/>
                <w:color w:val="auto"/>
                <w:kern w:val="0"/>
                <w:sz w:val="18"/>
                <w:szCs w:val="18"/>
                <w:highlight w:val="none"/>
                <w:lang w:val="en-US" w:eastAsia="zh-CN"/>
              </w:rPr>
            </w:pPr>
            <w:r>
              <w:rPr>
                <w:rFonts w:hint="eastAsia" w:cs="Times New Roman"/>
                <w:color w:val="auto"/>
                <w:kern w:val="0"/>
                <w:sz w:val="18"/>
                <w:szCs w:val="18"/>
                <w:highlight w:val="none"/>
                <w:lang w:val="en-US" w:eastAsia="zh-CN"/>
              </w:rPr>
              <w:t>168.34</w:t>
            </w:r>
          </w:p>
        </w:tc>
        <w:tc>
          <w:tcPr>
            <w:tcW w:w="1451"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监测费（万元）</w:t>
            </w:r>
          </w:p>
        </w:tc>
        <w:tc>
          <w:tcPr>
            <w:tcW w:w="1414" w:type="dxa"/>
            <w:noWrap w:val="0"/>
            <w:vAlign w:val="center"/>
          </w:tcPr>
          <w:p>
            <w:pPr>
              <w:pStyle w:val="85"/>
              <w:keepNext w:val="0"/>
              <w:keepLines w:val="0"/>
              <w:suppressLineNumbers w:val="0"/>
              <w:spacing w:before="0" w:beforeAutospacing="0" w:after="0" w:afterAutospacing="0"/>
              <w:ind w:left="0" w:right="0"/>
              <w:rPr>
                <w:rFonts w:hint="eastAsia" w:eastAsia="仿宋_GB2312" w:cs="Times New Roman"/>
                <w:color w:val="auto"/>
                <w:kern w:val="0"/>
                <w:sz w:val="18"/>
                <w:szCs w:val="18"/>
                <w:highlight w:val="none"/>
                <w:lang w:eastAsia="zh-CN"/>
              </w:rPr>
            </w:pPr>
            <w:r>
              <w:rPr>
                <w:rFonts w:hint="eastAsia" w:cs="Times New Roman"/>
                <w:color w:val="auto"/>
                <w:kern w:val="0"/>
                <w:sz w:val="18"/>
                <w:szCs w:val="18"/>
                <w:highlight w:val="none"/>
                <w:lang w:eastAsia="zh-CN"/>
              </w:rPr>
              <w:t>462.74</w:t>
            </w:r>
          </w:p>
        </w:tc>
        <w:tc>
          <w:tcPr>
            <w:tcW w:w="1759" w:type="dxa"/>
            <w:gridSpan w:val="4"/>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补偿费（万元）</w:t>
            </w:r>
          </w:p>
        </w:tc>
        <w:tc>
          <w:tcPr>
            <w:tcW w:w="1348" w:type="dxa"/>
            <w:noWrap w:val="0"/>
            <w:vAlign w:val="center"/>
          </w:tcPr>
          <w:p>
            <w:pPr>
              <w:pStyle w:val="85"/>
              <w:keepNext w:val="0"/>
              <w:keepLines w:val="0"/>
              <w:suppressLineNumbers w:val="0"/>
              <w:spacing w:before="0" w:beforeAutospacing="0" w:after="0" w:afterAutospacing="0"/>
              <w:ind w:left="0" w:right="0"/>
              <w:rPr>
                <w:rFonts w:hint="default" w:eastAsia="仿宋_GB2312" w:cs="Times New Roman"/>
                <w:color w:val="auto"/>
                <w:kern w:val="0"/>
                <w:sz w:val="18"/>
                <w:szCs w:val="18"/>
                <w:highlight w:val="none"/>
                <w:lang w:val="en-US" w:eastAsia="zh-CN"/>
              </w:rPr>
            </w:pPr>
            <w:r>
              <w:rPr>
                <w:rFonts w:hint="eastAsia" w:cs="Times New Roman"/>
                <w:color w:val="auto"/>
                <w:kern w:val="0"/>
                <w:sz w:val="18"/>
                <w:szCs w:val="18"/>
                <w:highlight w:val="none"/>
                <w:lang w:eastAsia="zh-CN"/>
              </w:rPr>
              <w:t>1110.34</w:t>
            </w:r>
            <w:r>
              <w:rPr>
                <w:rFonts w:hint="eastAsia" w:cs="Times New Roman"/>
                <w:color w:val="auto"/>
                <w:kern w:val="0"/>
                <w:sz w:val="18"/>
                <w:szCs w:val="18"/>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方案编制单位</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山西省交通环境保护中心站（有限公司）</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建设单位</w:t>
            </w:r>
          </w:p>
        </w:tc>
        <w:tc>
          <w:tcPr>
            <w:tcW w:w="3107"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重庆</w:t>
            </w:r>
            <w:r>
              <w:rPr>
                <w:rFonts w:hint="eastAsia" w:cs="Times New Roman"/>
                <w:color w:val="auto"/>
                <w:kern w:val="0"/>
                <w:sz w:val="18"/>
                <w:szCs w:val="18"/>
                <w:highlight w:val="none"/>
              </w:rPr>
              <w:t>成渝垫丰武</w:t>
            </w:r>
            <w:r>
              <w:rPr>
                <w:rFonts w:cs="Times New Roman"/>
                <w:color w:val="auto"/>
                <w:kern w:val="0"/>
                <w:sz w:val="18"/>
                <w:szCs w:val="18"/>
                <w:highlight w:val="none"/>
              </w:rPr>
              <w:t>高速公路有限公司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法定代表人</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姚凯</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法定代表人</w:t>
            </w:r>
          </w:p>
        </w:tc>
        <w:tc>
          <w:tcPr>
            <w:tcW w:w="3107"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代高飞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地址</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山西示范区武洛街27号</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地址</w:t>
            </w:r>
          </w:p>
        </w:tc>
        <w:tc>
          <w:tcPr>
            <w:tcW w:w="3107" w:type="dxa"/>
            <w:gridSpan w:val="5"/>
            <w:noWrap w:val="0"/>
            <w:vAlign w:val="center"/>
          </w:tcPr>
          <w:p>
            <w:pPr>
              <w:pStyle w:val="85"/>
              <w:keepNext w:val="0"/>
              <w:keepLines w:val="0"/>
              <w:suppressLineNumbers w:val="0"/>
              <w:spacing w:before="0" w:beforeAutospacing="0" w:after="0" w:afterAutospacing="0"/>
              <w:ind w:left="0" w:right="0"/>
              <w:rPr>
                <w:rFonts w:hint="eastAsia" w:cs="Times New Roman"/>
                <w:color w:val="auto"/>
                <w:kern w:val="0"/>
                <w:sz w:val="18"/>
                <w:szCs w:val="18"/>
                <w:highlight w:val="none"/>
              </w:rPr>
            </w:pPr>
            <w:r>
              <w:rPr>
                <w:rFonts w:hint="eastAsia" w:cs="Times New Roman"/>
                <w:color w:val="auto"/>
                <w:kern w:val="0"/>
                <w:sz w:val="18"/>
                <w:szCs w:val="18"/>
                <w:highlight w:val="none"/>
              </w:rPr>
              <w:t>重庆市高新区虎溪街道景阳路</w:t>
            </w:r>
          </w:p>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37号2幢8-7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邮编</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030032</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邮编</w:t>
            </w:r>
          </w:p>
        </w:tc>
        <w:tc>
          <w:tcPr>
            <w:tcW w:w="3107"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401331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联系人及电话</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张桐/15</w:t>
            </w:r>
            <w:r>
              <w:rPr>
                <w:rFonts w:hint="eastAsia" w:cs="Times New Roman"/>
                <w:color w:val="auto"/>
                <w:kern w:val="0"/>
                <w:sz w:val="18"/>
                <w:szCs w:val="18"/>
                <w:highlight w:val="none"/>
                <w:lang w:val="en-US" w:eastAsia="zh-CN"/>
              </w:rPr>
              <w:t>***</w:t>
            </w:r>
            <w:r>
              <w:rPr>
                <w:rFonts w:hint="eastAsia" w:cs="Times New Roman"/>
                <w:color w:val="auto"/>
                <w:kern w:val="0"/>
                <w:sz w:val="18"/>
                <w:szCs w:val="18"/>
                <w:highlight w:val="none"/>
              </w:rPr>
              <w:t>90</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联系人及电话</w:t>
            </w:r>
          </w:p>
        </w:tc>
        <w:tc>
          <w:tcPr>
            <w:tcW w:w="3107"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黄导</w:t>
            </w:r>
            <w:r>
              <w:rPr>
                <w:rFonts w:cs="Times New Roman"/>
                <w:color w:val="auto"/>
                <w:kern w:val="0"/>
                <w:sz w:val="18"/>
                <w:szCs w:val="18"/>
                <w:highlight w:val="none"/>
              </w:rPr>
              <w:t>/</w:t>
            </w:r>
            <w:r>
              <w:rPr>
                <w:rFonts w:hint="eastAsia" w:cs="Times New Roman"/>
                <w:color w:val="auto"/>
                <w:kern w:val="0"/>
                <w:sz w:val="18"/>
                <w:szCs w:val="18"/>
                <w:highlight w:val="none"/>
              </w:rPr>
              <w:t>13</w:t>
            </w:r>
            <w:r>
              <w:rPr>
                <w:rFonts w:hint="eastAsia" w:cs="Times New Roman"/>
                <w:color w:val="auto"/>
                <w:kern w:val="0"/>
                <w:sz w:val="18"/>
                <w:szCs w:val="18"/>
                <w:highlight w:val="none"/>
                <w:lang w:val="en-US" w:eastAsia="zh-CN"/>
              </w:rPr>
              <w:t>***</w:t>
            </w:r>
            <w:r>
              <w:rPr>
                <w:rFonts w:hint="eastAsia" w:cs="Times New Roman"/>
                <w:color w:val="auto"/>
                <w:kern w:val="0"/>
                <w:sz w:val="18"/>
                <w:szCs w:val="18"/>
                <w:highlight w:val="none"/>
              </w:rPr>
              <w:t>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传真</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传真</w:t>
            </w:r>
          </w:p>
        </w:tc>
        <w:tc>
          <w:tcPr>
            <w:tcW w:w="3107" w:type="dxa"/>
            <w:gridSpan w:val="5"/>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hint="eastAsia" w:cs="Times New Roman"/>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717"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电子信箱</w:t>
            </w:r>
          </w:p>
        </w:tc>
        <w:tc>
          <w:tcPr>
            <w:tcW w:w="2980" w:type="dxa"/>
            <w:gridSpan w:val="3"/>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s</w:t>
            </w:r>
            <w:r>
              <w:rPr>
                <w:rFonts w:hint="eastAsia" w:cs="Times New Roman"/>
                <w:color w:val="auto"/>
                <w:kern w:val="0"/>
                <w:sz w:val="18"/>
                <w:szCs w:val="18"/>
                <w:highlight w:val="none"/>
              </w:rPr>
              <w:t>x</w:t>
            </w:r>
            <w:r>
              <w:rPr>
                <w:rFonts w:hint="eastAsia" w:cs="Times New Roman"/>
                <w:color w:val="auto"/>
                <w:kern w:val="0"/>
                <w:sz w:val="18"/>
                <w:szCs w:val="18"/>
                <w:highlight w:val="none"/>
                <w:lang w:val="en-US" w:eastAsia="zh-CN"/>
              </w:rPr>
              <w:t>***</w:t>
            </w:r>
            <w:r>
              <w:rPr>
                <w:rFonts w:cs="Times New Roman"/>
                <w:color w:val="auto"/>
                <w:kern w:val="0"/>
                <w:sz w:val="18"/>
                <w:szCs w:val="18"/>
                <w:highlight w:val="none"/>
              </w:rPr>
              <w:t>hb@126.com</w:t>
            </w:r>
          </w:p>
        </w:tc>
        <w:tc>
          <w:tcPr>
            <w:tcW w:w="1414" w:type="dxa"/>
            <w:noWrap w:val="0"/>
            <w:vAlign w:val="center"/>
          </w:tcPr>
          <w:p>
            <w:pPr>
              <w:pStyle w:val="85"/>
              <w:keepNext w:val="0"/>
              <w:keepLines w:val="0"/>
              <w:suppressLineNumbers w:val="0"/>
              <w:spacing w:before="0" w:beforeAutospacing="0" w:after="0" w:afterAutospacing="0"/>
              <w:ind w:left="0" w:right="0"/>
              <w:rPr>
                <w:rFonts w:cs="Times New Roman"/>
                <w:color w:val="auto"/>
                <w:kern w:val="0"/>
                <w:sz w:val="18"/>
                <w:szCs w:val="18"/>
                <w:highlight w:val="none"/>
              </w:rPr>
            </w:pPr>
            <w:r>
              <w:rPr>
                <w:rFonts w:cs="Times New Roman"/>
                <w:color w:val="auto"/>
                <w:kern w:val="0"/>
                <w:sz w:val="18"/>
                <w:szCs w:val="18"/>
                <w:highlight w:val="none"/>
              </w:rPr>
              <w:t>电子信箱</w:t>
            </w:r>
          </w:p>
        </w:tc>
        <w:tc>
          <w:tcPr>
            <w:tcW w:w="3107" w:type="dxa"/>
            <w:gridSpan w:val="5"/>
            <w:noWrap w:val="0"/>
            <w:vAlign w:val="center"/>
          </w:tcPr>
          <w:p>
            <w:pPr>
              <w:pStyle w:val="85"/>
              <w:keepNext w:val="0"/>
              <w:keepLines w:val="0"/>
              <w:suppressLineNumbers w:val="0"/>
              <w:spacing w:before="0" w:beforeAutospacing="0" w:after="0" w:afterAutospacing="0"/>
              <w:ind w:left="0" w:right="0"/>
              <w:rPr>
                <w:rFonts w:hint="eastAsia" w:cs="Times New Roman"/>
                <w:color w:val="auto"/>
                <w:kern w:val="0"/>
                <w:sz w:val="18"/>
                <w:szCs w:val="18"/>
                <w:highlight w:val="none"/>
              </w:rPr>
            </w:pPr>
            <w:r>
              <w:rPr>
                <w:rFonts w:hint="eastAsia" w:cs="Times New Roman"/>
                <w:color w:val="auto"/>
                <w:kern w:val="0"/>
                <w:sz w:val="18"/>
                <w:szCs w:val="18"/>
                <w:highlight w:val="none"/>
              </w:rPr>
              <w:t>/</w:t>
            </w:r>
          </w:p>
        </w:tc>
      </w:tr>
    </w:tbl>
    <w:p>
      <w:pPr>
        <w:rPr>
          <w:rFonts w:ascii="Times New Roman" w:hAnsi="Times New Roman" w:eastAsia="方正黑体_GBK" w:cs="Times New Roman"/>
          <w:color w:val="auto"/>
          <w:sz w:val="32"/>
          <w:szCs w:val="32"/>
        </w:rPr>
      </w:pPr>
    </w:p>
    <w:p>
      <w:pPr>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br w:type="page"/>
      </w:r>
    </w:p>
    <w:p>
      <w:pPr>
        <w:spacing w:line="594" w:lineRule="exact"/>
        <w:rPr>
          <w:rFonts w:hint="eastAsia" w:ascii="Times New Roman" w:hAnsi="Times New Roman" w:eastAsia="方正黑体_GBK" w:cs="Times New Roman"/>
          <w:color w:val="auto"/>
          <w:sz w:val="32"/>
          <w:szCs w:val="32"/>
          <w:lang w:val="en-US" w:eastAsia="zh-CN"/>
        </w:rPr>
      </w:pPr>
      <w:r>
        <w:rPr>
          <w:rFonts w:ascii="Times New Roman" w:hAnsi="Times New Roman" w:eastAsia="方正黑体_GBK" w:cs="Times New Roman"/>
          <w:color w:val="auto"/>
          <w:sz w:val="32"/>
          <w:szCs w:val="32"/>
        </w:rPr>
        <w:t>附件</w:t>
      </w:r>
      <w:r>
        <w:rPr>
          <w:rFonts w:hint="eastAsia" w:eastAsia="方正黑体_GBK" w:cs="Times New Roman"/>
          <w:color w:val="auto"/>
          <w:sz w:val="32"/>
          <w:szCs w:val="32"/>
          <w:lang w:val="en-US" w:eastAsia="zh-CN"/>
        </w:rPr>
        <w:t>2</w:t>
      </w:r>
    </w:p>
    <w:p>
      <w:pPr>
        <w:snapToGrid w:val="0"/>
        <w:spacing w:line="594" w:lineRule="exact"/>
        <w:jc w:val="center"/>
        <w:rPr>
          <w:rFonts w:hint="eastAsia" w:ascii="Times New Roman" w:hAnsi="Times New Roman" w:eastAsia="方正小标宋_GBK" w:cs="Times New Roman"/>
          <w:bCs/>
          <w:color w:val="auto"/>
          <w:sz w:val="44"/>
          <w:szCs w:val="44"/>
          <w:lang w:eastAsia="zh-CN"/>
        </w:rPr>
      </w:pPr>
    </w:p>
    <w:p>
      <w:pPr>
        <w:snapToGrid w:val="0"/>
        <w:spacing w:line="594" w:lineRule="exact"/>
        <w:jc w:val="center"/>
        <w:rPr>
          <w:rFonts w:hint="eastAsia" w:ascii="Times New Roman" w:hAnsi="Times New Roman" w:eastAsia="方正小标宋_GBK" w:cs="Times New Roman"/>
          <w:bCs/>
          <w:color w:val="auto"/>
          <w:sz w:val="44"/>
          <w:szCs w:val="44"/>
          <w:lang w:eastAsia="zh-CN"/>
        </w:rPr>
      </w:pPr>
      <w:r>
        <w:rPr>
          <w:rFonts w:hint="eastAsia" w:ascii="Times New Roman" w:hAnsi="Times New Roman" w:eastAsia="方正小标宋_GBK" w:cs="Times New Roman"/>
          <w:bCs/>
          <w:color w:val="auto"/>
          <w:sz w:val="44"/>
          <w:szCs w:val="44"/>
          <w:lang w:eastAsia="zh-CN"/>
        </w:rPr>
        <w:t>垫江至丰都至武隆高速公路（垫江至丰都段）</w:t>
      </w:r>
    </w:p>
    <w:p>
      <w:pPr>
        <w:keepNext w:val="0"/>
        <w:keepLines w:val="0"/>
        <w:pageBreakBefore w:val="0"/>
        <w:widowControl w:val="0"/>
        <w:kinsoku/>
        <w:wordWrap/>
        <w:overflowPunct/>
        <w:topLinePunct w:val="0"/>
        <w:autoSpaceDE/>
        <w:autoSpaceDN/>
        <w:bidi w:val="0"/>
        <w:adjustRightInd/>
        <w:snapToGrid w:val="0"/>
        <w:spacing w:after="192" w:afterLines="50" w:line="594" w:lineRule="exact"/>
        <w:jc w:val="center"/>
        <w:textAlignment w:val="auto"/>
        <w:rPr>
          <w:rFonts w:ascii="Times New Roman" w:hAnsi="Times New Roman" w:eastAsia="方正小标宋_GBK" w:cs="Times New Roman"/>
          <w:color w:val="FF0000"/>
          <w:sz w:val="44"/>
          <w:szCs w:val="44"/>
        </w:rPr>
      </w:pPr>
      <w:r>
        <w:rPr>
          <w:rFonts w:ascii="Times New Roman" w:hAnsi="Times New Roman" w:eastAsia="方正小标宋_GBK" w:cs="Times New Roman"/>
          <w:color w:val="auto"/>
          <w:sz w:val="44"/>
          <w:szCs w:val="44"/>
        </w:rPr>
        <w:t>水土保持方案报告书专家评审意见</w:t>
      </w:r>
    </w:p>
    <w:p>
      <w:pPr>
        <w:snapToGrid w:val="0"/>
        <w:spacing w:line="594" w:lineRule="exact"/>
        <w:ind w:firstLine="640" w:firstLineChars="200"/>
        <w:rPr>
          <w:rFonts w:hint="eastAsia" w:ascii="Times New Roman" w:hAnsi="Times New Roman" w:eastAsia="方正仿宋_GBK" w:cs="Times New Roman"/>
          <w:color w:val="auto"/>
          <w:sz w:val="32"/>
          <w:szCs w:val="32"/>
        </w:rPr>
      </w:pP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2023年12月20日，重庆市水利局在水利大厦17楼会议室组织召开了《垫江至丰都至武隆高速公路（垫江至丰都段）水土保持方案报告书》（以下简称《水保方案》）技术评审会。垫江县水利局、丰都县水利局、重庆成渝垫丰武高速公路有限公司（项目</w:t>
      </w:r>
      <w:r>
        <w:rPr>
          <w:rFonts w:hint="eastAsia" w:ascii="Times New Roman" w:hAnsi="Times New Roman" w:eastAsia="方正仿宋_GBK" w:cs="Times New Roman"/>
          <w:color w:val="auto"/>
          <w:sz w:val="32"/>
          <w:szCs w:val="32"/>
          <w:lang w:eastAsia="zh-CN"/>
        </w:rPr>
        <w:t>法人</w:t>
      </w:r>
      <w:r>
        <w:rPr>
          <w:rFonts w:hint="eastAsia" w:ascii="Times New Roman" w:hAnsi="Times New Roman" w:eastAsia="方正仿宋_GBK" w:cs="Times New Roman"/>
          <w:color w:val="auto"/>
          <w:sz w:val="32"/>
          <w:szCs w:val="32"/>
        </w:rPr>
        <w:t>）、招商局重庆交通科研设计院有限公司及中国公路工程咨询集团有限公司（主</w:t>
      </w:r>
      <w:r>
        <w:rPr>
          <w:rFonts w:hint="eastAsia" w:ascii="Times New Roman" w:hAnsi="Times New Roman" w:eastAsia="方正仿宋_GBK" w:cs="Times New Roman"/>
          <w:color w:val="auto"/>
          <w:sz w:val="32"/>
          <w:szCs w:val="32"/>
          <w:lang w:eastAsia="zh-CN"/>
        </w:rPr>
        <w:t>体</w:t>
      </w:r>
      <w:r>
        <w:rPr>
          <w:rFonts w:hint="eastAsia" w:ascii="Times New Roman" w:hAnsi="Times New Roman" w:eastAsia="方正仿宋_GBK" w:cs="Times New Roman"/>
          <w:color w:val="auto"/>
          <w:sz w:val="32"/>
          <w:szCs w:val="32"/>
        </w:rPr>
        <w:t>设</w:t>
      </w:r>
      <w:r>
        <w:rPr>
          <w:rFonts w:hint="eastAsia" w:ascii="Times New Roman" w:hAnsi="Times New Roman" w:eastAsia="方正仿宋_GBK" w:cs="Times New Roman"/>
          <w:color w:val="auto"/>
          <w:sz w:val="32"/>
          <w:szCs w:val="32"/>
          <w:lang w:eastAsia="zh-CN"/>
        </w:rPr>
        <w:t>计</w:t>
      </w:r>
      <w:r>
        <w:rPr>
          <w:rFonts w:hint="eastAsia" w:ascii="Times New Roman" w:hAnsi="Times New Roman" w:eastAsia="方正仿宋_GBK" w:cs="Times New Roman"/>
          <w:color w:val="auto"/>
          <w:sz w:val="32"/>
          <w:szCs w:val="32"/>
        </w:rPr>
        <w:t>单位）、山西省交通环境保护中心站（有限公司）（报告编制单位）的代表及</w:t>
      </w:r>
      <w:r>
        <w:rPr>
          <w:rFonts w:hint="eastAsia" w:ascii="Times New Roman" w:hAnsi="Times New Roman" w:eastAsia="方正仿宋_GBK" w:cs="Times New Roman"/>
          <w:color w:val="auto"/>
          <w:sz w:val="32"/>
          <w:szCs w:val="32"/>
          <w:lang w:eastAsia="zh-CN"/>
        </w:rPr>
        <w:t>评审</w:t>
      </w:r>
      <w:r>
        <w:rPr>
          <w:rFonts w:hint="eastAsia" w:ascii="Times New Roman" w:hAnsi="Times New Roman" w:eastAsia="方正仿宋_GBK" w:cs="Times New Roman"/>
          <w:color w:val="auto"/>
          <w:sz w:val="32"/>
          <w:szCs w:val="32"/>
        </w:rPr>
        <w:t>专家参加了会议。</w:t>
      </w:r>
      <w:r>
        <w:rPr>
          <w:rFonts w:hint="eastAsia" w:ascii="Times New Roman" w:hAnsi="Times New Roman" w:eastAsia="方正仿宋_GBK" w:cs="Times New Roman"/>
          <w:color w:val="auto"/>
          <w:sz w:val="32"/>
          <w:szCs w:val="32"/>
          <w:lang w:eastAsia="zh-CN"/>
        </w:rPr>
        <w:t>会议成立了专家组，专家组</w:t>
      </w:r>
      <w:r>
        <w:rPr>
          <w:rFonts w:hint="eastAsia" w:ascii="Times New Roman" w:hAnsi="Times New Roman" w:eastAsia="方正仿宋_GBK" w:cs="Times New Roman"/>
          <w:color w:val="auto"/>
          <w:sz w:val="32"/>
          <w:szCs w:val="32"/>
        </w:rPr>
        <w:t>会前踏勘了现场，详细审阅了《水保方案》，会上认真听取了《水保方案》编制单位的汇报，进行了深入讨论</w:t>
      </w:r>
      <w:r>
        <w:rPr>
          <w:rFonts w:ascii="Times New Roman" w:hAnsi="Times New Roman" w:eastAsia="方正仿宋_GBK" w:cs="Times New Roman"/>
          <w:color w:val="auto"/>
          <w:sz w:val="32"/>
          <w:szCs w:val="32"/>
        </w:rPr>
        <w:t>。根据</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办水保</w:t>
      </w:r>
      <w:r>
        <w:rPr>
          <w:rFonts w:ascii="Times New Roman" w:hAnsi="Times New Roman" w:eastAsia="宋体" w:cs="Times New Roman"/>
          <w:color w:val="auto"/>
          <w:sz w:val="30"/>
          <w:szCs w:val="30"/>
        </w:rPr>
        <w:t>〔</w:t>
      </w:r>
      <w:r>
        <w:rPr>
          <w:rFonts w:hint="eastAsia"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23</w:t>
      </w:r>
      <w:r>
        <w:rPr>
          <w:rFonts w:ascii="Times New Roman" w:hAnsi="Times New Roman" w:eastAsia="宋体" w:cs="Times New Roman"/>
          <w:color w:val="auto"/>
          <w:sz w:val="30"/>
          <w:szCs w:val="30"/>
        </w:rPr>
        <w:t>〕</w:t>
      </w:r>
      <w:r>
        <w:rPr>
          <w:rFonts w:hint="eastAsia" w:ascii="Times New Roman" w:hAnsi="Times New Roman" w:eastAsia="方正仿宋_GBK" w:cs="Times New Roman"/>
          <w:color w:val="auto"/>
          <w:sz w:val="32"/>
          <w:szCs w:val="32"/>
          <w:lang w:val="en-US" w:eastAsia="zh-CN"/>
        </w:rPr>
        <w:t>177</w:t>
      </w:r>
      <w:r>
        <w:rPr>
          <w:rFonts w:hint="eastAsia" w:ascii="Times New Roman" w:hAnsi="Times New Roman" w:eastAsia="方正仿宋_GBK" w:cs="Times New Roman"/>
          <w:color w:val="auto"/>
          <w:sz w:val="32"/>
          <w:szCs w:val="32"/>
        </w:rPr>
        <w:t>号”</w:t>
      </w:r>
      <w:r>
        <w:rPr>
          <w:rFonts w:hint="eastAsia" w:ascii="Times New Roman" w:hAnsi="Times New Roman" w:eastAsia="方正仿宋_GBK" w:cs="Times New Roman"/>
          <w:color w:val="auto"/>
          <w:sz w:val="32"/>
          <w:szCs w:val="32"/>
          <w:lang w:eastAsia="zh-CN"/>
        </w:rPr>
        <w:t>和</w:t>
      </w:r>
      <w:r>
        <w:rPr>
          <w:rFonts w:ascii="Times New Roman" w:hAnsi="Times New Roman" w:eastAsia="方正仿宋_GBK" w:cs="Times New Roman"/>
          <w:color w:val="auto"/>
          <w:sz w:val="32"/>
          <w:szCs w:val="32"/>
        </w:rPr>
        <w:t>“渝水</w:t>
      </w:r>
      <w:r>
        <w:rPr>
          <w:rFonts w:ascii="Times New Roman" w:hAnsi="Times New Roman" w:eastAsia="宋体" w:cs="Times New Roman"/>
          <w:color w:val="auto"/>
          <w:sz w:val="30"/>
          <w:szCs w:val="30"/>
        </w:rPr>
        <w:t>〔</w:t>
      </w:r>
      <w:r>
        <w:rPr>
          <w:rFonts w:ascii="Times New Roman" w:hAnsi="Times New Roman" w:eastAsia="方正仿宋_GBK" w:cs="Times New Roman"/>
          <w:color w:val="auto"/>
          <w:sz w:val="32"/>
          <w:szCs w:val="32"/>
        </w:rPr>
        <w:t>2018</w:t>
      </w:r>
      <w:r>
        <w:rPr>
          <w:rFonts w:ascii="Times New Roman" w:hAnsi="Times New Roman" w:eastAsia="宋体" w:cs="Times New Roman"/>
          <w:color w:val="auto"/>
          <w:sz w:val="30"/>
          <w:szCs w:val="30"/>
        </w:rPr>
        <w:t>〕</w:t>
      </w:r>
      <w:r>
        <w:rPr>
          <w:rFonts w:ascii="Times New Roman" w:hAnsi="Times New Roman" w:eastAsia="方正仿宋_GBK" w:cs="Times New Roman"/>
          <w:color w:val="auto"/>
          <w:sz w:val="32"/>
          <w:szCs w:val="32"/>
        </w:rPr>
        <w:t>267号”，</w:t>
      </w:r>
      <w:r>
        <w:rPr>
          <w:rFonts w:hint="eastAsia" w:ascii="Times New Roman" w:hAnsi="Times New Roman" w:eastAsia="方正仿宋_GBK" w:cs="Times New Roman"/>
          <w:color w:val="auto"/>
          <w:sz w:val="32"/>
          <w:szCs w:val="32"/>
          <w:lang w:eastAsia="zh-CN"/>
        </w:rPr>
        <w:t>专家组</w:t>
      </w:r>
      <w:r>
        <w:rPr>
          <w:rFonts w:hint="eastAsia" w:ascii="Times New Roman" w:hAnsi="Times New Roman" w:eastAsia="方正仿宋_GBK" w:cs="Times New Roman"/>
          <w:color w:val="auto"/>
          <w:sz w:val="32"/>
          <w:szCs w:val="32"/>
        </w:rPr>
        <w:t>对《水保方案》进行了质量评分，质量评定等级合格。报告编制单位会后对《水保方案》进行了修改补充，2024年3月26日</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项目法人提交了修改完善后的《水保方案》（报批稿）。经专家组复核，形成专家评审意见如下</w:t>
      </w:r>
      <w:r>
        <w:rPr>
          <w:rFonts w:ascii="Times New Roman" w:hAnsi="Times New Roman" w:eastAsia="方正仿宋_GBK" w:cs="Times New Roman"/>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一、综合说明</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方案编制依据的法律法规、部委规章、规范性文件、规范标准和技术文件及采用的资料基本正确。</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（二）同意方案设计水平年为2029年。</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（三）同意水土流失防治责任范围界定，水土流失防治责任范围面积为793.10hm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（垫江县462.37 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，丰都县330.73 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（四）同意项目水土流失防治标准等级执行西南紫色土区建设类项目一级标准。</w:t>
      </w: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（五）同意水土流失防治目标。其中：水土流失治理度97%，土壤流失控制比1.0，渣土防护率94%，表土保护率92%，林草植被恢复率97%，林草覆盖率27%</w:t>
      </w:r>
      <w:r>
        <w:rPr>
          <w:rFonts w:ascii="Times New Roman" w:hAnsi="Times New Roman" w:eastAsia="方正仿宋_GBK" w:cs="Times New Roman"/>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二、项目概况</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项目概况阐述基本清楚</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垫江至丰都至武隆高速公路（垫江至丰都段）位于重庆市东北部的垫江县、丰都县境内，属于新建项目。路线总体走向为西北-东南向，路线起于大竹至垫江高速公路明月山隧道，终点设置丰都兴义长江大桥跨越长江到达南岸，线路全长78.258km。全线采用以下技术标准：起点~新民段(K5+203.969 )采用设计速度100km/h，双向六车道高速公路技术标准；新民(K5+203.969)~兴义枢纽段采用设计速度100km/h，双向四车道高速公路技术标准；兴义枢纽~项目终点段采用设计速度 80km/h，双向四车道高速公路技术标准。</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项目主体工程部分包括路基工程、桥梁工程、隧道工程、互通工程、沿线设施、改移工程，根据工程建设需要，布设临时工程有施工生产生活区、施工便道、弃渣场和表土堆放场。路基长7.35km，桥梁43座，隧道8处，互通工程8处，沿线设施19处，改路工程14.22km、改沟工程1.58km。根据施工需要，共设置施工生产生活区31处/35.08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，施工便道74.04km/56.19hm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，弃渣场25处/86.10hm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，表土堆放场81处/28.38hm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。拆迁安置工作采用货币补偿方式，由地方政府和相应权属人负责实施。</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项目总占地793.10hm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永久占地587.35hm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，临时占地205.75hm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挖填方总量5111.65万m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挖方量3159.55万m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（含表土剥离量185.94万m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），填方量1952.10万m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（含表土回覆量185.94万m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），综合利用171.68万m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，余方1035.77万m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（弃于25处弃渣场）。</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本工程计划建设期为5年，2024年4月开工建设，2029年3月建成通车。本项目总投资1531993万元，其中土建投资1101632万元。</w:t>
      </w:r>
    </w:p>
    <w:p>
      <w:pPr>
        <w:snapToGrid w:val="0"/>
        <w:spacing w:line="594" w:lineRule="exact"/>
        <w:ind w:firstLine="640" w:firstLineChars="200"/>
        <w:rPr>
          <w:rFonts w:ascii="Times New Roman" w:hAnsi="Times New Roman" w:eastAsia="方正仿宋_GBK" w:cs="Times New Roman"/>
          <w:bCs/>
          <w:color w:val="FF0000"/>
          <w:sz w:val="32"/>
          <w:szCs w:val="32"/>
        </w:rPr>
      </w:pPr>
      <w:r>
        <w:rPr>
          <w:rFonts w:hint="eastAsia" w:ascii="Times New Roman" w:hAnsi="Times New Roman" w:eastAsia="方正仿宋_GBK" w:cs="Times New Roman"/>
          <w:color w:val="auto"/>
          <w:sz w:val="32"/>
          <w:szCs w:val="32"/>
        </w:rPr>
        <w:t>（二）项目区自然概况阐述较为清楚</w:t>
      </w:r>
      <w:r>
        <w:rPr>
          <w:rFonts w:ascii="Times New Roman" w:hAnsi="Times New Roman" w:eastAsia="方正仿宋_GBK" w:cs="Times New Roman"/>
          <w:bCs/>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三、项目水土保持评价</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主体工程选址（线）的水土保持评价。本项目线路不涉及全国水土保持监测网络中的水土保持监测站、重点试验区及国家确定的水土保持长期定位观测站。但本项目受路网规划的制约，线路涉及国家级和省级水土流失重点治理区且无法避让。项目已经执行最高一级水土流失防治标准，符合法律法规要求。</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（二）基本同意建设方案与布局水土保持评价。</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基本同意对弃渣场选址的分析与评价。项目25处弃渣场在选址过程中征得了所属县规自、环保、林业、水利等部门和地方乡镇的同意。6处弃渣场下游可能受影响的12户房屋已全部纳入工程拆迁范围，在完成拆迁的情况下弃渣场选址避开了对基础设施、工业企业、居民点等有重大影响的区域，也避开了河道、建成水库管理范围，选址符合水土保持法律法规及《生产建设项目水土保持技术标准》（GB50433-2018）的规定与要求。</w:t>
      </w: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（四）同意主体工程设计中水土保持措施界定</w:t>
      </w:r>
      <w:r>
        <w:rPr>
          <w:rFonts w:ascii="Times New Roman" w:hAnsi="Times New Roman" w:eastAsia="方正仿宋_GBK" w:cs="Times New Roman"/>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四、水土流失分析与预测</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基本同意对项目水土流失现状及影响分析。</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（二）基本同意工程扰动地表面积793.10hm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，损毁植被面积396.19hm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（三）基本同意工程建设可能造成的水土流失总量为19.02万t，新增水土流失总量为12.00万t。</w:t>
      </w:r>
    </w:p>
    <w:p>
      <w:pPr>
        <w:snapToGrid w:val="0"/>
        <w:spacing w:line="594" w:lineRule="exact"/>
        <w:ind w:firstLine="640" w:firstLineChars="200"/>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rPr>
        <w:t>（四）基本同意水土流失的危害性分析</w:t>
      </w:r>
      <w:r>
        <w:rPr>
          <w:rFonts w:hint="eastAsia" w:ascii="Times New Roman" w:hAnsi="Times New Roman" w:eastAsia="方正仿宋_GBK" w:cs="Times New Roman"/>
          <w:color w:val="auto"/>
          <w:sz w:val="32"/>
          <w:szCs w:val="32"/>
          <w:lang w:val="en-US" w:eastAsia="zh-CN"/>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五、水土保持措施</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（一）</w:t>
      </w:r>
      <w:r>
        <w:rPr>
          <w:rFonts w:hint="eastAsia" w:ascii="Times New Roman" w:hAnsi="Times New Roman" w:eastAsia="方正仿宋_GBK" w:cs="Times New Roman"/>
          <w:bCs/>
          <w:color w:val="auto"/>
          <w:sz w:val="32"/>
          <w:szCs w:val="32"/>
        </w:rPr>
        <w:t>基本同意项目划分为路基工程、桥梁工程、隧道工程、互通工程、沿线设施、改移工程、施工生产生活区、施工便道、弃渣场和表土堆放场10个水土流失防治区。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（二）基本同意由主体工程设计的水土保持措施和方案新增的水土保持措施所组成的水土流失防治措施体系。</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（三）基本同意各防治区防治措施布局及水土保持措施典型设计。</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路基工程防治区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施工前，对该区施工扰动范围内表土可剥离区域进行表土剥离，并将剥离的表土运至规划的表土堆放场集中堆存，做好表土堆放场防护措施</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路基开挖前完成永久性截水沟。施工过程中，按照“永临结合”原则，在永久排水沟、边沟位置开挖临时排水沟，临时排水沟出口布设临时沉沙池；根据施工扰动区周边汇水情况布设临时排水沟，排水沟出口处布设临时沉沙池，并顺接下游水系；在路基边坡坡脚、临时堆土点周边等区域设置编织土袋临时拦挡；在施工裸露区、边坡、临时堆土点等区域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填方路基坡顶布设临时拦水坎，坡面布设临时急流槽，并顺接边坡坡脚临时排水沟；路基边坡成形后完成永久排水沟、边沟、截水沟、急流槽、沉沙池等，并布设排水顺接工程与自然沟道衔接；采取喷播植草护坡、挂三维网植草护坡、方格网植草护坡、拱形骨架植草护坡、挂CF网植草护坡、锚杆框架梁植草护坡、窗孔式护面墙植草护坡。施工后期，进行表土回覆及景观绿化。</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桥梁工程防治区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内表土可剥离区域进行表土剥离，并将剥离的表土运至规划的表土堆放场（就近的施工生产生活区内设置的表土临时堆放点）集中堆存，做好表土堆放场防护措施。施工过程中，根据施工扰动区周边汇水情况布设临时排水沟，排水沟出口处布设临时沉沙池，并顺接下游水系；桥梁施工作业区开挖边坡坡脚采用编织土袋临时拦挡，边坡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盖，对其他施工扰动裸露区采用无纺布临时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盖；桥墩周边布设晾晒池，晾晒池四周采用编织土袋临时拦挡，遇到降雨采用无纺布临时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盖，弃土石渣等及时清理，并运至规划弃渣场集中堆放</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对于涉水桥梁，在桥墩施工区临水侧采用编织土袋挡墙进行临时拦挡。施工后期，对该区进行土地整治、表土回覆及植被恢复。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隧道工程防治区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施工前，对该区施工扰动范围内表土可剥离区域进行表土剥离，并将剥离的表土运至规划的表土堆放场（就近的施工生产生活区内设置的表土临时堆放点）集中堆存，做好表土堆放场防护措施</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隧道开挖前完成洞顶永久截排水沟。施工过程中，根据施工扰动区周边汇水情况布设临时排水沟，排水沟出口处布设临时沉沙池，并顺接下游水系；在开挖边坡坡脚、隧道出渣临时堆放周边等区域设置编织土袋临时拦挡；在施工裸露区、开挖边坡、隧道出渣临时堆放等区域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盖；洞口边坡成形后实施挂网喷播植草护坡，形成永久排水沟和盲沟。施工后期，实施该区表土回覆及景观绿化。</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4</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互通工程防治区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施工前，对该区施工扰动范围内表土可剥离区域进行表土剥离，并将剥离的表土运至规划的表土堆放场（自身场地内设置的表土临时堆放点）集中堆存，做好表土堆放场防护措施</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路基开挖前完成永久性截水沟。施工过程中，按照“永临结合”原则，在永久排水沟、边沟位置开挖临时排水沟，临时排水沟出口布设临时沉沙池；根据施工扰动区周边汇水情况布设临时排水沟，排水沟出口处布设临时沉沙池，并顺接下游水系；在路基边坡坡脚、临时堆土点周边等区域设置编织土袋临时拦挡；在施工裸露区、边坡、临时堆土点等区域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在表土堆放结束后采取撒播草籽过渡性绿化；填方路基坡顶布设临时拦水坎，坡面布设临时急流槽，并顺接边坡坡脚临时排水沟；路基边坡成形后完成永久排水沟、纵向排水沟、边沟、坡顶截水沟、平台截水沟、急流槽等，并布设排水顺接工程与自然沟道衔接，路基边坡采喷播植草、三维网植草、CF网植草、拱形骨架植草（植生袋）、锚杆框架梁植草和实体护坡等护坡。施工后期，实施该区表土回覆及景观绿化。</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5</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沿线设施防治区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施工前，对该区施工扰动范围内表土可剥离区域进行表土剥离，并将剥离的表土运至规划的表土堆放场（自身场地内设置的表土临时堆放点）集中堆存，做好表土堆放场防护措施</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场地开挖前完成永久性截水沟。施工过程中，按照“永临结合”原则，在永久排水沟、边沟位置开挖临时排水沟，临时排水沟出口布设临时沉沙池；根据施工扰动区周边汇水情况布设临时排水沟，排水沟出口处布设临时沉沙池，并顺接下游水系；在边坡坡脚、临时堆土点、综合利用石料堆存点周边等区域设置编织土袋临时拦挡；在施工裸露区、边坡、临时堆土点、综合利用石料堆存点等区域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在表土堆放结束后采取撒播草籽过渡性绿化；填方路基坡顶布设临时拦水坎，边坡坡面布设临时急流槽，并顺接边坡坡脚临时排水沟；场地边坡成形后完成永久排水沟、边沟、平台截水沟、急流槽等，并顺接下游水系；场地边坡成形后采用喷播植草、三维网植草、拱形骨架护坡植草等护坡。施工后期，实施该区表土回覆及景观绿化。</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6</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改移工程防治区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内表土可剥离区域进行表土剥离，并将剥离的表土运至规划的表土堆放场集中堆存，做好表土堆放场防护措施。施工过程中，按照“永临结合”原则，在改移道路永久边沟位置开挖临时排水沟，临时排水沟出口布设临时沉沙池；根据施工扰动区周边汇水情况布设临时排水沟，排水沟出口处布设临时沉沙池，并顺接下游水系；在边坡坡脚、临时堆土点周边等区域设置编织土袋临时拦挡；在施工裸露区、边坡、临时堆土点等区域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盖；边坡成形后完成永久边沟等，并顺接下游水系；改移道路边坡回覆表土并采用喷播植草护坡，改移沟渠工程边坡采用混凝土护坡。</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7</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施工生产生活区防治区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建设前，对该区施工扰动范围内表土可剥离区域进行表土剥离，并将剥离的表土运至规划的表土堆放场（自身场地内设置的表土临时堆放点）集中堆存，做好表土堆放场防护措施。建设中，在场地四周布设临时排水沟，排水沟出口处布设临时沉沙池，并顺接下游水系；对场地填方边坡坡脚采用编织土袋临时拦挡，场地边坡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盖。场地使用期间，在堆土（料）场四周采用编织土袋临时拦挡，备置无纺布对堆土（料）场进行临时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盖，在表土堆放结束后采取撒播草籽过渡性绿化。施工结束后，对该区实施场地清理、土地整治、表土回覆及植被恢复。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8</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施工便道防治区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内表土可剥离区域进行表土剥离，并将剥离的表土运至规划的表土堆放场集中堆存，做好表土堆放场防护措施。施工过程中，对便道填方边坡坡脚布设编织土袋挡墙临时拦挡，裸露边坡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盖；便道两侧布设临时排水沟，排水沟出口处布设临时沉沙池，并顺接下游水系。施工结束后，施工便道除交地方使用外，其他便道采取土地整治、表土回覆、植被恢复和复耕。</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9</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弃渣场防治区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内表土可剥离区域进行表土剥离，并将剥离的表土运至规划的表土堆放场集中堆存，做好表土堆放场防护措施。按照“先挡后弃”原则，堆渣前在弃渣场堆渣边坡坡脚布设挡渣墙，弃渣场底部布设排水盲沟，弃渣场四周布设截排水沟和消力槛，排水沟末端接消力池后顺接下游水系。堆渣过程中，采取分级堆放、分层碾压的堆渣方式，各级间设平台，平台设平台排水沟和渣面土埂，遇到降雨对渣体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盖。对汇水面积较大的渣场永临结合布设临时排水沟，排水沟末端设置沉沙函。堆渣结束后，对弃渣场进行土地整治和表土回覆，弃渣坡面采取植被恢复，顶部采取植被恢复或复耕。</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10</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表土堆放场防治区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堆放前，在表土堆放场坡脚布设编织土袋临时拦挡，四周布设临时排水沟，临时排水沟出口布设临时沉沙池，并顺接下游水系。堆放期间，遇到降雨采用无纺布临时</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盖。表土堆放完成后，表土堆放场表面采取撒播草籽过渡性绿化。施工结束后，对该区实施土地整治、植被恢复或复耕。</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bCs/>
          <w:color w:val="auto"/>
          <w:sz w:val="32"/>
          <w:szCs w:val="32"/>
        </w:rPr>
        <w:t>（四）水土保持施工组织设计基本可行</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六、水土保持监测</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基本同意水土保持监测方案</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七、水土保持投资估算及效益分析</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投资估算编制依据正确，费用及定额选择基本合理，编制深度基本满足规范要求。</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（二）经审核，水土保持方案工程静态总投资67684.17万元，其中</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rPr>
        <w:t>主体已列54296.50万元，方案新增13387.67万元</w:t>
      </w:r>
      <w:r>
        <w:rPr>
          <w:rFonts w:hint="eastAsia" w:ascii="Times New Roman" w:hAnsi="Times New Roman" w:eastAsia="方正仿宋_GBK" w:cs="Times New Roman"/>
          <w:color w:val="auto"/>
          <w:sz w:val="32"/>
          <w:szCs w:val="32"/>
          <w:lang w:eastAsia="zh-CN"/>
        </w:rPr>
        <w:t>（其中：</w:t>
      </w:r>
      <w:r>
        <w:rPr>
          <w:rFonts w:hint="eastAsia" w:ascii="Times New Roman" w:hAnsi="Times New Roman" w:eastAsia="方正仿宋_GBK" w:cs="Times New Roman"/>
          <w:color w:val="auto"/>
          <w:sz w:val="32"/>
          <w:szCs w:val="32"/>
        </w:rPr>
        <w:t>工程措施6344.87万元，植物措施110.25万元，监测措施462.74万元，</w:t>
      </w:r>
      <w:r>
        <w:rPr>
          <w:rFonts w:hint="eastAsia" w:ascii="Times New Roman" w:hAnsi="Times New Roman" w:eastAsia="方正仿宋_GBK" w:cs="Times New Roman"/>
          <w:color w:val="auto"/>
          <w:sz w:val="32"/>
          <w:szCs w:val="32"/>
          <w:lang w:eastAsia="zh-CN"/>
        </w:rPr>
        <w:t>施工</w:t>
      </w:r>
      <w:r>
        <w:rPr>
          <w:rFonts w:hint="eastAsia" w:ascii="Times New Roman" w:hAnsi="Times New Roman" w:eastAsia="方正仿宋_GBK" w:cs="Times New Roman"/>
          <w:color w:val="auto"/>
          <w:sz w:val="32"/>
          <w:szCs w:val="32"/>
        </w:rPr>
        <w:t>临时措施3551.49万元，独立费1113.04万元，预备费694.94万元，水土保持补偿费1110.34</w:t>
      </w:r>
      <w:r>
        <w:rPr>
          <w:rFonts w:hint="eastAsia" w:ascii="Times New Roman" w:hAnsi="Times New Roman" w:eastAsia="方正仿宋_GBK" w:cs="Times New Roman"/>
          <w:color w:val="auto"/>
          <w:sz w:val="32"/>
          <w:szCs w:val="32"/>
          <w:lang w:val="en-US" w:eastAsia="zh-CN"/>
        </w:rPr>
        <w:t>0</w:t>
      </w:r>
      <w:r>
        <w:rPr>
          <w:rFonts w:hint="eastAsia" w:ascii="Times New Roman" w:hAnsi="Times New Roman" w:eastAsia="方正仿宋_GBK" w:cs="Times New Roman"/>
          <w:color w:val="auto"/>
          <w:sz w:val="32"/>
          <w:szCs w:val="32"/>
        </w:rPr>
        <w:t>万元</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（三）效益分析方法基本正确，分析结果基本合理</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八、水土保持管理</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基本同意组织管理、后续设计、水土保持监测、水土保持监理、水土保持施工、水土保持设施验收等保障措施和要求</w:t>
      </w:r>
      <w:r>
        <w:rPr>
          <w:rFonts w:ascii="Times New Roman" w:hAnsi="Times New Roman" w:eastAsia="方正仿宋_GBK" w:cs="Times New Roman"/>
          <w:color w:val="auto"/>
          <w:sz w:val="32"/>
          <w:szCs w:val="32"/>
        </w:rPr>
        <w:t>。</w:t>
      </w:r>
    </w:p>
    <w:p>
      <w:pPr>
        <w:snapToGrid w:val="0"/>
        <w:spacing w:line="560" w:lineRule="exact"/>
        <w:ind w:firstLine="640" w:firstLineChars="200"/>
        <w:rPr>
          <w:rFonts w:hint="eastAsia" w:ascii="Times New Roman" w:hAnsi="Times New Roman" w:eastAsia="方正黑体_GBK" w:cs="Times New Roman"/>
          <w:bCs/>
          <w:color w:val="auto"/>
          <w:sz w:val="32"/>
          <w:szCs w:val="32"/>
        </w:rPr>
      </w:pPr>
      <w:r>
        <w:rPr>
          <w:rFonts w:hint="eastAsia" w:ascii="Times New Roman" w:hAnsi="Times New Roman" w:eastAsia="方正黑体_GBK" w:cs="Times New Roman"/>
          <w:bCs/>
          <w:color w:val="auto"/>
          <w:sz w:val="32"/>
          <w:szCs w:val="32"/>
        </w:rPr>
        <w:t>九、其他</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项目法人应加强施工组织，优化施工工艺，减少土石方开挖填筑、地表扰动及植被破坏，严禁乱挖乱堆乱放，严禁向河道弃渣，弃渣必须运至指定地点集中堆放，并加强弃渣的减量化和资源化利用，严格控制工程建设中水土流失。</w:t>
      </w:r>
    </w:p>
    <w:p>
      <w:pPr>
        <w:keepNext w:val="0"/>
        <w:keepLines w:val="0"/>
        <w:pageBreakBefore w:val="0"/>
        <w:widowControl w:val="0"/>
        <w:kinsoku/>
        <w:wordWrap/>
        <w:overflowPunct/>
        <w:topLinePunct w:val="0"/>
        <w:autoSpaceDE/>
        <w:autoSpaceDN/>
        <w:bidi w:val="0"/>
        <w:adjustRightInd/>
        <w:snapToGrid w:val="0"/>
        <w:spacing w:line="594" w:lineRule="exact"/>
        <w:ind w:left="1598" w:leftChars="228" w:hanging="960" w:hangingChars="300"/>
        <w:textAlignment w:val="auto"/>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1598" w:leftChars="228" w:hanging="960" w:hangingChars="3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lang w:eastAsia="zh-CN"/>
        </w:rPr>
        <w:t>垫江至丰都至武隆高速公路（垫江至丰都段）</w:t>
      </w:r>
      <w:r>
        <w:rPr>
          <w:rFonts w:ascii="Times New Roman" w:hAnsi="Times New Roman" w:eastAsia="方正仿宋_GBK" w:cs="Times New Roman"/>
          <w:color w:val="auto"/>
          <w:sz w:val="32"/>
          <w:szCs w:val="32"/>
        </w:rPr>
        <w:t xml:space="preserve">水土保持投资估算审核表                    </w:t>
      </w:r>
    </w:p>
    <w:p>
      <w:pPr>
        <w:snapToGrid w:val="0"/>
        <w:spacing w:line="594" w:lineRule="exact"/>
        <w:ind w:firstLine="640" w:firstLineChars="200"/>
        <w:jc w:val="lef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napToGrid w:val="0"/>
        <w:spacing w:line="594" w:lineRule="exact"/>
        <w:ind w:firstLine="4760" w:firstLineChars="1700"/>
        <w:jc w:val="left"/>
        <w:rPr>
          <w:rFonts w:ascii="Times New Roman" w:hAnsi="Times New Roman" w:eastAsia="方正仿宋_GBK" w:cs="Times New Roman"/>
          <w:color w:val="auto"/>
          <w:sz w:val="32"/>
          <w:szCs w:val="32"/>
        </w:rPr>
      </w:pPr>
      <w:r>
        <w:rPr>
          <w:rFonts w:ascii="Times New Roman" w:hAnsi="Times New Roman" w:eastAsia="宋体" w:cs="Times New Roman"/>
          <w:color w:val="auto"/>
        </w:rPr>
        <w:drawing>
          <wp:anchor distT="0" distB="0" distL="114300" distR="114300" simplePos="0" relativeHeight="251660288" behindDoc="0" locked="0" layoutInCell="1" allowOverlap="1">
            <wp:simplePos x="0" y="0"/>
            <wp:positionH relativeFrom="column">
              <wp:posOffset>4349115</wp:posOffset>
            </wp:positionH>
            <wp:positionV relativeFrom="paragraph">
              <wp:posOffset>6350</wp:posOffset>
            </wp:positionV>
            <wp:extent cx="1115060" cy="390525"/>
            <wp:effectExtent l="0" t="0" r="12700" b="571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1115060" cy="390525"/>
                    </a:xfrm>
                    <a:prstGeom prst="rect">
                      <a:avLst/>
                    </a:prstGeom>
                    <a:noFill/>
                    <a:ln>
                      <a:noFill/>
                    </a:ln>
                  </pic:spPr>
                </pic:pic>
              </a:graphicData>
            </a:graphic>
          </wp:anchor>
        </w:drawing>
      </w:r>
      <w:r>
        <w:rPr>
          <w:rFonts w:ascii="Times New Roman" w:hAnsi="Times New Roman" w:eastAsia="方正仿宋_GBK" w:cs="Times New Roman"/>
          <w:color w:val="auto"/>
          <w:sz w:val="32"/>
          <w:szCs w:val="32"/>
        </w:rPr>
        <w:t>专家组组长：</w:t>
      </w:r>
    </w:p>
    <w:p>
      <w:pPr>
        <w:snapToGrid w:val="0"/>
        <w:spacing w:line="594" w:lineRule="exact"/>
        <w:ind w:firstLine="5120" w:firstLineChars="1600"/>
        <w:rPr>
          <w:rFonts w:eastAsia="方正仿宋_GBK"/>
          <w:color w:val="auto"/>
          <w:sz w:val="32"/>
          <w:szCs w:val="32"/>
        </w:rPr>
        <w:sectPr>
          <w:footerReference r:id="rId3" w:type="default"/>
          <w:pgSz w:w="11906" w:h="16838"/>
          <w:pgMar w:top="1985" w:right="1446" w:bottom="1684" w:left="1446" w:header="851" w:footer="1474" w:gutter="0"/>
          <w:pgNumType w:fmt="decimal"/>
          <w:cols w:space="720" w:num="1"/>
          <w:docGrid w:linePitch="381" w:charSpace="0"/>
        </w:sectPr>
      </w:pP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27</w:t>
      </w:r>
      <w:r>
        <w:rPr>
          <w:rFonts w:ascii="Times New Roman" w:hAnsi="Times New Roman" w:eastAsia="方正仿宋_GBK" w:cs="Times New Roman"/>
          <w:color w:val="auto"/>
          <w:sz w:val="32"/>
          <w:szCs w:val="32"/>
        </w:rPr>
        <w:t>日</w:t>
      </w:r>
    </w:p>
    <w:p>
      <w:pPr>
        <w:snapToGrid w:val="0"/>
        <w:spacing w:line="594" w:lineRule="exact"/>
        <w:jc w:val="left"/>
        <w:rPr>
          <w:rFonts w:ascii="Times New Roman" w:hAnsi="Times New Roman" w:eastAsia="方正仿宋_GBK" w:cs="Times New Roman"/>
          <w:color w:val="auto"/>
          <w:sz w:val="32"/>
          <w:szCs w:val="32"/>
        </w:rPr>
      </w:pPr>
      <w:r>
        <w:rPr>
          <w:rFonts w:ascii="Times New Roman" w:hAnsi="Times New Roman" w:eastAsia="方正黑体_GBK" w:cs="Times New Roman"/>
          <w:color w:val="auto"/>
          <w:w w:val="90"/>
          <w:sz w:val="32"/>
          <w:szCs w:val="32"/>
        </w:rPr>
        <w:t>附件</w:t>
      </w:r>
    </w:p>
    <w:p>
      <w:pPr>
        <w:spacing w:line="594" w:lineRule="exact"/>
        <w:jc w:val="center"/>
        <w:rPr>
          <w:rFonts w:ascii="Times New Roman" w:hAnsi="Times New Roman" w:eastAsia="方正小标宋_GBK" w:cs="Times New Roman"/>
          <w:color w:val="auto"/>
          <w:w w:val="100"/>
          <w:sz w:val="28"/>
          <w:szCs w:val="28"/>
        </w:rPr>
      </w:pPr>
      <w:r>
        <w:rPr>
          <w:rFonts w:hint="eastAsia" w:ascii="Times New Roman" w:hAnsi="Times New Roman" w:eastAsia="方正小标宋_GBK" w:cs="Times New Roman"/>
          <w:color w:val="auto"/>
          <w:spacing w:val="-6"/>
          <w:w w:val="100"/>
          <w:sz w:val="28"/>
          <w:szCs w:val="28"/>
          <w:lang w:eastAsia="zh-CN"/>
        </w:rPr>
        <w:t>垫江至丰都至武隆高速公路（垫江至丰都段）</w:t>
      </w:r>
      <w:r>
        <w:rPr>
          <w:rFonts w:ascii="Times New Roman" w:hAnsi="Times New Roman" w:eastAsia="方正小标宋_GBK" w:cs="Times New Roman"/>
          <w:color w:val="auto"/>
          <w:spacing w:val="-6"/>
          <w:w w:val="100"/>
          <w:sz w:val="28"/>
          <w:szCs w:val="28"/>
        </w:rPr>
        <w:t>水土保持方案投资估算审核表</w:t>
      </w:r>
    </w:p>
    <w:p>
      <w:pPr>
        <w:widowControl/>
        <w:jc w:val="righ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单位：万元</w:t>
      </w:r>
    </w:p>
    <w:tbl>
      <w:tblPr>
        <w:tblStyle w:val="17"/>
        <w:tblW w:w="5414" w:type="pct"/>
        <w:tblInd w:w="-369" w:type="dxa"/>
        <w:tblLayout w:type="fixed"/>
        <w:tblCellMar>
          <w:top w:w="0" w:type="dxa"/>
          <w:left w:w="108" w:type="dxa"/>
          <w:bottom w:w="0" w:type="dxa"/>
          <w:right w:w="108" w:type="dxa"/>
        </w:tblCellMar>
      </w:tblPr>
      <w:tblGrid>
        <w:gridCol w:w="518"/>
        <w:gridCol w:w="1923"/>
        <w:gridCol w:w="1009"/>
        <w:gridCol w:w="1036"/>
        <w:gridCol w:w="1337"/>
        <w:gridCol w:w="1063"/>
        <w:gridCol w:w="1023"/>
        <w:gridCol w:w="1173"/>
        <w:gridCol w:w="913"/>
      </w:tblGrid>
      <w:tr>
        <w:tblPrEx>
          <w:tblCellMar>
            <w:top w:w="0" w:type="dxa"/>
            <w:left w:w="108" w:type="dxa"/>
            <w:bottom w:w="0" w:type="dxa"/>
            <w:right w:w="108" w:type="dxa"/>
          </w:tblCellMar>
        </w:tblPrEx>
        <w:trPr>
          <w:trHeight w:val="420" w:hRule="atLeast"/>
          <w:tblHeader/>
        </w:trPr>
        <w:tc>
          <w:tcPr>
            <w:tcW w:w="25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96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工程或费用名称</w:t>
            </w:r>
          </w:p>
        </w:tc>
        <w:tc>
          <w:tcPr>
            <w:tcW w:w="1691"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设计投资</w:t>
            </w:r>
          </w:p>
        </w:tc>
        <w:tc>
          <w:tcPr>
            <w:tcW w:w="1630"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审核投资</w:t>
            </w:r>
          </w:p>
        </w:tc>
        <w:tc>
          <w:tcPr>
            <w:tcW w:w="456" w:type="pct"/>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增减（+/-）</w:t>
            </w:r>
          </w:p>
        </w:tc>
      </w:tr>
      <w:tr>
        <w:tblPrEx>
          <w:tblCellMar>
            <w:top w:w="0" w:type="dxa"/>
            <w:left w:w="108" w:type="dxa"/>
            <w:bottom w:w="0" w:type="dxa"/>
            <w:right w:w="108" w:type="dxa"/>
          </w:tblCellMar>
        </w:tblPrEx>
        <w:trPr>
          <w:trHeight w:val="420" w:hRule="atLeast"/>
          <w:tblHeader/>
        </w:trPr>
        <w:tc>
          <w:tcPr>
            <w:tcW w:w="259"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color w:val="000000"/>
                <w:kern w:val="0"/>
                <w:sz w:val="18"/>
                <w:szCs w:val="18"/>
              </w:rPr>
            </w:pPr>
          </w:p>
        </w:tc>
        <w:tc>
          <w:tcPr>
            <w:tcW w:w="961"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color w:val="000000"/>
                <w:kern w:val="0"/>
                <w:sz w:val="18"/>
                <w:szCs w:val="18"/>
              </w:rPr>
            </w:pP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方案新增</w:t>
            </w:r>
          </w:p>
        </w:tc>
        <w:tc>
          <w:tcPr>
            <w:tcW w:w="518" w:type="pct"/>
            <w:tcBorders>
              <w:top w:val="nil"/>
              <w:left w:val="nil"/>
              <w:bottom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主体已列</w:t>
            </w:r>
          </w:p>
        </w:tc>
        <w:tc>
          <w:tcPr>
            <w:tcW w:w="668" w:type="pct"/>
            <w:tcBorders>
              <w:top w:val="nil"/>
              <w:left w:val="nil"/>
              <w:bottom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合计（万元）</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方案新增</w:t>
            </w:r>
          </w:p>
        </w:tc>
        <w:tc>
          <w:tcPr>
            <w:tcW w:w="511" w:type="pct"/>
            <w:tcBorders>
              <w:top w:val="nil"/>
              <w:left w:val="nil"/>
              <w:bottom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主体已列</w:t>
            </w:r>
          </w:p>
        </w:tc>
        <w:tc>
          <w:tcPr>
            <w:tcW w:w="586" w:type="pct"/>
            <w:tcBorders>
              <w:top w:val="nil"/>
              <w:left w:val="nil"/>
              <w:bottom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合计（万元）</w:t>
            </w:r>
          </w:p>
        </w:tc>
        <w:tc>
          <w:tcPr>
            <w:tcW w:w="456" w:type="pct"/>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第一部分 工程措施</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6344.87</w:t>
            </w:r>
          </w:p>
        </w:tc>
        <w:tc>
          <w:tcPr>
            <w:tcW w:w="51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15242.15</w:t>
            </w:r>
          </w:p>
        </w:tc>
        <w:tc>
          <w:tcPr>
            <w:tcW w:w="66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21587.02</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6344.87</w:t>
            </w:r>
          </w:p>
        </w:tc>
        <w:tc>
          <w:tcPr>
            <w:tcW w:w="51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15242.15</w:t>
            </w:r>
          </w:p>
        </w:tc>
        <w:tc>
          <w:tcPr>
            <w:tcW w:w="5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21587.02</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路基工程防治区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2454.75</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5463.57</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7918.32</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2454.75</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5463.57</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7918.32</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桥梁工程防治区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641.88</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641.88</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641.88</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641.88</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隧道工程防治区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108.15</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182.78</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290.93</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108.15</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182.78</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290.93</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交叉工程防治区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2009.82</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3796.05</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5805.87</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2009.82</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3796.05</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5805.87</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沿线设施工程防治区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633.45</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639.52</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1272.97</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633.45</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639.52</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1272.97</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改移工程防治区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137.14</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482.62</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619.76</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137.14</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482.62</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619.76</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施工生产生活区防治区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116.92</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116.92</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116.92</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116.92</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施工便道防治区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191.45</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191.45</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191.45</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191.45</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弃渣场防治区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256.79</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4369.24</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4626.03</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256.79</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4369.24</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4626.03</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表土堆放场防治区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102.89</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102.89</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102.89</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102.89</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第二部分 植物措施</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110.25</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32748.64</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32858.89</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110.25</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32748.64</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32858.89</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路基工程防治区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4445.40</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4445.40</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4445.40</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4445.40</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桥梁工程防治区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104.74</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104.74</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104.74</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104.74</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隧道工程防治区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507.35</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507.35</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507.35</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507.35</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交叉工程防治区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1907.06</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1907.06</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1907.06</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1907.06</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沿线设施工程防治区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1522.01</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1522.01</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1522.01</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1522.01</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改移工程防治区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73.41</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73.41</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73.41</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73.41</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施工生产生活区防治区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6893.77</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6893.77</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6893.77</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6893.77</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施工便道防治区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4806.76</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4806.76</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4806.76</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4806.76</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弃渣场防治区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12488.14</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12488.14</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12488.14</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12488.14</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表土堆放场防治区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110.25</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110.25</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110.25</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110.25</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第三部分 监测措施</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462.74</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462.74</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462.74</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462.74</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土建设施费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76.70</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76.70</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76.70</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76.70</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设备折旧费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53.19</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53.19</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53.19</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53.19</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监测运行费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332.85</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332.85</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332.85</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332.85</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第四部分 施工临时措施</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3551.49</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6305.71</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9857.20</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3551.49</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6305.71</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9857.20</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路基工程防治区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857.94</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857.94</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857.94</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857.94</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桥梁工程防治区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621.97</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621.97</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621.97</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621.97</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隧道工程防治区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153.95</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153.95</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153.95</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153.95</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交叉工程防治区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1065.14</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1065.14</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1065.14</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1065.14</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沿线设施工程防治区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314.25</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314.25</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314.25</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314.25</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改移工程防治区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235.88</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235.88</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235.88</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235.88</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施工生产生活区防治区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1.88</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2478.54</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2480.42</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1.88</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2478.54</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2480.42</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施工便道防治区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2.36</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3827.13</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3829.49</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2.36</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3827.13</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3829.49</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弃渣场防治区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24.52</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0.04</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24.56</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24.52</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0.04</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24.56</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表土堆放场防治区</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204.42</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204.42</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204.42</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204.42</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十一</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其他临时措施</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69.18</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69.18</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69.18</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69.18</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第五部分 独立费用</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694.29</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694.29</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1113.04</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1113.04</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418.75</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技术咨询费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331.96</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331.96</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704.72</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704.72</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372.76</w:t>
            </w:r>
          </w:p>
        </w:tc>
      </w:tr>
      <w:tr>
        <w:tblPrEx>
          <w:tblCellMar>
            <w:top w:w="0" w:type="dxa"/>
            <w:left w:w="108" w:type="dxa"/>
            <w:bottom w:w="0" w:type="dxa"/>
            <w:right w:w="108" w:type="dxa"/>
          </w:tblCellMar>
        </w:tblPrEx>
        <w:trPr>
          <w:trHeight w:val="420" w:hRule="atLeast"/>
        </w:trPr>
        <w:tc>
          <w:tcPr>
            <w:tcW w:w="2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水土保持方案编制费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78.52</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78.52</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101.59</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101.59</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23.07</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科研勘测设计费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166.78</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166.78</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408.83</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408.83</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242.05</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水土保持设施验收报告编制费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86.66</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86.66</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194.30</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194.30</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107.64</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工程管理费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362.33</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362.33</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408.32</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408.32</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45.99</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建设管理费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209.39</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209.39</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209.39</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209.39</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工程建设监理费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117.74</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117.74</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168.34</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168.34</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50.60</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招标代理服务费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35.20</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35.20</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30.59</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30.59</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-4.61</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Ⅰ</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第一部分至第五部分合计</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11163.64</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54296.50</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65460.14</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11582.39</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54296.5</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65878.89</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418.75</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Ⅱ</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基本预备费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669.82</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669.82</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694.94</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694.94</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25.12</w:t>
            </w:r>
          </w:p>
        </w:tc>
      </w:tr>
      <w:tr>
        <w:tblPrEx>
          <w:tblCellMar>
            <w:top w:w="0" w:type="dxa"/>
            <w:left w:w="108" w:type="dxa"/>
            <w:bottom w:w="0" w:type="dxa"/>
            <w:right w:w="108" w:type="dxa"/>
          </w:tblCellMar>
        </w:tblPrEx>
        <w:trPr>
          <w:trHeight w:val="420" w:hRule="atLeast"/>
        </w:trPr>
        <w:tc>
          <w:tcPr>
            <w:tcW w:w="259"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Ⅲ</w:t>
            </w:r>
          </w:p>
        </w:tc>
        <w:tc>
          <w:tcPr>
            <w:tcW w:w="96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水土保持补偿费</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1110.34</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1110.34</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1110.34</w:t>
            </w:r>
            <w:r>
              <w:rPr>
                <w:rFonts w:hint="eastAsia" w:ascii="宋体" w:hAnsi="宋体" w:eastAsia="宋体" w:cs="宋体"/>
                <w:b/>
                <w:bCs/>
                <w:color w:val="000000"/>
                <w:kern w:val="0"/>
                <w:sz w:val="18"/>
                <w:szCs w:val="18"/>
                <w:lang w:val="en-US" w:eastAsia="zh-CN"/>
              </w:rPr>
              <w:t>0</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1110.34</w:t>
            </w:r>
            <w:r>
              <w:rPr>
                <w:rFonts w:hint="eastAsia" w:ascii="宋体" w:hAnsi="宋体" w:eastAsia="宋体" w:cs="宋体"/>
                <w:b/>
                <w:bCs/>
                <w:color w:val="000000"/>
                <w:kern w:val="0"/>
                <w:sz w:val="18"/>
                <w:szCs w:val="18"/>
                <w:lang w:val="en-US" w:eastAsia="zh-CN"/>
              </w:rPr>
              <w:t>0</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0.00</w:t>
            </w:r>
          </w:p>
        </w:tc>
      </w:tr>
      <w:tr>
        <w:tblPrEx>
          <w:tblCellMar>
            <w:top w:w="0" w:type="dxa"/>
            <w:left w:w="108" w:type="dxa"/>
            <w:bottom w:w="0" w:type="dxa"/>
            <w:right w:w="108" w:type="dxa"/>
          </w:tblCellMar>
        </w:tblPrEx>
        <w:trPr>
          <w:trHeight w:val="420" w:hRule="atLeast"/>
        </w:trPr>
        <w:tc>
          <w:tcPr>
            <w:tcW w:w="1221" w:type="pct"/>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总投资（Ⅰ+Ⅱ+Ⅲ）</w:t>
            </w:r>
          </w:p>
        </w:tc>
        <w:tc>
          <w:tcPr>
            <w:tcW w:w="50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12943.80</w:t>
            </w:r>
          </w:p>
        </w:tc>
        <w:tc>
          <w:tcPr>
            <w:tcW w:w="51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54296.50</w:t>
            </w:r>
          </w:p>
        </w:tc>
        <w:tc>
          <w:tcPr>
            <w:tcW w:w="66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67240.30</w:t>
            </w:r>
          </w:p>
        </w:tc>
        <w:tc>
          <w:tcPr>
            <w:tcW w:w="53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13387.67</w:t>
            </w:r>
          </w:p>
        </w:tc>
        <w:tc>
          <w:tcPr>
            <w:tcW w:w="511"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54296.50</w:t>
            </w:r>
          </w:p>
        </w:tc>
        <w:tc>
          <w:tcPr>
            <w:tcW w:w="58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67684.17</w:t>
            </w:r>
          </w:p>
        </w:tc>
        <w:tc>
          <w:tcPr>
            <w:tcW w:w="456"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443.87</w:t>
            </w:r>
          </w:p>
        </w:tc>
      </w:tr>
    </w:tbl>
    <w:p>
      <w:pPr>
        <w:pStyle w:val="2"/>
        <w:ind w:left="0" w:leftChars="0" w:firstLine="0" w:firstLineChars="0"/>
        <w:rPr>
          <w:rFonts w:hint="eastAsia"/>
          <w:lang w:val="en-US" w:eastAsia="zh-CN"/>
        </w:rPr>
      </w:pPr>
    </w:p>
    <w:sectPr>
      <w:footerReference r:id="rId4" w:type="default"/>
      <w:pgSz w:w="11906" w:h="16838"/>
      <w:pgMar w:top="1985" w:right="1446" w:bottom="1644" w:left="1446" w:header="851" w:footer="1474" w:gutter="0"/>
      <w:pgBorders>
        <w:top w:val="none" w:sz="0" w:space="0"/>
        <w:left w:val="none" w:sz="0" w:space="0"/>
        <w:bottom w:val="none" w:sz="0" w:space="0"/>
        <w:right w:val="none" w:sz="0" w:space="0"/>
      </w:pgBorders>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wis721 BT">
    <w:altName w:val="Segoe Script"/>
    <w:panose1 w:val="020B0504020202020204"/>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方正仿宋">
    <w:altName w:val="方正仿宋_GBK"/>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6229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snapToGrid w:val="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9.05pt;mso-position-horizontal:in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MzMV0QAA&#10;AAMBAAAPAAAAAAAAAAEAIAAAACIAAABkcnMvZG93bnJldi54bWxQSwECFAAUAAAACACHTuJABWvZ&#10;6rMBAABJAwAADgAAAAAAAAABACAAAAAgAQAAZHJzL2Uyb0RvYy54bWxQSwUGAAAAAAYABgBZAQAA&#10;RQUAAAAA&#10;">
              <v:fill on="f" focussize="0,0"/>
              <v:stroke on="f"/>
              <v:imagedata o:title=""/>
              <o:lock v:ext="edit" aspectratio="f"/>
              <v:textbox inset="0mm,0mm,0mm,0mm" style="mso-fit-shape-to-text:t;">
                <w:txbxContent>
                  <w:p>
                    <w:pPr>
                      <w:snapToGrid w:val="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vlmNoswBAAB6AwAADgAAAAAAAAABACAAAAAiAQAAZHJz&#10;L2Uyb0RvYy54bWxQSwUGAAAAAAYABgBZAQAAYAUAAAAA&#10;">
              <v:fill on="f" focussize="0,0"/>
              <v:stroke on="f" weight="1.25pt"/>
              <v:imagedata o:title=""/>
              <o:lock v:ext="edit" aspectratio="f"/>
              <v:textbox inset="0mm,0mm,0mm,0mm" style="mso-fit-shape-to-text:t;">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DB"/>
    <w:rsid w:val="0000400D"/>
    <w:rsid w:val="0001360F"/>
    <w:rsid w:val="00013DC7"/>
    <w:rsid w:val="00030673"/>
    <w:rsid w:val="00033909"/>
    <w:rsid w:val="00037512"/>
    <w:rsid w:val="000407F0"/>
    <w:rsid w:val="000523B1"/>
    <w:rsid w:val="000555E9"/>
    <w:rsid w:val="000568AA"/>
    <w:rsid w:val="00061B2E"/>
    <w:rsid w:val="00062293"/>
    <w:rsid w:val="00062D2C"/>
    <w:rsid w:val="00063B50"/>
    <w:rsid w:val="00065DBF"/>
    <w:rsid w:val="000766E7"/>
    <w:rsid w:val="00092431"/>
    <w:rsid w:val="000A5496"/>
    <w:rsid w:val="000A5C46"/>
    <w:rsid w:val="000B4ADE"/>
    <w:rsid w:val="000B5CD7"/>
    <w:rsid w:val="000B5F67"/>
    <w:rsid w:val="000C0B1D"/>
    <w:rsid w:val="000C0CA4"/>
    <w:rsid w:val="000E013A"/>
    <w:rsid w:val="000E6F54"/>
    <w:rsid w:val="000E7136"/>
    <w:rsid w:val="000F1818"/>
    <w:rsid w:val="000F36A3"/>
    <w:rsid w:val="0010191B"/>
    <w:rsid w:val="00104BDA"/>
    <w:rsid w:val="00106CEA"/>
    <w:rsid w:val="00112AF1"/>
    <w:rsid w:val="00115A0D"/>
    <w:rsid w:val="00120D21"/>
    <w:rsid w:val="001226FF"/>
    <w:rsid w:val="00127815"/>
    <w:rsid w:val="001308FC"/>
    <w:rsid w:val="00132F0D"/>
    <w:rsid w:val="001341DF"/>
    <w:rsid w:val="001406E7"/>
    <w:rsid w:val="00151460"/>
    <w:rsid w:val="00157513"/>
    <w:rsid w:val="00160893"/>
    <w:rsid w:val="00165DF4"/>
    <w:rsid w:val="00166002"/>
    <w:rsid w:val="00175A39"/>
    <w:rsid w:val="00183AE1"/>
    <w:rsid w:val="001903CD"/>
    <w:rsid w:val="001930D3"/>
    <w:rsid w:val="001932A2"/>
    <w:rsid w:val="00196EFA"/>
    <w:rsid w:val="001A51C7"/>
    <w:rsid w:val="001B217D"/>
    <w:rsid w:val="001C0A6F"/>
    <w:rsid w:val="001D062B"/>
    <w:rsid w:val="001F3035"/>
    <w:rsid w:val="001F34AB"/>
    <w:rsid w:val="001F5AB0"/>
    <w:rsid w:val="00205E64"/>
    <w:rsid w:val="00206494"/>
    <w:rsid w:val="00213017"/>
    <w:rsid w:val="00215D0D"/>
    <w:rsid w:val="0021642A"/>
    <w:rsid w:val="0022295E"/>
    <w:rsid w:val="00234598"/>
    <w:rsid w:val="00235A74"/>
    <w:rsid w:val="00235AA8"/>
    <w:rsid w:val="00237ECB"/>
    <w:rsid w:val="00241B99"/>
    <w:rsid w:val="0024677B"/>
    <w:rsid w:val="00254D2B"/>
    <w:rsid w:val="00255C32"/>
    <w:rsid w:val="00260628"/>
    <w:rsid w:val="002618BB"/>
    <w:rsid w:val="002677DD"/>
    <w:rsid w:val="00274C14"/>
    <w:rsid w:val="00284091"/>
    <w:rsid w:val="00285603"/>
    <w:rsid w:val="00295BFD"/>
    <w:rsid w:val="002A2424"/>
    <w:rsid w:val="002A33A6"/>
    <w:rsid w:val="002B497B"/>
    <w:rsid w:val="002B6B43"/>
    <w:rsid w:val="002B7B01"/>
    <w:rsid w:val="002C04D3"/>
    <w:rsid w:val="002D45CC"/>
    <w:rsid w:val="002D55BB"/>
    <w:rsid w:val="002D70D3"/>
    <w:rsid w:val="002D7205"/>
    <w:rsid w:val="002E5667"/>
    <w:rsid w:val="002E6C6F"/>
    <w:rsid w:val="002F7738"/>
    <w:rsid w:val="002F7A4F"/>
    <w:rsid w:val="0030765D"/>
    <w:rsid w:val="00310A7F"/>
    <w:rsid w:val="003119F3"/>
    <w:rsid w:val="00315A19"/>
    <w:rsid w:val="00316AB1"/>
    <w:rsid w:val="00321AE7"/>
    <w:rsid w:val="00340609"/>
    <w:rsid w:val="00342062"/>
    <w:rsid w:val="00351FF2"/>
    <w:rsid w:val="0035241F"/>
    <w:rsid w:val="00352952"/>
    <w:rsid w:val="00354055"/>
    <w:rsid w:val="00357672"/>
    <w:rsid w:val="0037216D"/>
    <w:rsid w:val="0038087C"/>
    <w:rsid w:val="00397F9F"/>
    <w:rsid w:val="003A2C4B"/>
    <w:rsid w:val="003A6141"/>
    <w:rsid w:val="003B545E"/>
    <w:rsid w:val="003C3BBF"/>
    <w:rsid w:val="003C5CAA"/>
    <w:rsid w:val="003E623A"/>
    <w:rsid w:val="003F0E48"/>
    <w:rsid w:val="003F259B"/>
    <w:rsid w:val="003F3155"/>
    <w:rsid w:val="003F3CCA"/>
    <w:rsid w:val="003F6AD1"/>
    <w:rsid w:val="00402683"/>
    <w:rsid w:val="004046C2"/>
    <w:rsid w:val="0043029A"/>
    <w:rsid w:val="004312D6"/>
    <w:rsid w:val="00431BB7"/>
    <w:rsid w:val="00436E7E"/>
    <w:rsid w:val="0043754E"/>
    <w:rsid w:val="00437D48"/>
    <w:rsid w:val="00440E38"/>
    <w:rsid w:val="004445C8"/>
    <w:rsid w:val="004515D0"/>
    <w:rsid w:val="0045241E"/>
    <w:rsid w:val="0045392E"/>
    <w:rsid w:val="004617F0"/>
    <w:rsid w:val="004621ED"/>
    <w:rsid w:val="004653E3"/>
    <w:rsid w:val="00474F83"/>
    <w:rsid w:val="004759F5"/>
    <w:rsid w:val="00483C2E"/>
    <w:rsid w:val="004A36B8"/>
    <w:rsid w:val="004B124C"/>
    <w:rsid w:val="004B167F"/>
    <w:rsid w:val="004B5008"/>
    <w:rsid w:val="004C0513"/>
    <w:rsid w:val="004C3E7F"/>
    <w:rsid w:val="004C6217"/>
    <w:rsid w:val="004C7B88"/>
    <w:rsid w:val="004D5DFA"/>
    <w:rsid w:val="004E0116"/>
    <w:rsid w:val="004E0A81"/>
    <w:rsid w:val="004E5C09"/>
    <w:rsid w:val="004F06AF"/>
    <w:rsid w:val="004F3A18"/>
    <w:rsid w:val="004F5077"/>
    <w:rsid w:val="005115C4"/>
    <w:rsid w:val="005139F5"/>
    <w:rsid w:val="00514647"/>
    <w:rsid w:val="00520CF7"/>
    <w:rsid w:val="00524443"/>
    <w:rsid w:val="00524DD2"/>
    <w:rsid w:val="00535712"/>
    <w:rsid w:val="00560578"/>
    <w:rsid w:val="0056487A"/>
    <w:rsid w:val="00571068"/>
    <w:rsid w:val="005752D3"/>
    <w:rsid w:val="0057599A"/>
    <w:rsid w:val="00575A67"/>
    <w:rsid w:val="005822B6"/>
    <w:rsid w:val="00582D98"/>
    <w:rsid w:val="005837BA"/>
    <w:rsid w:val="0058427A"/>
    <w:rsid w:val="0058610A"/>
    <w:rsid w:val="00594D43"/>
    <w:rsid w:val="005A0A69"/>
    <w:rsid w:val="005A18E7"/>
    <w:rsid w:val="005A4BAB"/>
    <w:rsid w:val="005A6E19"/>
    <w:rsid w:val="005A7156"/>
    <w:rsid w:val="005B0C9E"/>
    <w:rsid w:val="005B0D68"/>
    <w:rsid w:val="005B2FF4"/>
    <w:rsid w:val="005C0CCE"/>
    <w:rsid w:val="005C1D60"/>
    <w:rsid w:val="005C334A"/>
    <w:rsid w:val="005C6C4A"/>
    <w:rsid w:val="005D6A26"/>
    <w:rsid w:val="005D6FAE"/>
    <w:rsid w:val="005F0F49"/>
    <w:rsid w:val="00602204"/>
    <w:rsid w:val="00603CA3"/>
    <w:rsid w:val="00607864"/>
    <w:rsid w:val="00624B36"/>
    <w:rsid w:val="006533BD"/>
    <w:rsid w:val="00654F91"/>
    <w:rsid w:val="00655A47"/>
    <w:rsid w:val="00656B0C"/>
    <w:rsid w:val="006571D7"/>
    <w:rsid w:val="0067235F"/>
    <w:rsid w:val="0069564E"/>
    <w:rsid w:val="006A3AA2"/>
    <w:rsid w:val="006B110A"/>
    <w:rsid w:val="006B1DE4"/>
    <w:rsid w:val="006B63D8"/>
    <w:rsid w:val="006D159B"/>
    <w:rsid w:val="006D4B21"/>
    <w:rsid w:val="006D4C7B"/>
    <w:rsid w:val="006D6CC7"/>
    <w:rsid w:val="006D74D2"/>
    <w:rsid w:val="006E1444"/>
    <w:rsid w:val="006F479E"/>
    <w:rsid w:val="006F48FE"/>
    <w:rsid w:val="006F6EB3"/>
    <w:rsid w:val="006F6FB4"/>
    <w:rsid w:val="007034D0"/>
    <w:rsid w:val="007038C8"/>
    <w:rsid w:val="00706EE8"/>
    <w:rsid w:val="007108F5"/>
    <w:rsid w:val="00713BC0"/>
    <w:rsid w:val="0072265A"/>
    <w:rsid w:val="007230EE"/>
    <w:rsid w:val="007406AC"/>
    <w:rsid w:val="00741D91"/>
    <w:rsid w:val="007452C5"/>
    <w:rsid w:val="00750073"/>
    <w:rsid w:val="0076107D"/>
    <w:rsid w:val="0076527A"/>
    <w:rsid w:val="00773E09"/>
    <w:rsid w:val="00775EB0"/>
    <w:rsid w:val="007821DE"/>
    <w:rsid w:val="00782676"/>
    <w:rsid w:val="00784393"/>
    <w:rsid w:val="00787FC0"/>
    <w:rsid w:val="00797906"/>
    <w:rsid w:val="007A529C"/>
    <w:rsid w:val="007A7FD2"/>
    <w:rsid w:val="007B00B6"/>
    <w:rsid w:val="007B3307"/>
    <w:rsid w:val="007B7093"/>
    <w:rsid w:val="007B73DB"/>
    <w:rsid w:val="007C02B9"/>
    <w:rsid w:val="007C4701"/>
    <w:rsid w:val="007C4AF1"/>
    <w:rsid w:val="007C6BDE"/>
    <w:rsid w:val="007C7CC0"/>
    <w:rsid w:val="007D3412"/>
    <w:rsid w:val="007E5D34"/>
    <w:rsid w:val="007F0F80"/>
    <w:rsid w:val="007F4723"/>
    <w:rsid w:val="00801A99"/>
    <w:rsid w:val="00803DD8"/>
    <w:rsid w:val="00810362"/>
    <w:rsid w:val="008170EF"/>
    <w:rsid w:val="008174D5"/>
    <w:rsid w:val="00823F6A"/>
    <w:rsid w:val="00843B99"/>
    <w:rsid w:val="00846224"/>
    <w:rsid w:val="00853163"/>
    <w:rsid w:val="0085340B"/>
    <w:rsid w:val="00857647"/>
    <w:rsid w:val="00860D33"/>
    <w:rsid w:val="00867E7F"/>
    <w:rsid w:val="00871FA8"/>
    <w:rsid w:val="00874A6A"/>
    <w:rsid w:val="008771E0"/>
    <w:rsid w:val="0087747E"/>
    <w:rsid w:val="00883B07"/>
    <w:rsid w:val="00884BB2"/>
    <w:rsid w:val="00886249"/>
    <w:rsid w:val="0089351B"/>
    <w:rsid w:val="00895DB9"/>
    <w:rsid w:val="00897175"/>
    <w:rsid w:val="008A1DB3"/>
    <w:rsid w:val="008A2D9C"/>
    <w:rsid w:val="008A6A44"/>
    <w:rsid w:val="008A7146"/>
    <w:rsid w:val="008A78A9"/>
    <w:rsid w:val="008B1D58"/>
    <w:rsid w:val="008B3171"/>
    <w:rsid w:val="008B3303"/>
    <w:rsid w:val="008B3C73"/>
    <w:rsid w:val="008B40AF"/>
    <w:rsid w:val="008C37AC"/>
    <w:rsid w:val="008C48FE"/>
    <w:rsid w:val="008C699F"/>
    <w:rsid w:val="008D03FF"/>
    <w:rsid w:val="008D1156"/>
    <w:rsid w:val="008E237C"/>
    <w:rsid w:val="008E4B6D"/>
    <w:rsid w:val="008E6BE6"/>
    <w:rsid w:val="008F27F1"/>
    <w:rsid w:val="009052B5"/>
    <w:rsid w:val="00905994"/>
    <w:rsid w:val="00907BE2"/>
    <w:rsid w:val="0091382C"/>
    <w:rsid w:val="00913F36"/>
    <w:rsid w:val="00924678"/>
    <w:rsid w:val="00934C04"/>
    <w:rsid w:val="009439C9"/>
    <w:rsid w:val="00943F6D"/>
    <w:rsid w:val="00945285"/>
    <w:rsid w:val="00945B73"/>
    <w:rsid w:val="0094698B"/>
    <w:rsid w:val="00947985"/>
    <w:rsid w:val="00950B4F"/>
    <w:rsid w:val="00953230"/>
    <w:rsid w:val="00962090"/>
    <w:rsid w:val="00971427"/>
    <w:rsid w:val="00983119"/>
    <w:rsid w:val="00991445"/>
    <w:rsid w:val="00992768"/>
    <w:rsid w:val="00993BBF"/>
    <w:rsid w:val="009B0EA6"/>
    <w:rsid w:val="009B4011"/>
    <w:rsid w:val="009B7763"/>
    <w:rsid w:val="009C35E1"/>
    <w:rsid w:val="009D56D9"/>
    <w:rsid w:val="009E11E8"/>
    <w:rsid w:val="009F4C11"/>
    <w:rsid w:val="00A00200"/>
    <w:rsid w:val="00A048F3"/>
    <w:rsid w:val="00A17B1B"/>
    <w:rsid w:val="00A23010"/>
    <w:rsid w:val="00A2448D"/>
    <w:rsid w:val="00A2654D"/>
    <w:rsid w:val="00A30896"/>
    <w:rsid w:val="00A34111"/>
    <w:rsid w:val="00A37551"/>
    <w:rsid w:val="00A410D0"/>
    <w:rsid w:val="00A50D9F"/>
    <w:rsid w:val="00A60805"/>
    <w:rsid w:val="00A61854"/>
    <w:rsid w:val="00A63A0D"/>
    <w:rsid w:val="00A65741"/>
    <w:rsid w:val="00A66E46"/>
    <w:rsid w:val="00A67B4D"/>
    <w:rsid w:val="00A72322"/>
    <w:rsid w:val="00A7391C"/>
    <w:rsid w:val="00A74139"/>
    <w:rsid w:val="00A80FC5"/>
    <w:rsid w:val="00A90F78"/>
    <w:rsid w:val="00A96445"/>
    <w:rsid w:val="00A97CFE"/>
    <w:rsid w:val="00AA08A6"/>
    <w:rsid w:val="00AA25AC"/>
    <w:rsid w:val="00AA3C5C"/>
    <w:rsid w:val="00AA4199"/>
    <w:rsid w:val="00AA4410"/>
    <w:rsid w:val="00AA47EB"/>
    <w:rsid w:val="00AA5136"/>
    <w:rsid w:val="00AB0D0D"/>
    <w:rsid w:val="00AC5C20"/>
    <w:rsid w:val="00AC6FD2"/>
    <w:rsid w:val="00AD47C3"/>
    <w:rsid w:val="00AD552A"/>
    <w:rsid w:val="00AE2C56"/>
    <w:rsid w:val="00AE317C"/>
    <w:rsid w:val="00AE4DEE"/>
    <w:rsid w:val="00AE54DD"/>
    <w:rsid w:val="00AE675A"/>
    <w:rsid w:val="00AE7973"/>
    <w:rsid w:val="00AF2088"/>
    <w:rsid w:val="00AF4D93"/>
    <w:rsid w:val="00AF65D5"/>
    <w:rsid w:val="00B01E33"/>
    <w:rsid w:val="00B0754C"/>
    <w:rsid w:val="00B11B53"/>
    <w:rsid w:val="00B17D1E"/>
    <w:rsid w:val="00B207DD"/>
    <w:rsid w:val="00B216EC"/>
    <w:rsid w:val="00B3113A"/>
    <w:rsid w:val="00B32F7D"/>
    <w:rsid w:val="00B36599"/>
    <w:rsid w:val="00B37BB4"/>
    <w:rsid w:val="00B41EF0"/>
    <w:rsid w:val="00B42430"/>
    <w:rsid w:val="00B512EA"/>
    <w:rsid w:val="00B52E37"/>
    <w:rsid w:val="00B537BC"/>
    <w:rsid w:val="00B53D78"/>
    <w:rsid w:val="00B55E69"/>
    <w:rsid w:val="00B57E3E"/>
    <w:rsid w:val="00B60C2F"/>
    <w:rsid w:val="00B63E41"/>
    <w:rsid w:val="00B65646"/>
    <w:rsid w:val="00B67ABB"/>
    <w:rsid w:val="00B77FAF"/>
    <w:rsid w:val="00B81A16"/>
    <w:rsid w:val="00B82421"/>
    <w:rsid w:val="00B8744A"/>
    <w:rsid w:val="00B92E95"/>
    <w:rsid w:val="00B96529"/>
    <w:rsid w:val="00B978A1"/>
    <w:rsid w:val="00BA2992"/>
    <w:rsid w:val="00BA447A"/>
    <w:rsid w:val="00BA4620"/>
    <w:rsid w:val="00BA4905"/>
    <w:rsid w:val="00BB189A"/>
    <w:rsid w:val="00BB2DF2"/>
    <w:rsid w:val="00BB6E6D"/>
    <w:rsid w:val="00BC05B3"/>
    <w:rsid w:val="00BC1430"/>
    <w:rsid w:val="00BD11FE"/>
    <w:rsid w:val="00BD417A"/>
    <w:rsid w:val="00BD5D11"/>
    <w:rsid w:val="00BD7B5B"/>
    <w:rsid w:val="00BE69AE"/>
    <w:rsid w:val="00BF0D55"/>
    <w:rsid w:val="00BF3540"/>
    <w:rsid w:val="00C058C5"/>
    <w:rsid w:val="00C15791"/>
    <w:rsid w:val="00C16AB5"/>
    <w:rsid w:val="00C23D8F"/>
    <w:rsid w:val="00C247D0"/>
    <w:rsid w:val="00C2558A"/>
    <w:rsid w:val="00C25652"/>
    <w:rsid w:val="00C27A4E"/>
    <w:rsid w:val="00C31A10"/>
    <w:rsid w:val="00C3695A"/>
    <w:rsid w:val="00C530BD"/>
    <w:rsid w:val="00C553B5"/>
    <w:rsid w:val="00C573D0"/>
    <w:rsid w:val="00C736FC"/>
    <w:rsid w:val="00C77DEA"/>
    <w:rsid w:val="00C80122"/>
    <w:rsid w:val="00C80BC2"/>
    <w:rsid w:val="00C847F7"/>
    <w:rsid w:val="00C87E84"/>
    <w:rsid w:val="00C97820"/>
    <w:rsid w:val="00CA33D9"/>
    <w:rsid w:val="00CA3DCF"/>
    <w:rsid w:val="00CB3875"/>
    <w:rsid w:val="00CB5333"/>
    <w:rsid w:val="00CC1130"/>
    <w:rsid w:val="00CC47A6"/>
    <w:rsid w:val="00CD1138"/>
    <w:rsid w:val="00CD283B"/>
    <w:rsid w:val="00CD65F8"/>
    <w:rsid w:val="00CE1208"/>
    <w:rsid w:val="00CF0686"/>
    <w:rsid w:val="00CF3A6D"/>
    <w:rsid w:val="00CF5E70"/>
    <w:rsid w:val="00D06A08"/>
    <w:rsid w:val="00D2019C"/>
    <w:rsid w:val="00D232D4"/>
    <w:rsid w:val="00D271CA"/>
    <w:rsid w:val="00D27F26"/>
    <w:rsid w:val="00D308FB"/>
    <w:rsid w:val="00D35A9A"/>
    <w:rsid w:val="00D47EAA"/>
    <w:rsid w:val="00D62263"/>
    <w:rsid w:val="00D64280"/>
    <w:rsid w:val="00D65450"/>
    <w:rsid w:val="00D67AD5"/>
    <w:rsid w:val="00D67D3C"/>
    <w:rsid w:val="00D741FA"/>
    <w:rsid w:val="00D74F20"/>
    <w:rsid w:val="00D76099"/>
    <w:rsid w:val="00D8442B"/>
    <w:rsid w:val="00D93BAF"/>
    <w:rsid w:val="00D93F10"/>
    <w:rsid w:val="00D952D7"/>
    <w:rsid w:val="00DA1312"/>
    <w:rsid w:val="00DB2FF3"/>
    <w:rsid w:val="00DC0DF9"/>
    <w:rsid w:val="00DC1913"/>
    <w:rsid w:val="00DC3CDF"/>
    <w:rsid w:val="00DC727C"/>
    <w:rsid w:val="00DD5257"/>
    <w:rsid w:val="00DD5FA2"/>
    <w:rsid w:val="00DF3456"/>
    <w:rsid w:val="00E00306"/>
    <w:rsid w:val="00E01FC4"/>
    <w:rsid w:val="00E025F1"/>
    <w:rsid w:val="00E0291F"/>
    <w:rsid w:val="00E11285"/>
    <w:rsid w:val="00E11BB0"/>
    <w:rsid w:val="00E132A3"/>
    <w:rsid w:val="00E16C41"/>
    <w:rsid w:val="00E20AED"/>
    <w:rsid w:val="00E23D57"/>
    <w:rsid w:val="00E306E0"/>
    <w:rsid w:val="00E31E93"/>
    <w:rsid w:val="00E32469"/>
    <w:rsid w:val="00E368CB"/>
    <w:rsid w:val="00E52155"/>
    <w:rsid w:val="00E52175"/>
    <w:rsid w:val="00E560F3"/>
    <w:rsid w:val="00E61BFE"/>
    <w:rsid w:val="00E65AD7"/>
    <w:rsid w:val="00E66531"/>
    <w:rsid w:val="00E67252"/>
    <w:rsid w:val="00E7051E"/>
    <w:rsid w:val="00E727CE"/>
    <w:rsid w:val="00E72A27"/>
    <w:rsid w:val="00E764EC"/>
    <w:rsid w:val="00E87ED3"/>
    <w:rsid w:val="00E92DB0"/>
    <w:rsid w:val="00E95561"/>
    <w:rsid w:val="00E9698C"/>
    <w:rsid w:val="00E978C2"/>
    <w:rsid w:val="00EA08C5"/>
    <w:rsid w:val="00EA33B0"/>
    <w:rsid w:val="00EB5991"/>
    <w:rsid w:val="00EC07EE"/>
    <w:rsid w:val="00EC7F30"/>
    <w:rsid w:val="00ED1C88"/>
    <w:rsid w:val="00EE0FAA"/>
    <w:rsid w:val="00EE20D2"/>
    <w:rsid w:val="00EF2BD0"/>
    <w:rsid w:val="00F00652"/>
    <w:rsid w:val="00F015C1"/>
    <w:rsid w:val="00F1001E"/>
    <w:rsid w:val="00F227CF"/>
    <w:rsid w:val="00F23015"/>
    <w:rsid w:val="00F3450D"/>
    <w:rsid w:val="00F35816"/>
    <w:rsid w:val="00F37419"/>
    <w:rsid w:val="00F400FE"/>
    <w:rsid w:val="00F407ED"/>
    <w:rsid w:val="00F4330D"/>
    <w:rsid w:val="00F5171F"/>
    <w:rsid w:val="00F524B1"/>
    <w:rsid w:val="00F52F56"/>
    <w:rsid w:val="00F55267"/>
    <w:rsid w:val="00F56A1C"/>
    <w:rsid w:val="00F574B8"/>
    <w:rsid w:val="00F60ECA"/>
    <w:rsid w:val="00F620F3"/>
    <w:rsid w:val="00F67722"/>
    <w:rsid w:val="00F7012C"/>
    <w:rsid w:val="00F72BBF"/>
    <w:rsid w:val="00F74B5B"/>
    <w:rsid w:val="00F757A6"/>
    <w:rsid w:val="00F77D2E"/>
    <w:rsid w:val="00F8027A"/>
    <w:rsid w:val="00F91499"/>
    <w:rsid w:val="00F94FBA"/>
    <w:rsid w:val="00F952C5"/>
    <w:rsid w:val="00FA0D4B"/>
    <w:rsid w:val="00FA1A6E"/>
    <w:rsid w:val="00FA6622"/>
    <w:rsid w:val="00FB007C"/>
    <w:rsid w:val="00FB512A"/>
    <w:rsid w:val="00FB5B96"/>
    <w:rsid w:val="00FB71A5"/>
    <w:rsid w:val="00FB731C"/>
    <w:rsid w:val="00FC08B0"/>
    <w:rsid w:val="00FC0DF0"/>
    <w:rsid w:val="00FC4344"/>
    <w:rsid w:val="00FD08F3"/>
    <w:rsid w:val="00FD6A6A"/>
    <w:rsid w:val="00FE6FDC"/>
    <w:rsid w:val="00FE7579"/>
    <w:rsid w:val="02B50089"/>
    <w:rsid w:val="03195D34"/>
    <w:rsid w:val="0348073F"/>
    <w:rsid w:val="04206CAA"/>
    <w:rsid w:val="055361AC"/>
    <w:rsid w:val="056E1929"/>
    <w:rsid w:val="05CD41A8"/>
    <w:rsid w:val="05FE8D8E"/>
    <w:rsid w:val="06562393"/>
    <w:rsid w:val="06EE7132"/>
    <w:rsid w:val="07187328"/>
    <w:rsid w:val="07BB4394"/>
    <w:rsid w:val="08FA494B"/>
    <w:rsid w:val="0AAD4C53"/>
    <w:rsid w:val="0B731774"/>
    <w:rsid w:val="0B890510"/>
    <w:rsid w:val="0BD43311"/>
    <w:rsid w:val="0C175830"/>
    <w:rsid w:val="0CCD0FDB"/>
    <w:rsid w:val="0D041DC3"/>
    <w:rsid w:val="0E215FED"/>
    <w:rsid w:val="0E2E77FB"/>
    <w:rsid w:val="0EAD22B1"/>
    <w:rsid w:val="0EF94AD2"/>
    <w:rsid w:val="0F736B0C"/>
    <w:rsid w:val="0F7830AF"/>
    <w:rsid w:val="0FEB31A3"/>
    <w:rsid w:val="10C6291E"/>
    <w:rsid w:val="12207CB7"/>
    <w:rsid w:val="136638AB"/>
    <w:rsid w:val="13763A43"/>
    <w:rsid w:val="14706153"/>
    <w:rsid w:val="15D50686"/>
    <w:rsid w:val="17AD1515"/>
    <w:rsid w:val="191F2D4F"/>
    <w:rsid w:val="19E63E0C"/>
    <w:rsid w:val="1AA11BA9"/>
    <w:rsid w:val="1C690C00"/>
    <w:rsid w:val="1D2C5FE8"/>
    <w:rsid w:val="1DFB7D1C"/>
    <w:rsid w:val="1E69485B"/>
    <w:rsid w:val="1E9C00A0"/>
    <w:rsid w:val="1F3B6715"/>
    <w:rsid w:val="1F5CA05E"/>
    <w:rsid w:val="1F6F63CD"/>
    <w:rsid w:val="1FFD4D5A"/>
    <w:rsid w:val="219C1C67"/>
    <w:rsid w:val="21A73E45"/>
    <w:rsid w:val="220F0EDB"/>
    <w:rsid w:val="23CC7B8D"/>
    <w:rsid w:val="24432410"/>
    <w:rsid w:val="24D523AF"/>
    <w:rsid w:val="25C83420"/>
    <w:rsid w:val="275C69CE"/>
    <w:rsid w:val="290A7315"/>
    <w:rsid w:val="29C10E64"/>
    <w:rsid w:val="2A341411"/>
    <w:rsid w:val="2B1706DC"/>
    <w:rsid w:val="2B17EBFE"/>
    <w:rsid w:val="2CBE2431"/>
    <w:rsid w:val="2E1F6D6C"/>
    <w:rsid w:val="2ECB239C"/>
    <w:rsid w:val="2FEB4B9F"/>
    <w:rsid w:val="2FEB6799"/>
    <w:rsid w:val="30914434"/>
    <w:rsid w:val="31D921A4"/>
    <w:rsid w:val="32BF7018"/>
    <w:rsid w:val="33AFCDDC"/>
    <w:rsid w:val="34581908"/>
    <w:rsid w:val="35020712"/>
    <w:rsid w:val="35065A3A"/>
    <w:rsid w:val="35D5328C"/>
    <w:rsid w:val="370D16B3"/>
    <w:rsid w:val="37C51145"/>
    <w:rsid w:val="37D34713"/>
    <w:rsid w:val="37FFA73D"/>
    <w:rsid w:val="386510FC"/>
    <w:rsid w:val="39BA7744"/>
    <w:rsid w:val="3A7D5BBB"/>
    <w:rsid w:val="3AB853C8"/>
    <w:rsid w:val="3AF74536"/>
    <w:rsid w:val="3B9F2014"/>
    <w:rsid w:val="3BA26649"/>
    <w:rsid w:val="3BEB2DD8"/>
    <w:rsid w:val="3BEFAF9D"/>
    <w:rsid w:val="3C9A35A3"/>
    <w:rsid w:val="3D7F5882"/>
    <w:rsid w:val="3DBB3E02"/>
    <w:rsid w:val="3DD030B8"/>
    <w:rsid w:val="3DDE5100"/>
    <w:rsid w:val="3E63500C"/>
    <w:rsid w:val="3E81138A"/>
    <w:rsid w:val="3EE58A66"/>
    <w:rsid w:val="3EFE8C2A"/>
    <w:rsid w:val="3F7F5A6A"/>
    <w:rsid w:val="3F7F6E9A"/>
    <w:rsid w:val="3FA43F19"/>
    <w:rsid w:val="3FB83EDF"/>
    <w:rsid w:val="3FBF6162"/>
    <w:rsid w:val="3FDF6E79"/>
    <w:rsid w:val="3FFB0F51"/>
    <w:rsid w:val="41285076"/>
    <w:rsid w:val="42AD5BED"/>
    <w:rsid w:val="43396CC2"/>
    <w:rsid w:val="43723646"/>
    <w:rsid w:val="439D17F4"/>
    <w:rsid w:val="448845FD"/>
    <w:rsid w:val="45BF1738"/>
    <w:rsid w:val="46BF18E1"/>
    <w:rsid w:val="46E66BFD"/>
    <w:rsid w:val="473E4D14"/>
    <w:rsid w:val="489A0AE6"/>
    <w:rsid w:val="4A9317A2"/>
    <w:rsid w:val="4B4D65A7"/>
    <w:rsid w:val="4D2370E7"/>
    <w:rsid w:val="4DECC0FF"/>
    <w:rsid w:val="4E7647D3"/>
    <w:rsid w:val="4E8C447A"/>
    <w:rsid w:val="4F502494"/>
    <w:rsid w:val="4FBEF9B5"/>
    <w:rsid w:val="4FC55E23"/>
    <w:rsid w:val="509A7964"/>
    <w:rsid w:val="53D72F5A"/>
    <w:rsid w:val="53FDACB5"/>
    <w:rsid w:val="54510FE5"/>
    <w:rsid w:val="55FFF0DB"/>
    <w:rsid w:val="56020BB4"/>
    <w:rsid w:val="571E02A3"/>
    <w:rsid w:val="57FD7E1B"/>
    <w:rsid w:val="584843AC"/>
    <w:rsid w:val="5A7E2231"/>
    <w:rsid w:val="5ADF6823"/>
    <w:rsid w:val="5B175D16"/>
    <w:rsid w:val="5B1A0782"/>
    <w:rsid w:val="5C624A97"/>
    <w:rsid w:val="5D7FF95A"/>
    <w:rsid w:val="5DDA3951"/>
    <w:rsid w:val="5E5AF9EE"/>
    <w:rsid w:val="5F7DCD7F"/>
    <w:rsid w:val="5FA95F49"/>
    <w:rsid w:val="5FBF8763"/>
    <w:rsid w:val="5FEE6E1E"/>
    <w:rsid w:val="5FEF0E87"/>
    <w:rsid w:val="61CB412D"/>
    <w:rsid w:val="61E274FB"/>
    <w:rsid w:val="63270190"/>
    <w:rsid w:val="63C07097"/>
    <w:rsid w:val="63F6BC28"/>
    <w:rsid w:val="654340E7"/>
    <w:rsid w:val="664F3B20"/>
    <w:rsid w:val="675B5FBD"/>
    <w:rsid w:val="6788382C"/>
    <w:rsid w:val="67EBCD8A"/>
    <w:rsid w:val="6826391B"/>
    <w:rsid w:val="6867608D"/>
    <w:rsid w:val="68EF42C4"/>
    <w:rsid w:val="6A7FB000"/>
    <w:rsid w:val="6A956400"/>
    <w:rsid w:val="6ABF5399"/>
    <w:rsid w:val="6B6E072A"/>
    <w:rsid w:val="6BBB6541"/>
    <w:rsid w:val="6C67536A"/>
    <w:rsid w:val="6CF74181"/>
    <w:rsid w:val="6CFD015E"/>
    <w:rsid w:val="6D4D31CC"/>
    <w:rsid w:val="6E504A7B"/>
    <w:rsid w:val="6EFE9375"/>
    <w:rsid w:val="6F3AA978"/>
    <w:rsid w:val="6F5A0D30"/>
    <w:rsid w:val="6F5A677D"/>
    <w:rsid w:val="6F6F9400"/>
    <w:rsid w:val="6F9F2C42"/>
    <w:rsid w:val="6FDB23B1"/>
    <w:rsid w:val="6FE6DE43"/>
    <w:rsid w:val="6FFF2707"/>
    <w:rsid w:val="700A63FA"/>
    <w:rsid w:val="71180D83"/>
    <w:rsid w:val="71F95C1E"/>
    <w:rsid w:val="72836946"/>
    <w:rsid w:val="728B5B6F"/>
    <w:rsid w:val="72C3149E"/>
    <w:rsid w:val="73661CF5"/>
    <w:rsid w:val="73A542D5"/>
    <w:rsid w:val="73AC6CAF"/>
    <w:rsid w:val="73DC4B44"/>
    <w:rsid w:val="743E4BED"/>
    <w:rsid w:val="744A0831"/>
    <w:rsid w:val="746DE58C"/>
    <w:rsid w:val="75DFB322"/>
    <w:rsid w:val="75FF1D72"/>
    <w:rsid w:val="76862FBE"/>
    <w:rsid w:val="76AE5741"/>
    <w:rsid w:val="76EF481A"/>
    <w:rsid w:val="76F61301"/>
    <w:rsid w:val="77052688"/>
    <w:rsid w:val="774E327C"/>
    <w:rsid w:val="779656C4"/>
    <w:rsid w:val="779FFD24"/>
    <w:rsid w:val="77BE3158"/>
    <w:rsid w:val="77D116E6"/>
    <w:rsid w:val="77F6D61D"/>
    <w:rsid w:val="788619C9"/>
    <w:rsid w:val="78D4654C"/>
    <w:rsid w:val="797DEB38"/>
    <w:rsid w:val="79AE4707"/>
    <w:rsid w:val="7AFB0652"/>
    <w:rsid w:val="7B56DDA2"/>
    <w:rsid w:val="7B5C206A"/>
    <w:rsid w:val="7B5F60E6"/>
    <w:rsid w:val="7BDD098F"/>
    <w:rsid w:val="7BEBF7D2"/>
    <w:rsid w:val="7BF66A1A"/>
    <w:rsid w:val="7BF7DAD7"/>
    <w:rsid w:val="7CAF6D1A"/>
    <w:rsid w:val="7CB461A6"/>
    <w:rsid w:val="7CDEF532"/>
    <w:rsid w:val="7CFF4FA0"/>
    <w:rsid w:val="7D7563CA"/>
    <w:rsid w:val="7DAF588E"/>
    <w:rsid w:val="7EBCA161"/>
    <w:rsid w:val="7EF7C809"/>
    <w:rsid w:val="7EFB34CC"/>
    <w:rsid w:val="7EFDE791"/>
    <w:rsid w:val="7F2F2086"/>
    <w:rsid w:val="7F3BAD2F"/>
    <w:rsid w:val="7F7583FE"/>
    <w:rsid w:val="7F7979AE"/>
    <w:rsid w:val="7FBB89BF"/>
    <w:rsid w:val="7FBF3A79"/>
    <w:rsid w:val="7FD6BEF7"/>
    <w:rsid w:val="7FDF2A49"/>
    <w:rsid w:val="7FEEDE92"/>
    <w:rsid w:val="7FEFABF9"/>
    <w:rsid w:val="7FF2B72A"/>
    <w:rsid w:val="7FF878E2"/>
    <w:rsid w:val="7FFB35A7"/>
    <w:rsid w:val="7FFD545D"/>
    <w:rsid w:val="7FFD9F55"/>
    <w:rsid w:val="97C778E7"/>
    <w:rsid w:val="9BDF6923"/>
    <w:rsid w:val="9D5E0256"/>
    <w:rsid w:val="9DFF8143"/>
    <w:rsid w:val="9EDFA34A"/>
    <w:rsid w:val="A4A9E009"/>
    <w:rsid w:val="AEDCFD40"/>
    <w:rsid w:val="AEFF32A7"/>
    <w:rsid w:val="AF3FC071"/>
    <w:rsid w:val="B5C121B5"/>
    <w:rsid w:val="B5DE0672"/>
    <w:rsid w:val="B5EE9E49"/>
    <w:rsid w:val="B5F7B175"/>
    <w:rsid w:val="B97F7191"/>
    <w:rsid w:val="BBFF5877"/>
    <w:rsid w:val="BBFF66F1"/>
    <w:rsid w:val="BCCF1D1D"/>
    <w:rsid w:val="BD7CAE0B"/>
    <w:rsid w:val="BDFBD4BA"/>
    <w:rsid w:val="BDFF872F"/>
    <w:rsid w:val="BE7F8867"/>
    <w:rsid w:val="BEBB3247"/>
    <w:rsid w:val="BF6E9522"/>
    <w:rsid w:val="BFD5F831"/>
    <w:rsid w:val="BFDF0CA2"/>
    <w:rsid w:val="BFF597B2"/>
    <w:rsid w:val="BFF7D093"/>
    <w:rsid w:val="BFFD2A76"/>
    <w:rsid w:val="BFFE1C57"/>
    <w:rsid w:val="CFDEA72F"/>
    <w:rsid w:val="D6F795FC"/>
    <w:rsid w:val="D6FD671B"/>
    <w:rsid w:val="D7D7DDCC"/>
    <w:rsid w:val="D7FE54B5"/>
    <w:rsid w:val="D7FF1E67"/>
    <w:rsid w:val="D87C5340"/>
    <w:rsid w:val="D8DCEDE1"/>
    <w:rsid w:val="DAFBCEB0"/>
    <w:rsid w:val="DB726C3A"/>
    <w:rsid w:val="DBF76714"/>
    <w:rsid w:val="DC1B4565"/>
    <w:rsid w:val="DDA208C1"/>
    <w:rsid w:val="DEF75473"/>
    <w:rsid w:val="DF6A0073"/>
    <w:rsid w:val="DF780174"/>
    <w:rsid w:val="DFCBC77F"/>
    <w:rsid w:val="DFD77326"/>
    <w:rsid w:val="DFD781A7"/>
    <w:rsid w:val="DFDD30F9"/>
    <w:rsid w:val="DFF5A64B"/>
    <w:rsid w:val="DFFFB97E"/>
    <w:rsid w:val="E3DFABFC"/>
    <w:rsid w:val="E7E2616F"/>
    <w:rsid w:val="E7FE654D"/>
    <w:rsid w:val="E7FF481B"/>
    <w:rsid w:val="E97FB2C3"/>
    <w:rsid w:val="EABFCD06"/>
    <w:rsid w:val="EAD788B5"/>
    <w:rsid w:val="EAFB0206"/>
    <w:rsid w:val="ED7CB6BF"/>
    <w:rsid w:val="EDF3A9F3"/>
    <w:rsid w:val="EE369E02"/>
    <w:rsid w:val="EE7B0D54"/>
    <w:rsid w:val="EF779F32"/>
    <w:rsid w:val="EF920639"/>
    <w:rsid w:val="EF9EF7A3"/>
    <w:rsid w:val="EFBBA1E8"/>
    <w:rsid w:val="EFEFCEF3"/>
    <w:rsid w:val="EFFD85C2"/>
    <w:rsid w:val="EFFE7920"/>
    <w:rsid w:val="EFFF2025"/>
    <w:rsid w:val="EFFF3C2B"/>
    <w:rsid w:val="EFFF494D"/>
    <w:rsid w:val="F277D181"/>
    <w:rsid w:val="F37F0E49"/>
    <w:rsid w:val="F4C9127B"/>
    <w:rsid w:val="F67188B8"/>
    <w:rsid w:val="F6B80288"/>
    <w:rsid w:val="F6FC2EBA"/>
    <w:rsid w:val="F6FD84FB"/>
    <w:rsid w:val="F71C4126"/>
    <w:rsid w:val="F72F39FB"/>
    <w:rsid w:val="F73DF6FB"/>
    <w:rsid w:val="F7CFE4D2"/>
    <w:rsid w:val="F7FF3781"/>
    <w:rsid w:val="F8AF765D"/>
    <w:rsid w:val="F9631D36"/>
    <w:rsid w:val="F9AFB6F0"/>
    <w:rsid w:val="F9F9C2D3"/>
    <w:rsid w:val="FA576F15"/>
    <w:rsid w:val="FADC04E4"/>
    <w:rsid w:val="FB6E0296"/>
    <w:rsid w:val="FB8FF8E7"/>
    <w:rsid w:val="FBAD5CE8"/>
    <w:rsid w:val="FBBD53BA"/>
    <w:rsid w:val="FBDF2122"/>
    <w:rsid w:val="FBEE1844"/>
    <w:rsid w:val="FBEF2C87"/>
    <w:rsid w:val="FBF76626"/>
    <w:rsid w:val="FBFF379E"/>
    <w:rsid w:val="FCDB6888"/>
    <w:rsid w:val="FDBFFB3F"/>
    <w:rsid w:val="FDEDFE4B"/>
    <w:rsid w:val="FDF51AF1"/>
    <w:rsid w:val="FDF531D4"/>
    <w:rsid w:val="FEAFC839"/>
    <w:rsid w:val="FEBAED74"/>
    <w:rsid w:val="FEFF6CA1"/>
    <w:rsid w:val="FF18DFEE"/>
    <w:rsid w:val="FF5E5E6F"/>
    <w:rsid w:val="FF5EF1C1"/>
    <w:rsid w:val="FF6BEA1B"/>
    <w:rsid w:val="FF7DB9F7"/>
    <w:rsid w:val="FFBF5332"/>
    <w:rsid w:val="FFCF68DB"/>
    <w:rsid w:val="FFDB89D3"/>
    <w:rsid w:val="FFFF83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widowControl/>
      <w:adjustRightInd w:val="0"/>
      <w:snapToGrid w:val="0"/>
      <w:spacing w:before="120" w:beforeLines="0" w:after="120" w:afterLines="0" w:line="460" w:lineRule="atLeast"/>
      <w:jc w:val="left"/>
      <w:outlineLvl w:val="2"/>
    </w:pPr>
    <w:rPr>
      <w:rFonts w:ascii="宋体" w:hAnsi="宋体"/>
      <w:b/>
      <w:sz w:val="24"/>
      <w:szCs w:val="20"/>
    </w:rPr>
  </w:style>
  <w:style w:type="paragraph" w:styleId="5">
    <w:name w:val="heading 4"/>
    <w:basedOn w:val="1"/>
    <w:next w:val="1"/>
    <w:qFormat/>
    <w:uiPriority w:val="0"/>
    <w:pPr>
      <w:keepNext/>
      <w:keepLines/>
      <w:spacing w:before="280" w:beforeLines="0" w:after="290" w:afterLines="0" w:line="376" w:lineRule="auto"/>
      <w:outlineLvl w:val="3"/>
    </w:pPr>
    <w:rPr>
      <w:rFonts w:ascii="Arial" w:hAnsi="Arial" w:eastAsia="黑体"/>
      <w:b/>
      <w:bCs/>
      <w:szCs w:val="28"/>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6">
    <w:name w:val="table of authorities"/>
    <w:basedOn w:val="1"/>
    <w:next w:val="1"/>
    <w:qFormat/>
    <w:uiPriority w:val="0"/>
    <w:pPr>
      <w:ind w:left="420" w:leftChars="200"/>
    </w:pPr>
    <w:rPr>
      <w:sz w:val="21"/>
      <w:szCs w:val="24"/>
    </w:rPr>
  </w:style>
  <w:style w:type="paragraph" w:styleId="7">
    <w:name w:val="Normal Indent"/>
    <w:basedOn w:val="1"/>
    <w:next w:val="1"/>
    <w:link w:val="23"/>
    <w:qFormat/>
    <w:uiPriority w:val="0"/>
    <w:pPr>
      <w:ind w:firstLine="420"/>
    </w:pPr>
    <w:rPr>
      <w:rFonts w:ascii="宋体"/>
      <w:szCs w:val="20"/>
    </w:rPr>
  </w:style>
  <w:style w:type="paragraph" w:styleId="8">
    <w:name w:val="Document Map"/>
    <w:basedOn w:val="1"/>
    <w:link w:val="24"/>
    <w:qFormat/>
    <w:uiPriority w:val="0"/>
    <w:pPr>
      <w:shd w:val="clear" w:color="auto" w:fill="000080"/>
    </w:pPr>
  </w:style>
  <w:style w:type="paragraph" w:styleId="9">
    <w:name w:val="annotation text"/>
    <w:basedOn w:val="1"/>
    <w:link w:val="25"/>
    <w:qFormat/>
    <w:uiPriority w:val="0"/>
    <w:pPr>
      <w:widowControl/>
      <w:jc w:val="left"/>
    </w:pPr>
    <w:rPr>
      <w:rFonts w:ascii="宋体" w:hAnsi="宋体" w:cs="宋体"/>
      <w:kern w:val="0"/>
      <w:sz w:val="24"/>
    </w:rPr>
  </w:style>
  <w:style w:type="paragraph" w:styleId="10">
    <w:name w:val="Body Text"/>
    <w:basedOn w:val="1"/>
    <w:next w:val="1"/>
    <w:link w:val="26"/>
    <w:qFormat/>
    <w:uiPriority w:val="0"/>
    <w:pPr>
      <w:spacing w:after="120" w:afterLines="0"/>
    </w:pPr>
    <w:rPr>
      <w:sz w:val="21"/>
    </w:r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9"/>
    <w:next w:val="9"/>
    <w:semiHidden/>
    <w:qFormat/>
    <w:uiPriority w:val="0"/>
    <w:pPr>
      <w:widowControl w:val="0"/>
    </w:pPr>
    <w:rPr>
      <w:rFonts w:ascii="Times New Roman" w:hAnsi="Times New Roman" w:cs="Times New Roman"/>
      <w:b/>
      <w:bCs/>
      <w:kern w:val="2"/>
      <w:sz w:val="28"/>
    </w:rPr>
  </w:style>
  <w:style w:type="paragraph" w:styleId="16">
    <w:name w:val="Body Text First Indent"/>
    <w:qFormat/>
    <w:uiPriority w:val="99"/>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9">
    <w:name w:val="page number"/>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标题 3 字符"/>
    <w:link w:val="4"/>
    <w:qFormat/>
    <w:uiPriority w:val="0"/>
    <w:rPr>
      <w:rFonts w:ascii="宋体" w:hAnsi="宋体" w:eastAsia="宋体"/>
      <w:b/>
      <w:kern w:val="2"/>
      <w:sz w:val="24"/>
      <w:lang w:val="en-US" w:eastAsia="zh-CN" w:bidi="ar-SA"/>
    </w:rPr>
  </w:style>
  <w:style w:type="character" w:customStyle="1" w:styleId="23">
    <w:name w:val="正文缩进 字符"/>
    <w:link w:val="7"/>
    <w:qFormat/>
    <w:uiPriority w:val="0"/>
    <w:rPr>
      <w:rFonts w:ascii="宋体" w:eastAsia="宋体"/>
      <w:kern w:val="2"/>
      <w:sz w:val="28"/>
      <w:lang w:val="en-US" w:eastAsia="zh-CN" w:bidi="ar-SA"/>
    </w:rPr>
  </w:style>
  <w:style w:type="character" w:customStyle="1" w:styleId="24">
    <w:name w:val="文档结构图 字符"/>
    <w:link w:val="8"/>
    <w:qFormat/>
    <w:uiPriority w:val="0"/>
    <w:rPr>
      <w:rFonts w:eastAsia="宋体"/>
      <w:kern w:val="2"/>
      <w:sz w:val="28"/>
      <w:szCs w:val="24"/>
      <w:lang w:val="en-US" w:eastAsia="zh-CN" w:bidi="ar-SA"/>
    </w:rPr>
  </w:style>
  <w:style w:type="character" w:customStyle="1" w:styleId="25">
    <w:name w:val="批注文字 字符"/>
    <w:link w:val="9"/>
    <w:qFormat/>
    <w:uiPriority w:val="0"/>
    <w:rPr>
      <w:rFonts w:ascii="宋体" w:hAnsi="宋体" w:eastAsia="宋体" w:cs="宋体"/>
      <w:sz w:val="24"/>
      <w:szCs w:val="24"/>
      <w:lang w:val="en-US" w:eastAsia="zh-CN" w:bidi="ar-SA"/>
    </w:rPr>
  </w:style>
  <w:style w:type="character" w:customStyle="1" w:styleId="26">
    <w:name w:val="正文文本 字符"/>
    <w:link w:val="10"/>
    <w:qFormat/>
    <w:uiPriority w:val="0"/>
    <w:rPr>
      <w:rFonts w:eastAsia="宋体"/>
      <w:kern w:val="2"/>
      <w:sz w:val="21"/>
      <w:szCs w:val="24"/>
      <w:lang w:val="en-US" w:eastAsia="zh-CN" w:bidi="ar-SA"/>
    </w:rPr>
  </w:style>
  <w:style w:type="character" w:customStyle="1" w:styleId="27">
    <w:name w:val="报告文本 Char"/>
    <w:link w:val="28"/>
    <w:qFormat/>
    <w:uiPriority w:val="0"/>
    <w:rPr>
      <w:kern w:val="24"/>
      <w:sz w:val="24"/>
      <w:szCs w:val="22"/>
    </w:rPr>
  </w:style>
  <w:style w:type="paragraph" w:customStyle="1" w:styleId="28">
    <w:name w:val="报告文本"/>
    <w:basedOn w:val="1"/>
    <w:link w:val="27"/>
    <w:qFormat/>
    <w:uiPriority w:val="0"/>
    <w:pPr>
      <w:spacing w:line="500" w:lineRule="exact"/>
      <w:ind w:firstLine="200" w:firstLineChars="200"/>
    </w:pPr>
    <w:rPr>
      <w:kern w:val="24"/>
      <w:sz w:val="24"/>
      <w:szCs w:val="22"/>
    </w:rPr>
  </w:style>
  <w:style w:type="character" w:customStyle="1" w:styleId="29">
    <w:name w:val="样式12 Char Char"/>
    <w:link w:val="30"/>
    <w:qFormat/>
    <w:uiPriority w:val="0"/>
    <w:rPr>
      <w:rFonts w:ascii="Swis721 BT" w:hAnsi="Swis721 BT" w:eastAsia="黑体"/>
      <w:color w:val="000000"/>
      <w:kern w:val="2"/>
      <w:sz w:val="28"/>
      <w:szCs w:val="28"/>
      <w:lang w:val="en-US" w:eastAsia="zh-CN" w:bidi="ar-SA"/>
    </w:rPr>
  </w:style>
  <w:style w:type="paragraph" w:customStyle="1" w:styleId="30">
    <w:name w:val="样式12"/>
    <w:basedOn w:val="1"/>
    <w:link w:val="29"/>
    <w:qFormat/>
    <w:uiPriority w:val="0"/>
    <w:pPr>
      <w:spacing w:before="93" w:beforeLines="30" w:after="93" w:afterLines="30" w:line="355" w:lineRule="auto"/>
      <w:outlineLvl w:val="2"/>
    </w:pPr>
    <w:rPr>
      <w:rFonts w:ascii="Swis721 BT" w:hAnsi="Swis721 BT" w:eastAsia="黑体"/>
      <w:color w:val="000000"/>
      <w:szCs w:val="28"/>
    </w:rPr>
  </w:style>
  <w:style w:type="character" w:customStyle="1" w:styleId="31">
    <w:name w:val="样式25 Char Char"/>
    <w:link w:val="32"/>
    <w:qFormat/>
    <w:uiPriority w:val="0"/>
    <w:rPr>
      <w:kern w:val="2"/>
      <w:sz w:val="26"/>
      <w:szCs w:val="22"/>
    </w:rPr>
  </w:style>
  <w:style w:type="paragraph" w:customStyle="1" w:styleId="32">
    <w:name w:val="样式25"/>
    <w:basedOn w:val="1"/>
    <w:link w:val="31"/>
    <w:qFormat/>
    <w:uiPriority w:val="0"/>
    <w:pPr>
      <w:spacing w:line="480" w:lineRule="exact"/>
      <w:ind w:firstLine="520" w:firstLineChars="200"/>
    </w:pPr>
    <w:rPr>
      <w:sz w:val="26"/>
      <w:szCs w:val="22"/>
    </w:rPr>
  </w:style>
  <w:style w:type="character" w:customStyle="1" w:styleId="33">
    <w:name w:val="都福路文本"/>
    <w:qFormat/>
    <w:uiPriority w:val="0"/>
    <w:rPr>
      <w:rFonts w:ascii="宋体" w:hAnsi="宋体" w:eastAsia="宋体"/>
      <w:color w:val="0000FF"/>
      <w:kern w:val="0"/>
      <w:sz w:val="24"/>
      <w:lang w:val="en-US" w:eastAsia="zh-CN"/>
    </w:rPr>
  </w:style>
  <w:style w:type="character" w:customStyle="1" w:styleId="34">
    <w:name w:val=" Char Char25"/>
    <w:qFormat/>
    <w:uiPriority w:val="0"/>
    <w:rPr>
      <w:rFonts w:eastAsia="宋体"/>
      <w:kern w:val="2"/>
      <w:sz w:val="21"/>
      <w:szCs w:val="24"/>
      <w:lang w:val="en-US" w:eastAsia="zh-CN" w:bidi="ar-SA"/>
    </w:rPr>
  </w:style>
  <w:style w:type="character" w:customStyle="1" w:styleId="35">
    <w:name w:val="font91"/>
    <w:qFormat/>
    <w:uiPriority w:val="0"/>
    <w:rPr>
      <w:rFonts w:hint="eastAsia" w:ascii="宋体" w:hAnsi="宋体" w:eastAsia="宋体" w:cs="宋体"/>
      <w:color w:val="000000"/>
      <w:sz w:val="20"/>
      <w:szCs w:val="20"/>
      <w:u w:val="none"/>
    </w:rPr>
  </w:style>
  <w:style w:type="character" w:customStyle="1" w:styleId="36">
    <w:name w:val="正文2"/>
    <w:qFormat/>
    <w:uiPriority w:val="0"/>
    <w:rPr>
      <w:rFonts w:eastAsia="宋体"/>
      <w:color w:val="0000FF"/>
    </w:rPr>
  </w:style>
  <w:style w:type="character" w:customStyle="1" w:styleId="37">
    <w:name w:val="font101"/>
    <w:qFormat/>
    <w:uiPriority w:val="0"/>
    <w:rPr>
      <w:rFonts w:hint="eastAsia" w:ascii="宋体" w:hAnsi="宋体" w:eastAsia="宋体" w:cs="宋体"/>
      <w:color w:val="000000"/>
      <w:sz w:val="20"/>
      <w:szCs w:val="20"/>
      <w:u w:val="none"/>
    </w:rPr>
  </w:style>
  <w:style w:type="character" w:customStyle="1" w:styleId="38">
    <w:name w:val="font51"/>
    <w:basedOn w:val="18"/>
    <w:qFormat/>
    <w:uiPriority w:val="0"/>
    <w:rPr>
      <w:rFonts w:hint="default" w:ascii="Times New Roman" w:hAnsi="Times New Roman" w:cs="Times New Roman"/>
      <w:b/>
      <w:bCs/>
      <w:color w:val="000000"/>
      <w:sz w:val="18"/>
      <w:szCs w:val="18"/>
      <w:u w:val="none"/>
    </w:rPr>
  </w:style>
  <w:style w:type="character" w:customStyle="1" w:styleId="39">
    <w:name w:val="文本条款 Char"/>
    <w:qFormat/>
    <w:uiPriority w:val="0"/>
    <w:rPr>
      <w:kern w:val="2"/>
      <w:sz w:val="21"/>
    </w:rPr>
  </w:style>
  <w:style w:type="character" w:customStyle="1" w:styleId="40">
    <w:name w:val="font81"/>
    <w:qFormat/>
    <w:uiPriority w:val="0"/>
    <w:rPr>
      <w:rFonts w:hint="default" w:ascii="Times New Roman" w:hAnsi="Times New Roman" w:cs="Times New Roman"/>
      <w:color w:val="000000"/>
      <w:sz w:val="20"/>
      <w:szCs w:val="20"/>
      <w:u w:val="none"/>
    </w:rPr>
  </w:style>
  <w:style w:type="character" w:customStyle="1" w:styleId="41">
    <w:name w:val="font71"/>
    <w:basedOn w:val="18"/>
    <w:qFormat/>
    <w:uiPriority w:val="0"/>
    <w:rPr>
      <w:rFonts w:hint="default" w:ascii="Times New Roman" w:hAnsi="Times New Roman" w:cs="Times New Roman"/>
      <w:color w:val="000000"/>
      <w:sz w:val="20"/>
      <w:szCs w:val="20"/>
      <w:u w:val="none"/>
    </w:rPr>
  </w:style>
  <w:style w:type="character" w:customStyle="1" w:styleId="42">
    <w:name w:val="样式4 Char Char"/>
    <w:link w:val="43"/>
    <w:qFormat/>
    <w:uiPriority w:val="0"/>
    <w:rPr>
      <w:rFonts w:ascii="宋体" w:hAnsi="宋体" w:eastAsia="仿宋_GB2312"/>
      <w:kern w:val="2"/>
      <w:sz w:val="28"/>
      <w:szCs w:val="28"/>
      <w:lang w:val="en-US" w:eastAsia="zh-CN" w:bidi="ar-SA"/>
    </w:rPr>
  </w:style>
  <w:style w:type="paragraph" w:customStyle="1" w:styleId="43">
    <w:name w:val="样式4"/>
    <w:basedOn w:val="1"/>
    <w:link w:val="42"/>
    <w:qFormat/>
    <w:uiPriority w:val="0"/>
    <w:pPr>
      <w:adjustRightInd w:val="0"/>
      <w:snapToGrid w:val="0"/>
      <w:spacing w:line="355" w:lineRule="auto"/>
      <w:ind w:firstLine="560" w:firstLineChars="200"/>
    </w:pPr>
    <w:rPr>
      <w:rFonts w:ascii="宋体" w:hAnsi="宋体" w:eastAsia="仿宋_GB2312"/>
      <w:szCs w:val="28"/>
    </w:rPr>
  </w:style>
  <w:style w:type="character" w:customStyle="1" w:styleId="44">
    <w:name w:val="样式1 Char Char"/>
    <w:link w:val="45"/>
    <w:qFormat/>
    <w:uiPriority w:val="0"/>
    <w:rPr>
      <w:rFonts w:eastAsia="宋体"/>
      <w:color w:val="000000"/>
      <w:sz w:val="21"/>
      <w:szCs w:val="21"/>
      <w:lang w:val="en-US" w:eastAsia="zh-CN" w:bidi="ar-SA"/>
    </w:rPr>
  </w:style>
  <w:style w:type="paragraph" w:customStyle="1" w:styleId="45">
    <w:name w:val="样式1"/>
    <w:basedOn w:val="1"/>
    <w:link w:val="44"/>
    <w:qFormat/>
    <w:uiPriority w:val="0"/>
    <w:pPr>
      <w:autoSpaceDE w:val="0"/>
      <w:autoSpaceDN w:val="0"/>
      <w:adjustRightInd w:val="0"/>
      <w:spacing w:before="40" w:beforeLines="0" w:after="40" w:afterLines="0"/>
      <w:jc w:val="center"/>
    </w:pPr>
    <w:rPr>
      <w:color w:val="000000"/>
      <w:kern w:val="0"/>
      <w:sz w:val="21"/>
      <w:szCs w:val="21"/>
    </w:rPr>
  </w:style>
  <w:style w:type="character" w:customStyle="1" w:styleId="46">
    <w:name w:val="font31"/>
    <w:qFormat/>
    <w:uiPriority w:val="0"/>
    <w:rPr>
      <w:rFonts w:hint="default" w:ascii="Times New Roman" w:hAnsi="Times New Roman" w:cs="Times New Roman"/>
      <w:color w:val="000000"/>
      <w:sz w:val="16"/>
      <w:szCs w:val="16"/>
      <w:u w:val="none"/>
    </w:rPr>
  </w:style>
  <w:style w:type="character" w:customStyle="1" w:styleId="47">
    <w:name w:val="样式 样式 样式 正文首行缩进 + 首行缩进:  1 字符 + 宋体 + 自动设置 Char Char"/>
    <w:link w:val="48"/>
    <w:qFormat/>
    <w:uiPriority w:val="0"/>
    <w:rPr>
      <w:rFonts w:ascii="宋体" w:hAnsi="宋体" w:eastAsia="宋体"/>
      <w:kern w:val="2"/>
      <w:sz w:val="24"/>
      <w:lang w:val="en-US" w:eastAsia="zh-CN" w:bidi="ar-SA"/>
    </w:rPr>
  </w:style>
  <w:style w:type="paragraph" w:customStyle="1" w:styleId="48">
    <w:name w:val="样式 样式 样式 正文首行缩进 + 首行缩进:  1 字符 + 宋体 + 自动设置"/>
    <w:basedOn w:val="1"/>
    <w:link w:val="47"/>
    <w:qFormat/>
    <w:uiPriority w:val="0"/>
    <w:pPr>
      <w:spacing w:line="460" w:lineRule="exact"/>
      <w:ind w:firstLine="480" w:firstLineChars="200"/>
      <w:jc w:val="left"/>
    </w:pPr>
    <w:rPr>
      <w:rFonts w:ascii="宋体" w:hAnsi="宋体"/>
      <w:sz w:val="24"/>
      <w:szCs w:val="20"/>
    </w:rPr>
  </w:style>
  <w:style w:type="character" w:customStyle="1" w:styleId="49">
    <w:name w:val="font11"/>
    <w:basedOn w:val="18"/>
    <w:qFormat/>
    <w:uiPriority w:val="0"/>
    <w:rPr>
      <w:rFonts w:hint="default" w:ascii="楷体_GB2312" w:eastAsia="楷体_GB2312" w:cs="楷体_GB2312"/>
      <w:b/>
      <w:bCs/>
      <w:color w:val="000000"/>
      <w:sz w:val="18"/>
      <w:szCs w:val="18"/>
      <w:u w:val="none"/>
    </w:rPr>
  </w:style>
  <w:style w:type="character" w:customStyle="1" w:styleId="50">
    <w:name w:val="font61"/>
    <w:qFormat/>
    <w:uiPriority w:val="0"/>
    <w:rPr>
      <w:rFonts w:ascii="黑体" w:hAnsi="宋体" w:eastAsia="黑体" w:cs="黑体"/>
      <w:color w:val="000000"/>
      <w:sz w:val="28"/>
      <w:szCs w:val="28"/>
      <w:u w:val="none"/>
    </w:rPr>
  </w:style>
  <w:style w:type="character" w:customStyle="1" w:styleId="51">
    <w:name w:val="A正文 Char Char"/>
    <w:link w:val="52"/>
    <w:qFormat/>
    <w:uiPriority w:val="0"/>
    <w:rPr>
      <w:rFonts w:eastAsia="宋体"/>
      <w:kern w:val="2"/>
      <w:sz w:val="24"/>
      <w:szCs w:val="24"/>
      <w:lang w:val="en-US" w:eastAsia="zh-CN" w:bidi="ar-SA"/>
    </w:rPr>
  </w:style>
  <w:style w:type="paragraph" w:customStyle="1" w:styleId="52">
    <w:name w:val="A正文"/>
    <w:basedOn w:val="1"/>
    <w:link w:val="51"/>
    <w:qFormat/>
    <w:uiPriority w:val="0"/>
    <w:pPr>
      <w:widowControl/>
      <w:spacing w:line="360" w:lineRule="auto"/>
      <w:ind w:firstLine="200" w:firstLineChars="200"/>
      <w:jc w:val="left"/>
    </w:pPr>
    <w:rPr>
      <w:sz w:val="24"/>
    </w:rPr>
  </w:style>
  <w:style w:type="paragraph" w:customStyle="1" w:styleId="53">
    <w:name w:val=" Char2 Char Char Char Char Char Char Char Char"/>
    <w:basedOn w:val="1"/>
    <w:qFormat/>
    <w:uiPriority w:val="0"/>
    <w:rPr>
      <w:sz w:val="21"/>
      <w:szCs w:val="20"/>
    </w:rPr>
  </w:style>
  <w:style w:type="paragraph" w:customStyle="1" w:styleId="54">
    <w:name w:val="xc----正文"/>
    <w:basedOn w:val="55"/>
    <w:qFormat/>
    <w:uiPriority w:val="0"/>
    <w:rPr>
      <w:rFonts w:ascii="仿宋_GB2312"/>
      <w:spacing w:val="-4"/>
    </w:rPr>
  </w:style>
  <w:style w:type="paragraph" w:customStyle="1" w:styleId="55">
    <w:name w:val="样式 样式 公正文样式 + 三号 + 红色 首行缩进:  0 字符"/>
    <w:basedOn w:val="1"/>
    <w:qFormat/>
    <w:uiPriority w:val="0"/>
    <w:pPr>
      <w:spacing w:line="460" w:lineRule="exact"/>
      <w:ind w:firstLine="200" w:firstLineChars="200"/>
    </w:pPr>
    <w:rPr>
      <w:rFonts w:ascii="Times New Roman" w:hAnsi="Times New Roman" w:eastAsia="仿宋_GB2312" w:cs="宋体"/>
      <w:kern w:val="0"/>
      <w:sz w:val="24"/>
      <w:szCs w:val="20"/>
    </w:rPr>
  </w:style>
  <w:style w:type="paragraph" w:customStyle="1" w:styleId="56">
    <w:name w:val="p0"/>
    <w:basedOn w:val="1"/>
    <w:qFormat/>
    <w:uiPriority w:val="0"/>
    <w:pPr>
      <w:widowControl/>
    </w:pPr>
    <w:rPr>
      <w:kern w:val="0"/>
      <w:sz w:val="21"/>
      <w:szCs w:val="20"/>
    </w:rPr>
  </w:style>
  <w:style w:type="paragraph" w:customStyle="1" w:styleId="57">
    <w:name w:val=" Char Char Char Char"/>
    <w:basedOn w:val="1"/>
    <w:qFormat/>
    <w:uiPriority w:val="0"/>
    <w:pPr>
      <w:widowControl/>
      <w:spacing w:after="160" w:afterLines="0" w:line="240" w:lineRule="exact"/>
      <w:jc w:val="left"/>
    </w:pPr>
    <w:rPr>
      <w:rFonts w:ascii="宋体" w:hAnsi="宋体"/>
      <w:b/>
      <w:kern w:val="0"/>
      <w:sz w:val="44"/>
      <w:szCs w:val="44"/>
      <w:lang w:eastAsia="en-US"/>
    </w:rPr>
  </w:style>
  <w:style w:type="paragraph" w:customStyle="1" w:styleId="58">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59">
    <w:name w:val="Char Char1 Char Char Char Char Char Char Char"/>
    <w:basedOn w:val="1"/>
    <w:qFormat/>
    <w:uiPriority w:val="0"/>
    <w:pPr>
      <w:pageBreakBefore/>
      <w:spacing w:line="480" w:lineRule="auto"/>
      <w:ind w:firstLine="200" w:firstLineChars="200"/>
    </w:pPr>
    <w:rPr>
      <w:rFonts w:ascii="宋体" w:hAnsi="宋体" w:eastAsia="仿宋_GB2312" w:cs="宋体"/>
      <w:szCs w:val="28"/>
    </w:rPr>
  </w:style>
  <w:style w:type="paragraph" w:customStyle="1" w:styleId="60">
    <w:name w:val="报告书副标题"/>
    <w:basedOn w:val="1"/>
    <w:qFormat/>
    <w:uiPriority w:val="0"/>
    <w:pPr>
      <w:widowControl/>
      <w:tabs>
        <w:tab w:val="left" w:pos="-24"/>
      </w:tabs>
      <w:spacing w:line="460" w:lineRule="exact"/>
      <w:ind w:firstLine="480" w:firstLineChars="200"/>
      <w:jc w:val="center"/>
      <w:textAlignment w:val="baseline"/>
      <w:outlineLvl w:val="4"/>
    </w:pPr>
    <w:rPr>
      <w:rFonts w:ascii="宋体" w:hAnsi="宋体"/>
      <w:b/>
      <w:bCs/>
      <w:color w:val="000000"/>
      <w:w w:val="83"/>
      <w:kern w:val="0"/>
      <w:sz w:val="48"/>
    </w:rPr>
  </w:style>
  <w:style w:type="paragraph" w:customStyle="1" w:styleId="61">
    <w:name w:val="样式 xc----正文 + 首行缩进:  2 字符"/>
    <w:basedOn w:val="54"/>
    <w:qFormat/>
    <w:uiPriority w:val="0"/>
    <w:pPr>
      <w:ind w:firstLine="464"/>
    </w:pPr>
    <w:rPr>
      <w:spacing w:val="0"/>
    </w:rPr>
  </w:style>
  <w:style w:type="paragraph" w:customStyle="1" w:styleId="62">
    <w:name w:val="课题号"/>
    <w:basedOn w:val="1"/>
    <w:qFormat/>
    <w:uiPriority w:val="0"/>
    <w:pPr>
      <w:widowControl/>
      <w:tabs>
        <w:tab w:val="left" w:pos="-24"/>
      </w:tabs>
      <w:spacing w:line="460" w:lineRule="exact"/>
      <w:ind w:firstLine="436" w:firstLineChars="200"/>
      <w:jc w:val="left"/>
      <w:textAlignment w:val="baseline"/>
    </w:pPr>
    <w:rPr>
      <w:rFonts w:ascii="宋体" w:hAnsi="宋体"/>
      <w:b/>
      <w:bCs/>
      <w:color w:val="000000"/>
      <w:kern w:val="0"/>
      <w:sz w:val="30"/>
    </w:rPr>
  </w:style>
  <w:style w:type="paragraph" w:customStyle="1" w:styleId="63">
    <w:name w:val="xc----括号"/>
    <w:basedOn w:val="54"/>
    <w:qFormat/>
    <w:uiPriority w:val="0"/>
    <w:pPr>
      <w:outlineLvl w:val="5"/>
    </w:pPr>
    <w:rPr>
      <w:rFonts w:ascii="楷体_GB2312" w:eastAsia="楷体_GB2312" w:cs="Times New Roman"/>
    </w:rPr>
  </w:style>
  <w:style w:type="paragraph" w:customStyle="1" w:styleId="64">
    <w:name w:val="默认段落字体 Para Char Char Char Char Char Char Char Char Char Char"/>
    <w:basedOn w:val="1"/>
    <w:qFormat/>
    <w:uiPriority w:val="0"/>
    <w:rPr>
      <w:sz w:val="21"/>
      <w:szCs w:val="20"/>
    </w:rPr>
  </w:style>
  <w:style w:type="paragraph" w:customStyle="1" w:styleId="65">
    <w:name w:val="gg_body"/>
    <w:basedOn w:val="1"/>
    <w:qFormat/>
    <w:uiPriority w:val="0"/>
    <w:pPr>
      <w:widowControl/>
      <w:spacing w:line="460" w:lineRule="exact"/>
      <w:ind w:firstLine="200"/>
      <w:jc w:val="left"/>
    </w:pPr>
    <w:rPr>
      <w:rFonts w:ascii="宋体" w:hAnsi="宋体"/>
      <w:kern w:val="0"/>
      <w:sz w:val="24"/>
      <w:szCs w:val="20"/>
    </w:rPr>
  </w:style>
  <w:style w:type="paragraph" w:customStyle="1" w:styleId="66">
    <w:name w:val="Char Char Char Char Char Char Char Char Char1 Char"/>
    <w:next w:val="67"/>
    <w:qFormat/>
    <w:uiPriority w:val="0"/>
    <w:pPr>
      <w:snapToGrid w:val="0"/>
      <w:spacing w:line="300" w:lineRule="auto"/>
      <w:ind w:firstLine="200" w:firstLineChars="200"/>
      <w:jc w:val="both"/>
    </w:pPr>
    <w:rPr>
      <w:rFonts w:ascii="Times New Roman" w:hAnsi="Times New Roman" w:eastAsia="宋体" w:cs="Times New Roman"/>
      <w:color w:val="000000"/>
      <w:kern w:val="2"/>
      <w:sz w:val="24"/>
      <w:szCs w:val="24"/>
      <w:lang w:val="en-US" w:eastAsia="zh-CN" w:bidi="ar-SA"/>
    </w:rPr>
  </w:style>
  <w:style w:type="paragraph" w:customStyle="1" w:styleId="67">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68">
    <w:name w:val="xl4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Arial Unicode MS" w:hAnsi="Arial Unicode MS" w:eastAsia="Arial Unicode MS"/>
      <w:color w:val="000000"/>
      <w:kern w:val="0"/>
      <w:sz w:val="21"/>
      <w:szCs w:val="21"/>
    </w:rPr>
  </w:style>
  <w:style w:type="paragraph" w:customStyle="1" w:styleId="69">
    <w:name w:val="Char Char Char1 Char Char Char Char Char Char Char Char Char Char Char Char Char"/>
    <w:basedOn w:val="5"/>
    <w:qFormat/>
    <w:uiPriority w:val="0"/>
    <w:pPr>
      <w:widowControl/>
      <w:spacing w:before="120" w:beforeLines="0" w:after="120" w:afterLines="0" w:line="360" w:lineRule="auto"/>
      <w:jc w:val="left"/>
    </w:pPr>
    <w:rPr>
      <w:rFonts w:ascii="Times New Roman" w:hAnsi="Times New Roman" w:eastAsia="仿宋_GB2312" w:cs="宋体"/>
      <w:b w:val="0"/>
      <w:kern w:val="0"/>
    </w:rPr>
  </w:style>
  <w:style w:type="paragraph" w:customStyle="1" w:styleId="70">
    <w:name w:val=" Char Char Char Char Char Char Char Char Char Char"/>
    <w:basedOn w:val="1"/>
    <w:qFormat/>
    <w:uiPriority w:val="0"/>
    <w:rPr>
      <w:sz w:val="21"/>
    </w:rPr>
  </w:style>
  <w:style w:type="paragraph" w:customStyle="1" w:styleId="71">
    <w:name w:val="!表格(alt+t)"/>
    <w:qFormat/>
    <w:uiPriority w:val="0"/>
    <w:pPr>
      <w:adjustRightInd w:val="0"/>
      <w:spacing w:line="240" w:lineRule="atLeast"/>
      <w:jc w:val="center"/>
      <w:textAlignment w:val="center"/>
    </w:pPr>
    <w:rPr>
      <w:rFonts w:ascii="Times New Roman" w:hAnsi="Times New Roman" w:eastAsia="宋体" w:cs="Times New Roman"/>
      <w:bCs/>
      <w:sz w:val="21"/>
      <w:szCs w:val="21"/>
      <w:lang w:val="en-US" w:eastAsia="zh-CN" w:bidi="ar-SA"/>
    </w:rPr>
  </w:style>
  <w:style w:type="paragraph" w:customStyle="1" w:styleId="72">
    <w:name w:val=" Char Char Char Char Char Char Char"/>
    <w:basedOn w:val="1"/>
    <w:qFormat/>
    <w:uiPriority w:val="0"/>
    <w:pPr>
      <w:widowControl/>
      <w:spacing w:after="160" w:afterLines="0" w:line="240" w:lineRule="exact"/>
      <w:jc w:val="left"/>
    </w:pPr>
    <w:rPr>
      <w:sz w:val="21"/>
      <w:szCs w:val="20"/>
    </w:rPr>
  </w:style>
  <w:style w:type="paragraph" w:customStyle="1" w:styleId="73">
    <w:name w:val="样式 !正文(alt+c) + 首行缩进:  2 字符"/>
    <w:basedOn w:val="1"/>
    <w:qFormat/>
    <w:uiPriority w:val="0"/>
    <w:pPr>
      <w:widowControl/>
      <w:spacing w:line="440" w:lineRule="exact"/>
      <w:ind w:firstLine="200" w:firstLineChars="200"/>
      <w:jc w:val="left"/>
    </w:pPr>
    <w:rPr>
      <w:color w:val="000000"/>
      <w:kern w:val="0"/>
      <w:sz w:val="24"/>
      <w:szCs w:val="20"/>
    </w:rPr>
  </w:style>
  <w:style w:type="paragraph" w:customStyle="1" w:styleId="74">
    <w:name w:val=" Char"/>
    <w:basedOn w:val="1"/>
    <w:qFormat/>
    <w:uiPriority w:val="0"/>
    <w:rPr>
      <w:sz w:val="21"/>
    </w:rPr>
  </w:style>
  <w:style w:type="paragraph" w:customStyle="1" w:styleId="75">
    <w:name w:val="表格内文字"/>
    <w:basedOn w:val="1"/>
    <w:qFormat/>
    <w:uiPriority w:val="0"/>
    <w:pPr>
      <w:spacing w:line="240" w:lineRule="auto"/>
      <w:ind w:firstLine="0" w:firstLineChars="0"/>
      <w:jc w:val="center"/>
    </w:pPr>
    <w:rPr>
      <w:rFonts w:cs="宋体"/>
      <w:sz w:val="18"/>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7">
    <w:name w:val="font41"/>
    <w:basedOn w:val="18"/>
    <w:qFormat/>
    <w:uiPriority w:val="0"/>
    <w:rPr>
      <w:rFonts w:hint="eastAsia" w:ascii="仿宋" w:hAnsi="仿宋" w:eastAsia="仿宋" w:cs="仿宋"/>
      <w:color w:val="000000"/>
      <w:sz w:val="18"/>
      <w:szCs w:val="18"/>
      <w:u w:val="none"/>
    </w:rPr>
  </w:style>
  <w:style w:type="paragraph" w:customStyle="1" w:styleId="78">
    <w:name w:val="表格文字"/>
    <w:qFormat/>
    <w:uiPriority w:val="0"/>
    <w:pPr>
      <w:widowControl/>
      <w:tabs>
        <w:tab w:val="left" w:pos="-24"/>
      </w:tabs>
      <w:spacing w:line="0" w:lineRule="atLeast"/>
      <w:ind w:firstLine="0" w:firstLineChars="0"/>
      <w:jc w:val="center"/>
      <w:textAlignment w:val="baseline"/>
    </w:pPr>
    <w:rPr>
      <w:rFonts w:ascii="Times New Roman" w:hAnsi="Times New Roman" w:eastAsia="仿宋_GB2312" w:cs="Times New Roman"/>
      <w:color w:val="auto"/>
      <w:sz w:val="21"/>
      <w:szCs w:val="20"/>
      <w:u w:val="none" w:color="000000"/>
      <w:lang w:val="en-US" w:eastAsia="zh-CN" w:bidi="ar-SA"/>
    </w:rPr>
  </w:style>
  <w:style w:type="paragraph" w:customStyle="1" w:styleId="79">
    <w:name w:val="列出段落1"/>
    <w:qFormat/>
    <w:uiPriority w:val="99"/>
    <w:pPr>
      <w:widowControl/>
      <w:spacing w:line="240" w:lineRule="auto"/>
      <w:ind w:firstLine="0" w:firstLineChars="0"/>
      <w:jc w:val="left"/>
    </w:pPr>
    <w:rPr>
      <w:rFonts w:ascii="Times New Roman" w:hAnsi="Times New Roman" w:eastAsia="仿宋_GB2312" w:cs="宋体"/>
      <w:kern w:val="2"/>
      <w:sz w:val="21"/>
      <w:szCs w:val="24"/>
      <w:lang w:val="en-US" w:eastAsia="zh-CN" w:bidi="ar-SA"/>
    </w:rPr>
  </w:style>
  <w:style w:type="character" w:customStyle="1" w:styleId="80">
    <w:name w:val="font21"/>
    <w:qFormat/>
    <w:uiPriority w:val="0"/>
    <w:rPr>
      <w:rFonts w:hint="default" w:ascii="仿宋_GB2312" w:eastAsia="仿宋_GB2312" w:cs="仿宋_GB2312"/>
      <w:b/>
      <w:bCs/>
      <w:color w:val="000000"/>
      <w:sz w:val="18"/>
      <w:szCs w:val="18"/>
      <w:u w:val="none"/>
    </w:rPr>
  </w:style>
  <w:style w:type="paragraph" w:customStyle="1" w:styleId="81">
    <w:name w:val="表格123"/>
    <w:qFormat/>
    <w:uiPriority w:val="0"/>
    <w:pPr>
      <w:widowControl w:val="0"/>
      <w:adjustRightInd w:val="0"/>
      <w:snapToGrid w:val="0"/>
      <w:spacing w:line="240" w:lineRule="auto"/>
      <w:ind w:left="-30" w:leftChars="-30" w:right="-30" w:rightChars="-30" w:firstLine="0" w:firstLineChars="0"/>
      <w:jc w:val="center"/>
    </w:pPr>
    <w:rPr>
      <w:rFonts w:ascii="Times New Roman" w:hAnsi="Times New Roman" w:eastAsia="仿宋_GB2312" w:cs="Times New Roman"/>
      <w:w w:val="95"/>
      <w:kern w:val="0"/>
      <w:sz w:val="20"/>
      <w:szCs w:val="24"/>
      <w:lang w:val="zh-CN" w:eastAsia="zh-CN" w:bidi="ar-SA"/>
    </w:rPr>
  </w:style>
  <w:style w:type="paragraph" w:customStyle="1" w:styleId="82">
    <w:name w:val="表格内居中文字"/>
    <w:qFormat/>
    <w:uiPriority w:val="0"/>
    <w:pPr>
      <w:widowControl w:val="0"/>
      <w:jc w:val="center"/>
    </w:pPr>
    <w:rPr>
      <w:rFonts w:ascii="Times New Roman" w:hAnsi="Times New Roman" w:eastAsia="仿宋_GB2312" w:cs="Times New Roman"/>
      <w:kern w:val="24"/>
      <w:sz w:val="21"/>
      <w:szCs w:val="24"/>
      <w:lang w:val="en-US" w:eastAsia="zh-CN" w:bidi="ar-SA"/>
    </w:rPr>
  </w:style>
  <w:style w:type="character" w:customStyle="1" w:styleId="83">
    <w:name w:val="正文啊 Char"/>
    <w:link w:val="84"/>
    <w:qFormat/>
    <w:uiPriority w:val="0"/>
    <w:rPr>
      <w:rFonts w:ascii="仿宋_GB2312" w:eastAsia="仿宋_GB2312"/>
      <w:kern w:val="0"/>
      <w:sz w:val="28"/>
      <w:szCs w:val="22"/>
      <w:lang w:val="en-US" w:eastAsia="zh-CN" w:bidi="ar-SA"/>
    </w:rPr>
  </w:style>
  <w:style w:type="paragraph" w:customStyle="1" w:styleId="84">
    <w:name w:val="正文啊"/>
    <w:link w:val="83"/>
    <w:qFormat/>
    <w:uiPriority w:val="0"/>
    <w:pPr>
      <w:widowControl w:val="0"/>
      <w:spacing w:line="560" w:lineRule="exact"/>
      <w:ind w:firstLine="560" w:firstLineChars="200"/>
      <w:jc w:val="both"/>
    </w:pPr>
    <w:rPr>
      <w:rFonts w:ascii="仿宋_GB2312" w:hAnsi="Times New Roman" w:eastAsia="仿宋_GB2312" w:cs="Times New Roman"/>
      <w:kern w:val="0"/>
      <w:sz w:val="28"/>
      <w:szCs w:val="22"/>
      <w:lang w:val="en-US" w:eastAsia="zh-CN" w:bidi="ar-SA"/>
    </w:rPr>
  </w:style>
  <w:style w:type="paragraph" w:customStyle="1" w:styleId="85">
    <w:name w:val="表中内容"/>
    <w:qFormat/>
    <w:uiPriority w:val="0"/>
    <w:pPr>
      <w:widowControl w:val="0"/>
      <w:spacing w:line="240" w:lineRule="auto"/>
      <w:ind w:firstLine="0" w:firstLineChars="0"/>
      <w:jc w:val="center"/>
    </w:pPr>
    <w:rPr>
      <w:rFonts w:ascii="Times New Roman" w:hAnsi="Times New Roman" w:eastAsia="仿宋_GB2312"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1032</Words>
  <Characters>5886</Characters>
  <Lines>49</Lines>
  <Paragraphs>13</Paragraphs>
  <TotalTime>24</TotalTime>
  <ScaleCrop>false</ScaleCrop>
  <LinksUpToDate>false</LinksUpToDate>
  <CharactersWithSpaces>6905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2021-07-22T19:38:00Z</dcterms:created>
  <dc:creator>张艺馨</dc:creator>
  <cp:lastModifiedBy>zyj</cp:lastModifiedBy>
  <cp:lastPrinted>2022-11-11T11:20:00Z</cp:lastPrinted>
  <dcterms:modified xsi:type="dcterms:W3CDTF">2024-04-10T02:08:18Z</dcterms:modified>
  <dc:title>水保审查意见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B69D179690974895BF91370F7CF3E62E</vt:lpwstr>
  </property>
</Properties>
</file>