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snapToGrid w:val="0"/>
        <w:spacing w:before="0" w:beforeLines="0" w:after="0" w:afterLines="0" w:line="594" w:lineRule="exact"/>
        <w:ind w:left="0" w:leftChars="0" w:firstLine="0" w:firstLineChars="0"/>
        <w:jc w:val="center"/>
        <w:textAlignment w:val="auto"/>
        <w:rPr>
          <w:rFonts w:hint="eastAsia" w:ascii="Times New Roman" w:hAnsi="Times New Roman" w:eastAsia="方正仿宋_GBK" w:cs="方正仿宋_GBK"/>
          <w:color w:val="000000"/>
          <w:sz w:val="32"/>
          <w:szCs w:val="32"/>
          <w:lang w:val="en-US" w:eastAsia="zh-CN"/>
        </w:rPr>
      </w:pPr>
    </w:p>
    <w:p>
      <w:pPr>
        <w:keepNext w:val="0"/>
        <w:keepLines w:val="0"/>
        <w:pageBreakBefore w:val="0"/>
        <w:widowControl w:val="0"/>
        <w:kinsoku/>
        <w:wordWrap/>
        <w:overflowPunct/>
        <w:topLinePunct w:val="0"/>
        <w:autoSpaceDE/>
        <w:autoSpaceDN/>
        <w:bidi w:val="0"/>
        <w:snapToGrid w:val="0"/>
        <w:spacing w:line="594" w:lineRule="exact"/>
        <w:ind w:left="0" w:leftChars="0" w:firstLine="0" w:firstLineChars="0"/>
        <w:jc w:val="center"/>
        <w:textAlignment w:val="auto"/>
        <w:rPr>
          <w:rFonts w:hint="default" w:ascii="Times New Roman" w:hAnsi="Times New Roman"/>
          <w:color w:val="000000"/>
          <w:lang w:val="en-US"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center"/>
        <w:textAlignment w:val="auto"/>
        <w:rPr>
          <w:rFonts w:ascii="Times New Roman" w:hAnsi="Times New Roman" w:eastAsia="方正小标宋_GBK"/>
          <w:color w:val="000000"/>
          <w:sz w:val="44"/>
          <w:szCs w:val="44"/>
        </w:rPr>
      </w:pPr>
      <w:r>
        <w:rPr>
          <w:rFonts w:ascii="Times New Roman" w:hAnsi="Times New Roman" w:eastAsia="方正小标宋_GBK"/>
          <w:color w:val="000000"/>
          <w:sz w:val="44"/>
          <w:szCs w:val="44"/>
        </w:rPr>
        <w:t>重庆市水利局</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center"/>
        <w:textAlignment w:val="auto"/>
        <w:rPr>
          <w:rFonts w:hint="eastAsia" w:eastAsia="方正小标宋_GBK" w:cs="方正小标宋_GBK"/>
          <w:b w:val="0"/>
          <w:color w:val="000000"/>
          <w:sz w:val="44"/>
          <w:szCs w:val="44"/>
          <w:lang w:eastAsia="zh-CN"/>
        </w:rPr>
      </w:pPr>
      <w:r>
        <w:rPr>
          <w:rFonts w:ascii="Times New Roman" w:hAnsi="Times New Roman" w:eastAsia="方正小标宋_GBK"/>
          <w:color w:val="000000"/>
          <w:sz w:val="44"/>
          <w:szCs w:val="44"/>
        </w:rPr>
        <w:t>关于</w:t>
      </w:r>
      <w:r>
        <w:rPr>
          <w:rFonts w:hint="eastAsia" w:eastAsia="方正小标宋_GBK" w:cs="方正小标宋_GBK"/>
          <w:b w:val="0"/>
          <w:color w:val="000000"/>
          <w:sz w:val="44"/>
          <w:szCs w:val="44"/>
          <w:lang w:eastAsia="zh-CN"/>
        </w:rPr>
        <w:t>万州区万一中至驸马片区库岸及消落区</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center"/>
        <w:textAlignment w:val="auto"/>
        <w:rPr>
          <w:rFonts w:hint="eastAsia" w:ascii="Times New Roman" w:hAnsi="Times New Roman" w:eastAsia="方正小标宋_GBK" w:cs="方正小标宋_GBK"/>
          <w:b w:val="0"/>
          <w:color w:val="000000"/>
          <w:sz w:val="44"/>
          <w:szCs w:val="44"/>
          <w:lang w:eastAsia="zh-CN"/>
        </w:rPr>
      </w:pPr>
      <w:r>
        <w:rPr>
          <w:rFonts w:hint="eastAsia" w:eastAsia="方正小标宋_GBK" w:cs="方正小标宋_GBK"/>
          <w:b w:val="0"/>
          <w:color w:val="000000"/>
          <w:sz w:val="44"/>
          <w:szCs w:val="44"/>
          <w:lang w:eastAsia="zh-CN"/>
        </w:rPr>
        <w:t>综合整治工程（北滨大道延伸段道路工程）</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center"/>
        <w:textAlignment w:val="auto"/>
        <w:rPr>
          <w:rFonts w:ascii="Times New Roman" w:hAnsi="Times New Roman" w:eastAsia="方正小标宋_GBK"/>
          <w:color w:val="000000"/>
          <w:sz w:val="44"/>
          <w:szCs w:val="44"/>
        </w:rPr>
      </w:pPr>
      <w:r>
        <w:rPr>
          <w:rFonts w:hint="eastAsia" w:ascii="Times New Roman" w:hAnsi="Times New Roman" w:eastAsia="方正小标宋_GBK" w:cs="方正小标宋_GBK"/>
          <w:b w:val="0"/>
          <w:color w:val="000000"/>
          <w:sz w:val="44"/>
          <w:szCs w:val="44"/>
          <w:lang w:eastAsia="zh-CN"/>
        </w:rPr>
        <w:t>水土保持方案</w:t>
      </w:r>
      <w:r>
        <w:rPr>
          <w:rFonts w:ascii="Times New Roman" w:hAnsi="Times New Roman" w:eastAsia="方正小标宋_GBK"/>
          <w:color w:val="000000"/>
          <w:sz w:val="44"/>
          <w:szCs w:val="44"/>
        </w:rPr>
        <w:t>准予行政许可的决定</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center"/>
        <w:textAlignment w:val="auto"/>
        <w:rPr>
          <w:rFonts w:ascii="Times New Roman" w:hAnsi="Times New Roman" w:eastAsia="方正小标宋_GBK"/>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both"/>
        <w:textAlignment w:val="auto"/>
        <w:rPr>
          <w:rFonts w:ascii="Times New Roman" w:hAnsi="Times New Roman" w:eastAsia="方正仿宋_GBK"/>
          <w:color w:val="auto"/>
          <w:sz w:val="32"/>
          <w:szCs w:val="32"/>
        </w:rPr>
      </w:pPr>
      <w:r>
        <w:rPr>
          <w:rFonts w:hint="eastAsia" w:eastAsia="方正仿宋_GBK" w:cs="Times New Roman"/>
          <w:b w:val="0"/>
          <w:color w:val="auto"/>
          <w:sz w:val="32"/>
          <w:szCs w:val="32"/>
          <w:lang w:eastAsia="zh-CN"/>
        </w:rPr>
        <w:t>重庆市万州三峡平湖有限公司</w:t>
      </w:r>
      <w:r>
        <w:rPr>
          <w:rFonts w:ascii="Times New Roman" w:hAnsi="Times New Roman" w:eastAsia="方正仿宋_GBK"/>
          <w:color w:val="auto"/>
          <w:sz w:val="32"/>
          <w:szCs w:val="32"/>
        </w:rPr>
        <w:t>：</w:t>
      </w:r>
    </w:p>
    <w:p>
      <w:pPr>
        <w:keepNext w:val="0"/>
        <w:keepLines w:val="0"/>
        <w:pageBreakBefore w:val="0"/>
        <w:widowControl w:val="0"/>
        <w:kinsoku/>
        <w:wordWrap/>
        <w:overflowPunct/>
        <w:topLinePunct w:val="0"/>
        <w:autoSpaceDE/>
        <w:autoSpaceDN/>
        <w:bidi w:val="0"/>
        <w:snapToGrid w:val="0"/>
        <w:spacing w:line="594"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你</w:t>
      </w:r>
      <w:r>
        <w:rPr>
          <w:rFonts w:hint="eastAsia" w:eastAsia="方正仿宋_GBK" w:cs="Times New Roman"/>
          <w:color w:val="auto"/>
          <w:sz w:val="32"/>
          <w:szCs w:val="32"/>
          <w:lang w:eastAsia="zh-CN"/>
        </w:rPr>
        <w:t>司</w:t>
      </w:r>
      <w:r>
        <w:rPr>
          <w:rFonts w:hint="default" w:ascii="Times New Roman" w:hAnsi="Times New Roman" w:eastAsia="方正仿宋_GBK" w:cs="Times New Roman"/>
          <w:color w:val="auto"/>
          <w:sz w:val="32"/>
          <w:szCs w:val="32"/>
        </w:rPr>
        <w:t>提交的</w:t>
      </w:r>
      <w:r>
        <w:rPr>
          <w:rFonts w:hint="eastAsia" w:ascii="Times New Roman" w:hAnsi="Times New Roman" w:eastAsia="方正仿宋_GBK" w:cs="Times New Roman"/>
          <w:color w:val="auto"/>
          <w:sz w:val="32"/>
          <w:szCs w:val="32"/>
          <w:lang w:eastAsia="zh-CN"/>
        </w:rPr>
        <w:t>万州区万一中至驸马片区库岸及消落区综合整治工程（北滨大道延伸段道路工程）</w:t>
      </w:r>
      <w:r>
        <w:rPr>
          <w:rFonts w:hint="eastAsia" w:ascii="Times New Roman" w:hAnsi="Times New Roman" w:eastAsia="方正仿宋_GBK" w:cs="Times New Roman"/>
          <w:color w:val="auto"/>
          <w:sz w:val="32"/>
          <w:szCs w:val="32"/>
        </w:rPr>
        <w:t>水土保持方案</w:t>
      </w:r>
      <w:r>
        <w:rPr>
          <w:rFonts w:hint="default" w:ascii="Times New Roman" w:hAnsi="Times New Roman" w:eastAsia="方正仿宋_GBK" w:cs="Times New Roman"/>
          <w:color w:val="auto"/>
          <w:sz w:val="32"/>
          <w:szCs w:val="32"/>
        </w:rPr>
        <w:t>审批申请（项目代码：</w:t>
      </w:r>
      <w:r>
        <w:rPr>
          <w:rFonts w:hint="eastAsia" w:ascii="Times New Roman" w:hAnsi="Times New Roman" w:eastAsia="方正仿宋_GBK" w:cs="Times New Roman"/>
          <w:color w:val="auto"/>
          <w:sz w:val="32"/>
          <w:szCs w:val="32"/>
          <w:lang w:val="en-US" w:eastAsia="zh-CN"/>
        </w:rPr>
        <w:t>2017-500101-48-01-006973</w:t>
      </w:r>
      <w:r>
        <w:rPr>
          <w:rFonts w:hint="default" w:ascii="Times New Roman" w:hAnsi="Times New Roman" w:eastAsia="方正仿宋_GBK" w:cs="Times New Roman"/>
          <w:color w:val="auto"/>
          <w:sz w:val="32"/>
          <w:szCs w:val="32"/>
        </w:rPr>
        <w:t>）和《</w:t>
      </w:r>
      <w:r>
        <w:rPr>
          <w:rFonts w:hint="eastAsia" w:ascii="Times New Roman" w:hAnsi="Times New Roman" w:eastAsia="方正仿宋_GBK" w:cs="Times New Roman"/>
          <w:color w:val="auto"/>
          <w:sz w:val="32"/>
          <w:szCs w:val="32"/>
          <w:lang w:eastAsia="zh-CN"/>
        </w:rPr>
        <w:t>万州区万一中至驸马片区库岸及消落区综合整治工程（北滨大道延伸段道路工程）</w:t>
      </w:r>
      <w:r>
        <w:rPr>
          <w:rFonts w:hint="eastAsia" w:ascii="Times New Roman" w:hAnsi="Times New Roman" w:eastAsia="方正仿宋_GBK" w:cs="Times New Roman"/>
          <w:color w:val="auto"/>
          <w:sz w:val="32"/>
          <w:szCs w:val="32"/>
        </w:rPr>
        <w:t>水土保持方案</w:t>
      </w:r>
      <w:r>
        <w:rPr>
          <w:rFonts w:hint="default" w:ascii="Times New Roman" w:hAnsi="Times New Roman" w:eastAsia="方正仿宋_GBK" w:cs="Times New Roman"/>
          <w:color w:val="auto"/>
          <w:sz w:val="32"/>
          <w:szCs w:val="32"/>
        </w:rPr>
        <w:t>报告书》收悉。经审查，该申请符合法定条件，根据《中华人民共和国行政许可法》第三十八条</w:t>
      </w:r>
      <w:r>
        <w:rPr>
          <w:rFonts w:hint="default" w:ascii="Times New Roman" w:hAnsi="Times New Roman" w:eastAsia="方正仿宋_GBK" w:cs="Times New Roman"/>
          <w:color w:val="auto"/>
          <w:sz w:val="32"/>
          <w:szCs w:val="32"/>
          <w:lang w:eastAsia="zh-CN"/>
        </w:rPr>
        <w:t>第一款、</w:t>
      </w:r>
      <w:r>
        <w:rPr>
          <w:rFonts w:hint="default" w:ascii="Times New Roman" w:hAnsi="Times New Roman" w:eastAsia="方正仿宋_GBK" w:cs="Times New Roman"/>
          <w:color w:val="auto"/>
          <w:sz w:val="32"/>
          <w:szCs w:val="32"/>
        </w:rPr>
        <w:t>《水行政许可实施办法》第三十二条第一项规定，决定准予行政许可。</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ascii="Times New Roman" w:hAnsi="Times New Roman" w:eastAsia="方正黑体_GBK"/>
          <w:color w:val="auto"/>
          <w:sz w:val="32"/>
          <w:szCs w:val="32"/>
        </w:rPr>
      </w:pPr>
      <w:r>
        <w:rPr>
          <w:rFonts w:hint="eastAsia" w:ascii="Times New Roman" w:hAnsi="Times New Roman" w:eastAsia="方正黑体_GBK"/>
          <w:color w:val="auto"/>
          <w:sz w:val="32"/>
          <w:szCs w:val="32"/>
        </w:rPr>
        <w:t>一</w:t>
      </w:r>
      <w:r>
        <w:rPr>
          <w:rFonts w:ascii="Times New Roman" w:hAnsi="Times New Roman" w:eastAsia="方正黑体_GBK"/>
          <w:color w:val="auto"/>
          <w:sz w:val="32"/>
          <w:szCs w:val="32"/>
        </w:rPr>
        <w:t>、水土保持方案总体意见</w:t>
      </w:r>
    </w:p>
    <w:p>
      <w:pPr>
        <w:keepNext w:val="0"/>
        <w:keepLines w:val="0"/>
        <w:pageBreakBefore w:val="0"/>
        <w:widowControl w:val="0"/>
        <w:kinsoku/>
        <w:wordWrap/>
        <w:overflowPunct/>
        <w:topLinePunct w:val="0"/>
        <w:autoSpaceDE/>
        <w:autoSpaceDN/>
        <w:bidi w:val="0"/>
        <w:snapToGrid w:val="0"/>
        <w:spacing w:line="594" w:lineRule="exact"/>
        <w:ind w:left="0" w:leftChars="0"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（一）</w:t>
      </w:r>
      <w:r>
        <w:rPr>
          <w:rFonts w:hint="eastAsia" w:ascii="Times New Roman" w:hAnsi="Times New Roman" w:eastAsia="方正仿宋_GBK" w:cs="Times New Roman"/>
          <w:color w:val="auto"/>
          <w:sz w:val="32"/>
          <w:szCs w:val="32"/>
        </w:rPr>
        <w:t>方案编制所依据的法律法规、</w:t>
      </w:r>
      <w:r>
        <w:rPr>
          <w:rFonts w:hint="eastAsia" w:ascii="Times New Roman" w:hAnsi="Times New Roman" w:eastAsia="方正仿宋_GBK" w:cs="Times New Roman"/>
          <w:color w:val="auto"/>
          <w:sz w:val="32"/>
          <w:szCs w:val="32"/>
          <w:lang w:eastAsia="zh-CN"/>
        </w:rPr>
        <w:t>部委规章、规范性文件、</w:t>
      </w:r>
      <w:r>
        <w:rPr>
          <w:rFonts w:hint="eastAsia" w:ascii="Times New Roman" w:hAnsi="Times New Roman" w:eastAsia="方正仿宋_GBK" w:cs="Times New Roman"/>
          <w:color w:val="auto"/>
          <w:sz w:val="32"/>
          <w:szCs w:val="32"/>
        </w:rPr>
        <w:t>标准规范、技术文件及</w:t>
      </w:r>
      <w:r>
        <w:rPr>
          <w:rFonts w:hint="eastAsia" w:ascii="Times New Roman" w:hAnsi="Times New Roman" w:eastAsia="方正仿宋_GBK" w:cs="Times New Roman"/>
          <w:color w:val="auto"/>
          <w:sz w:val="32"/>
          <w:szCs w:val="32"/>
          <w:lang w:val="en-US" w:eastAsia="zh-CN"/>
        </w:rPr>
        <w:t>采用的</w:t>
      </w:r>
      <w:r>
        <w:rPr>
          <w:rFonts w:hint="eastAsia" w:ascii="Times New Roman" w:hAnsi="Times New Roman" w:eastAsia="方正仿宋_GBK" w:cs="Times New Roman"/>
          <w:color w:val="auto"/>
          <w:sz w:val="32"/>
          <w:szCs w:val="32"/>
        </w:rPr>
        <w:t>资料基本正确。</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ascii="Times New Roman" w:hAnsi="Times New Roman" w:eastAsia="方正仿宋_GBK"/>
          <w:bCs/>
          <w:color w:val="auto"/>
          <w:sz w:val="32"/>
          <w:szCs w:val="32"/>
        </w:rPr>
      </w:pPr>
      <w:r>
        <w:rPr>
          <w:rFonts w:hint="default" w:ascii="Times New Roman" w:hAnsi="Times New Roman" w:eastAsia="方正仿宋_GBK" w:cs="Times New Roman"/>
          <w:bCs/>
          <w:color w:val="auto"/>
          <w:sz w:val="32"/>
          <w:szCs w:val="32"/>
        </w:rPr>
        <w:t>（二）同意方案设计水平年为</w:t>
      </w:r>
      <w:r>
        <w:rPr>
          <w:rFonts w:hint="eastAsia" w:ascii="Times New Roman" w:hAnsi="Times New Roman" w:eastAsia="方正仿宋_GBK" w:cs="Times New Roman"/>
          <w:bCs/>
          <w:color w:val="auto"/>
          <w:sz w:val="32"/>
          <w:szCs w:val="32"/>
          <w:lang w:val="en-US" w:eastAsia="zh-CN"/>
        </w:rPr>
        <w:t>202</w:t>
      </w:r>
      <w:r>
        <w:rPr>
          <w:rFonts w:hint="eastAsia" w:eastAsia="方正仿宋_GBK" w:cs="Times New Roman"/>
          <w:bCs/>
          <w:color w:val="auto"/>
          <w:sz w:val="32"/>
          <w:szCs w:val="32"/>
          <w:lang w:val="en-US" w:eastAsia="zh-CN"/>
        </w:rPr>
        <w:t>6</w:t>
      </w:r>
      <w:r>
        <w:rPr>
          <w:rFonts w:hint="default" w:ascii="Times New Roman" w:hAnsi="Times New Roman" w:eastAsia="方正仿宋_GBK" w:cs="Times New Roman"/>
          <w:bCs/>
          <w:color w:val="auto"/>
          <w:sz w:val="32"/>
          <w:szCs w:val="32"/>
        </w:rPr>
        <w:t>年</w:t>
      </w:r>
      <w:r>
        <w:rPr>
          <w:rFonts w:ascii="Times New Roman" w:hAnsi="Times New Roman" w:eastAsia="方正仿宋_GBK"/>
          <w:bCs/>
          <w:color w:val="auto"/>
          <w:sz w:val="32"/>
          <w:szCs w:val="32"/>
        </w:rPr>
        <w:t>。</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eastAsia" w:ascii="Times New Roman" w:hAnsi="Times New Roman" w:eastAsia="方正仿宋_GBK" w:cs="Times New Roman"/>
          <w:color w:val="auto"/>
          <w:sz w:val="32"/>
          <w:szCs w:val="32"/>
          <w:lang w:eastAsia="zh-CN"/>
        </w:rPr>
      </w:pPr>
      <w:r>
        <w:rPr>
          <w:rFonts w:ascii="Times New Roman" w:hAnsi="Times New Roman" w:eastAsia="方正仿宋_GBK"/>
          <w:bCs/>
          <w:color w:val="auto"/>
          <w:sz w:val="32"/>
          <w:szCs w:val="32"/>
        </w:rPr>
        <w:t>（</w:t>
      </w:r>
      <w:r>
        <w:rPr>
          <w:rFonts w:hint="eastAsia" w:ascii="Times New Roman" w:hAnsi="Times New Roman" w:eastAsia="方正仿宋_GBK"/>
          <w:bCs/>
          <w:color w:val="auto"/>
          <w:sz w:val="32"/>
          <w:szCs w:val="32"/>
        </w:rPr>
        <w:t>三</w:t>
      </w:r>
      <w:r>
        <w:rPr>
          <w:rFonts w:ascii="Times New Roman" w:hAnsi="Times New Roman" w:eastAsia="方正仿宋_GBK"/>
          <w:bCs/>
          <w:color w:val="auto"/>
          <w:sz w:val="32"/>
          <w:szCs w:val="32"/>
        </w:rPr>
        <w:t>）</w:t>
      </w:r>
      <w:r>
        <w:rPr>
          <w:rFonts w:hint="default" w:ascii="Times New Roman" w:hAnsi="Times New Roman" w:eastAsia="方正仿宋_GBK" w:cs="Times New Roman"/>
          <w:bCs/>
          <w:color w:val="auto"/>
          <w:sz w:val="32"/>
          <w:szCs w:val="32"/>
        </w:rPr>
        <w:t>同意水土流失防治责任范围界定，项目水土流失防治责任范围为</w:t>
      </w:r>
      <w:r>
        <w:rPr>
          <w:rFonts w:hint="eastAsia" w:eastAsia="方正仿宋_GBK" w:cs="Times New Roman"/>
          <w:bCs/>
          <w:color w:val="auto"/>
          <w:sz w:val="32"/>
          <w:szCs w:val="32"/>
          <w:lang w:val="en-US" w:eastAsia="zh-CN"/>
        </w:rPr>
        <w:t>50.87</w:t>
      </w:r>
      <w:r>
        <w:rPr>
          <w:rFonts w:hint="default" w:ascii="Times New Roman" w:hAnsi="Times New Roman" w:eastAsia="方正仿宋_GBK" w:cs="Times New Roman"/>
          <w:bCs/>
          <w:color w:val="auto"/>
          <w:sz w:val="32"/>
          <w:szCs w:val="32"/>
        </w:rPr>
        <w:t>hm</w:t>
      </w:r>
      <w:r>
        <w:rPr>
          <w:rFonts w:hint="default" w:ascii="Times New Roman" w:hAnsi="Times New Roman" w:eastAsia="方正仿宋_GBK" w:cs="Times New Roman"/>
          <w:bCs/>
          <w:color w:val="auto"/>
          <w:sz w:val="32"/>
          <w:szCs w:val="32"/>
          <w:vertAlign w:val="superscript"/>
        </w:rPr>
        <w:t>2</w:t>
      </w:r>
      <w:r>
        <w:rPr>
          <w:rFonts w:hint="eastAsia"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bCs/>
          <w:color w:val="auto"/>
          <w:sz w:val="32"/>
          <w:szCs w:val="32"/>
        </w:rPr>
      </w:pPr>
      <w:r>
        <w:rPr>
          <w:rFonts w:hint="eastAsia" w:ascii="Times New Roman" w:hAnsi="Times New Roman" w:eastAsia="方正仿宋_GBK"/>
          <w:bCs/>
          <w:color w:val="auto"/>
          <w:sz w:val="32"/>
          <w:szCs w:val="32"/>
        </w:rPr>
        <w:t>（四）</w:t>
      </w:r>
      <w:r>
        <w:rPr>
          <w:rFonts w:hint="eastAsia" w:ascii="Times New Roman" w:hAnsi="Times New Roman" w:eastAsia="方正仿宋_GBK" w:cs="Times New Roman"/>
          <w:b w:val="0"/>
          <w:color w:val="auto"/>
          <w:sz w:val="32"/>
          <w:szCs w:val="32"/>
        </w:rPr>
        <w:t>同意项目水土流失防治标准等级执行西南紫色土区建设类项目一级标准</w:t>
      </w:r>
      <w:r>
        <w:rPr>
          <w:rFonts w:ascii="Times New Roman" w:hAnsi="Times New Roman" w:eastAsia="方正仿宋_GBK" w:cs="Times New Roman"/>
          <w:b w:val="0"/>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bCs/>
          <w:color w:val="auto"/>
          <w:sz w:val="32"/>
          <w:szCs w:val="32"/>
        </w:rPr>
      </w:pPr>
      <w:r>
        <w:rPr>
          <w:rFonts w:hint="eastAsia" w:ascii="Times New Roman" w:hAnsi="Times New Roman" w:eastAsia="方正仿宋_GBK"/>
          <w:bCs/>
          <w:color w:val="auto"/>
          <w:sz w:val="32"/>
          <w:szCs w:val="32"/>
        </w:rPr>
        <w:t>（五）</w:t>
      </w:r>
      <w:r>
        <w:rPr>
          <w:rFonts w:hint="default" w:ascii="Times New Roman" w:hAnsi="Times New Roman" w:eastAsia="方正仿宋_GBK" w:cs="Times New Roman"/>
          <w:color w:val="auto"/>
          <w:sz w:val="32"/>
          <w:szCs w:val="32"/>
        </w:rPr>
        <w:t>同意水土流失防治目标。其中：水土流失治理度97%，土壤流失控制比1.0，渣土防护率94%，表土保护率92%，林草植被恢复率97%，林草覆盖率27%。</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bCs/>
          <w:color w:val="auto"/>
          <w:sz w:val="32"/>
          <w:szCs w:val="32"/>
        </w:rPr>
      </w:pPr>
      <w:r>
        <w:rPr>
          <w:rFonts w:hint="eastAsia" w:ascii="Times New Roman" w:hAnsi="Times New Roman" w:eastAsia="方正仿宋_GBK"/>
          <w:bCs/>
          <w:color w:val="auto"/>
          <w:sz w:val="32"/>
          <w:szCs w:val="32"/>
        </w:rPr>
        <w:t>（六）基本同意水土流失防治分区和分区防治措施体系。</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bCs/>
          <w:color w:val="auto"/>
          <w:sz w:val="32"/>
          <w:szCs w:val="32"/>
        </w:rPr>
      </w:pPr>
      <w:r>
        <w:rPr>
          <w:rFonts w:hint="eastAsia" w:ascii="Times New Roman" w:hAnsi="Times New Roman" w:eastAsia="方正仿宋_GBK"/>
          <w:bCs/>
          <w:color w:val="auto"/>
          <w:sz w:val="32"/>
          <w:szCs w:val="32"/>
        </w:rPr>
        <w:t>（七）基本同意水土保持方案实施进度安排。</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color w:val="auto"/>
          <w:sz w:val="32"/>
          <w:szCs w:val="32"/>
        </w:rPr>
      </w:pPr>
      <w:r>
        <w:rPr>
          <w:rFonts w:hint="eastAsia" w:ascii="Times New Roman" w:hAnsi="Times New Roman" w:eastAsia="方正仿宋_GBK"/>
          <w:bCs/>
          <w:color w:val="auto"/>
          <w:sz w:val="32"/>
          <w:szCs w:val="32"/>
        </w:rPr>
        <w:t>（八）基本同意水土保持监测时段、内容和方法</w:t>
      </w:r>
      <w:r>
        <w:rPr>
          <w:rFonts w:ascii="Times New Roman" w:hAnsi="Times New Roman" w:eastAsia="方正仿宋_GBK"/>
          <w:bCs/>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ascii="Times New Roman" w:hAnsi="Times New Roman" w:eastAsia="方正黑体_GBK"/>
          <w:color w:val="auto"/>
          <w:sz w:val="32"/>
          <w:szCs w:val="32"/>
        </w:rPr>
      </w:pPr>
      <w:r>
        <w:rPr>
          <w:rFonts w:hint="eastAsia" w:ascii="Times New Roman" w:hAnsi="Times New Roman" w:eastAsia="方正黑体_GBK"/>
          <w:color w:val="auto"/>
          <w:sz w:val="32"/>
          <w:szCs w:val="32"/>
        </w:rPr>
        <w:t>二</w:t>
      </w:r>
      <w:r>
        <w:rPr>
          <w:rFonts w:ascii="Times New Roman" w:hAnsi="Times New Roman" w:eastAsia="方正黑体_GBK"/>
          <w:color w:val="auto"/>
          <w:sz w:val="32"/>
          <w:szCs w:val="32"/>
        </w:rPr>
        <w:t>、水土保持方案投资</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bCs/>
          <w:color w:val="auto"/>
          <w:sz w:val="32"/>
          <w:szCs w:val="32"/>
          <w:lang w:eastAsia="zh-CN" w:bidi="ar"/>
        </w:rPr>
      </w:pPr>
      <w:r>
        <w:rPr>
          <w:rFonts w:hint="eastAsia" w:ascii="Times New Roman" w:hAnsi="Times New Roman" w:eastAsia="方正仿宋_GBK"/>
          <w:bCs/>
          <w:color w:val="auto"/>
          <w:sz w:val="32"/>
          <w:szCs w:val="32"/>
          <w:lang w:bidi="ar"/>
        </w:rPr>
        <w:t>水土保持方案工程静态总投资5613.57万元，其中：主体已列5171.73万元，方案新增441.84万元（其中：工程措施95.05万元，植物措施0.92万元，监测措施47.55万元，施工临时措施154.11万元，独立费用64.20万元，基本预备费17.86万元，水土保持补偿费62.150万元）</w:t>
      </w:r>
      <w:r>
        <w:rPr>
          <w:rFonts w:hint="eastAsia" w:ascii="Times New Roman" w:hAnsi="Times New Roman" w:eastAsia="方正仿宋_GBK"/>
          <w:bCs/>
          <w:color w:val="auto"/>
          <w:sz w:val="32"/>
          <w:szCs w:val="32"/>
          <w:lang w:eastAsia="zh-CN" w:bidi="ar"/>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ascii="Times New Roman" w:hAnsi="Times New Roman" w:eastAsia="方正黑体_GBK"/>
          <w:color w:val="auto"/>
          <w:sz w:val="32"/>
          <w:szCs w:val="32"/>
        </w:rPr>
      </w:pPr>
      <w:r>
        <w:rPr>
          <w:rFonts w:hint="eastAsia" w:ascii="Times New Roman" w:hAnsi="Times New Roman" w:eastAsia="方正黑体_GBK"/>
          <w:color w:val="auto"/>
          <w:sz w:val="32"/>
          <w:szCs w:val="32"/>
        </w:rPr>
        <w:t>三</w:t>
      </w:r>
      <w:r>
        <w:rPr>
          <w:rFonts w:ascii="Times New Roman" w:hAnsi="Times New Roman" w:eastAsia="方正黑体_GBK"/>
          <w:color w:val="auto"/>
          <w:sz w:val="32"/>
          <w:szCs w:val="32"/>
        </w:rPr>
        <w:t>、工作要求</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firstLine="640" w:firstLineChars="200"/>
        <w:jc w:val="both"/>
        <w:textAlignment w:val="auto"/>
        <w:rPr>
          <w:rFonts w:hint="default" w:ascii="Times New Roman" w:hAnsi="Times New Roman" w:eastAsia="方正仿宋_GBK" w:cs="Times New Roman"/>
          <w:b w:val="0"/>
          <w:color w:val="auto"/>
          <w:spacing w:val="0"/>
          <w:w w:val="100"/>
          <w:sz w:val="32"/>
          <w:szCs w:val="32"/>
        </w:rPr>
      </w:pPr>
      <w:r>
        <w:rPr>
          <w:rFonts w:hint="default" w:ascii="Times New Roman" w:hAnsi="Times New Roman" w:eastAsia="方正仿宋_GBK" w:cs="Times New Roman"/>
          <w:color w:val="auto"/>
          <w:sz w:val="32"/>
          <w:szCs w:val="32"/>
        </w:rPr>
        <w:t>（一）</w:t>
      </w:r>
      <w:r>
        <w:rPr>
          <w:rFonts w:hint="default" w:ascii="Times New Roman" w:hAnsi="Times New Roman" w:eastAsia="方正仿宋_GBK" w:cs="Times New Roman"/>
          <w:b w:val="0"/>
          <w:color w:val="auto"/>
          <w:spacing w:val="0"/>
          <w:w w:val="100"/>
          <w:sz w:val="32"/>
          <w:szCs w:val="32"/>
        </w:rPr>
        <w:t>建设单位应加强组织管理，根据水土保持方案要求，完善各项水土保持措施并落实管护责任，确保其正常运行，发挥水土保持功能。</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w:t>
      </w:r>
      <w:r>
        <w:rPr>
          <w:rFonts w:hint="eastAsia" w:eastAsia="方正仿宋_GBK" w:cs="Times New Roman"/>
          <w:color w:val="auto"/>
          <w:sz w:val="32"/>
          <w:szCs w:val="32"/>
          <w:lang w:eastAsia="zh-CN"/>
        </w:rPr>
        <w:t>二</w:t>
      </w:r>
      <w:r>
        <w:rPr>
          <w:rFonts w:hint="default" w:ascii="Times New Roman" w:hAnsi="Times New Roman" w:eastAsia="方正仿宋_GBK" w:cs="Times New Roman"/>
          <w:color w:val="auto"/>
          <w:sz w:val="32"/>
          <w:szCs w:val="32"/>
        </w:rPr>
        <w:t>）依法做好水土保持监测工作，加强水土流失动态监控。在工程建设期间应将水土保持监测季报按规定在网站公开，同时在业主项目部和施工项目部公开，并按规定向我局、所在区县水行政主管部门按时报送监测季报和总结报告。</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w:t>
      </w:r>
      <w:r>
        <w:rPr>
          <w:rFonts w:hint="eastAsia"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）按照水土保持监理标准和规范开展水土保持工程施工监理，确保水土保持工程建设质量和进度。</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eastAsia" w:eastAsia="方正仿宋_GBK" w:cs="Times New Roman"/>
          <w:color w:val="auto"/>
          <w:sz w:val="32"/>
          <w:szCs w:val="32"/>
          <w:lang w:eastAsia="zh-CN"/>
        </w:rPr>
        <w:t>（四）</w:t>
      </w:r>
      <w:r>
        <w:rPr>
          <w:rFonts w:hint="default" w:ascii="Times New Roman" w:hAnsi="Times New Roman" w:eastAsia="方正仿宋_GBK" w:cs="Times New Roman"/>
          <w:color w:val="auto"/>
          <w:sz w:val="32"/>
          <w:szCs w:val="32"/>
        </w:rPr>
        <w:t>及时向主管税务部门足额缴纳水土保持补偿费。</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w:t>
      </w:r>
      <w:r>
        <w:rPr>
          <w:rFonts w:hint="eastAsia" w:eastAsia="方正仿宋_GBK" w:cs="Times New Roman"/>
          <w:color w:val="auto"/>
          <w:sz w:val="32"/>
          <w:szCs w:val="32"/>
          <w:lang w:eastAsia="zh-CN"/>
        </w:rPr>
        <w:t>五</w:t>
      </w:r>
      <w:r>
        <w:rPr>
          <w:rFonts w:hint="default" w:ascii="Times New Roman" w:hAnsi="Times New Roman" w:eastAsia="方正仿宋_GBK" w:cs="Times New Roman"/>
          <w:color w:val="auto"/>
          <w:sz w:val="32"/>
          <w:szCs w:val="32"/>
        </w:rPr>
        <w:t>）工程完工后、项目投产使用前应及时组织开展水土保持设施自主验收，并在水土保持设施自主验收通过3个月内，向我局报备验收材料（包括水土保持设施验收鉴定书、水土保持设施验收报告和水土保持监测总结报告等）。</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eastAsia" w:ascii="Times New Roman" w:hAnsi="Times New Roman" w:eastAsia="方正仿宋_GBK"/>
          <w:snapToGrid w:val="0"/>
          <w:color w:val="auto"/>
          <w:kern w:val="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ind w:left="1918" w:leftChars="228" w:hanging="1280" w:hangingChars="4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附件：1．</w:t>
      </w:r>
      <w:r>
        <w:rPr>
          <w:rFonts w:hint="eastAsia" w:ascii="Times New Roman" w:hAnsi="Times New Roman" w:eastAsia="方正仿宋_GBK" w:cs="Times New Roman"/>
          <w:color w:val="auto"/>
          <w:sz w:val="32"/>
          <w:szCs w:val="32"/>
          <w:lang w:eastAsia="zh-CN"/>
        </w:rPr>
        <w:t>万州区万一中至驸马片区库岸及消落区综合整治工程（北滨大道延伸段道路工程）</w:t>
      </w:r>
      <w:r>
        <w:rPr>
          <w:rFonts w:hint="eastAsia" w:ascii="Times New Roman" w:hAnsi="Times New Roman" w:eastAsia="方正仿宋_GBK" w:cs="Times New Roman"/>
          <w:color w:val="auto"/>
          <w:sz w:val="32"/>
          <w:szCs w:val="32"/>
        </w:rPr>
        <w:t>水土保持方案特性表</w:t>
      </w:r>
    </w:p>
    <w:p>
      <w:pPr>
        <w:keepNext w:val="0"/>
        <w:keepLines w:val="0"/>
        <w:pageBreakBefore w:val="0"/>
        <w:widowControl w:val="0"/>
        <w:kinsoku/>
        <w:wordWrap/>
        <w:overflowPunct/>
        <w:topLinePunct w:val="0"/>
        <w:autoSpaceDE/>
        <w:autoSpaceDN/>
        <w:bidi w:val="0"/>
        <w:adjustRightInd/>
        <w:snapToGrid w:val="0"/>
        <w:spacing w:line="594" w:lineRule="exact"/>
        <w:ind w:left="1916" w:leftChars="570" w:hanging="320" w:hangingChars="1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2．</w:t>
      </w:r>
      <w:r>
        <w:rPr>
          <w:rFonts w:hint="eastAsia" w:ascii="Times New Roman" w:hAnsi="Times New Roman" w:eastAsia="方正仿宋_GBK" w:cs="Times New Roman"/>
          <w:color w:val="auto"/>
          <w:sz w:val="32"/>
          <w:szCs w:val="32"/>
          <w:lang w:eastAsia="zh-CN"/>
        </w:rPr>
        <w:t>万州区万一中至驸马片区库岸及消落区综合整治工程（北滨大道延伸段道路工程）</w:t>
      </w:r>
      <w:r>
        <w:rPr>
          <w:rFonts w:hint="eastAsia" w:ascii="Times New Roman" w:hAnsi="Times New Roman" w:eastAsia="方正仿宋_GBK" w:cs="Times New Roman"/>
          <w:color w:val="auto"/>
          <w:sz w:val="32"/>
          <w:szCs w:val="32"/>
        </w:rPr>
        <w:t>水土保持方案报告书专家评审意见</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firstLine="0" w:firstLineChars="0"/>
        <w:jc w:val="both"/>
        <w:textAlignment w:val="auto"/>
        <w:rPr>
          <w:rFonts w:hint="eastAsia" w:ascii="Times New Roman" w:hAnsi="Times New Roman" w:eastAsia="方正仿宋_GBK"/>
          <w:snapToGrid w:val="0"/>
          <w:color w:val="auto"/>
          <w:kern w:val="0"/>
          <w:sz w:val="32"/>
          <w:szCs w:val="32"/>
        </w:rPr>
      </w:pPr>
    </w:p>
    <w:p>
      <w:pPr>
        <w:keepNext w:val="0"/>
        <w:keepLines w:val="0"/>
        <w:pageBreakBefore w:val="0"/>
        <w:widowControl w:val="0"/>
        <w:kinsoku/>
        <w:wordWrap/>
        <w:overflowPunct/>
        <w:topLinePunct w:val="0"/>
        <w:autoSpaceDE/>
        <w:autoSpaceDN/>
        <w:bidi w:val="0"/>
        <w:snapToGrid w:val="0"/>
        <w:spacing w:line="594" w:lineRule="exact"/>
        <w:ind w:left="0" w:leftChars="0" w:right="0" w:firstLine="5760" w:firstLineChars="1800"/>
        <w:jc w:val="both"/>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重庆市水利局</w:t>
      </w:r>
    </w:p>
    <w:p>
      <w:pPr>
        <w:keepNext w:val="0"/>
        <w:keepLines w:val="0"/>
        <w:pageBreakBefore w:val="0"/>
        <w:widowControl w:val="0"/>
        <w:kinsoku/>
        <w:wordWrap/>
        <w:overflowPunct/>
        <w:topLinePunct w:val="0"/>
        <w:autoSpaceDE/>
        <w:autoSpaceDN/>
        <w:bidi w:val="0"/>
        <w:adjustRightInd/>
        <w:snapToGrid w:val="0"/>
        <w:spacing w:line="594" w:lineRule="exact"/>
        <w:ind w:right="0" w:firstLine="5760" w:firstLineChars="1800"/>
        <w:jc w:val="both"/>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202</w:t>
      </w:r>
      <w:r>
        <w:rPr>
          <w:rFonts w:hint="eastAsia" w:eastAsia="方正仿宋_GBK"/>
          <w:color w:val="auto"/>
          <w:sz w:val="32"/>
          <w:szCs w:val="32"/>
          <w:lang w:val="en-US" w:eastAsia="zh-CN"/>
        </w:rPr>
        <w:t>4</w:t>
      </w:r>
      <w:r>
        <w:rPr>
          <w:rFonts w:ascii="Times New Roman" w:hAnsi="Times New Roman" w:eastAsia="方正仿宋_GBK"/>
          <w:color w:val="auto"/>
          <w:sz w:val="32"/>
          <w:szCs w:val="32"/>
        </w:rPr>
        <w:t>年</w:t>
      </w:r>
      <w:r>
        <w:rPr>
          <w:rFonts w:hint="eastAsia" w:eastAsia="方正仿宋_GBK"/>
          <w:color w:val="auto"/>
          <w:sz w:val="32"/>
          <w:szCs w:val="32"/>
          <w:lang w:val="en-US" w:eastAsia="zh-CN"/>
        </w:rPr>
        <w:t>3</w:t>
      </w:r>
      <w:r>
        <w:rPr>
          <w:rFonts w:ascii="Times New Roman" w:hAnsi="Times New Roman" w:eastAsia="方正仿宋_GBK"/>
          <w:color w:val="auto"/>
          <w:sz w:val="32"/>
          <w:szCs w:val="32"/>
        </w:rPr>
        <w:t>月</w:t>
      </w:r>
      <w:r>
        <w:rPr>
          <w:rFonts w:hint="eastAsia" w:eastAsia="方正仿宋_GBK"/>
          <w:color w:val="auto"/>
          <w:sz w:val="32"/>
          <w:szCs w:val="32"/>
          <w:lang w:val="en-US" w:eastAsia="zh-CN"/>
        </w:rPr>
        <w:t>11</w:t>
      </w:r>
      <w:r>
        <w:rPr>
          <w:rFonts w:ascii="Times New Roman" w:hAnsi="Times New Roman" w:eastAsia="方正仿宋_GBK"/>
          <w:color w:val="auto"/>
          <w:sz w:val="32"/>
          <w:szCs w:val="32"/>
        </w:rPr>
        <w:t>日</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ascii="Times New Roman" w:hAnsi="Times New Roman" w:eastAsia="方正仿宋_GBK"/>
          <w:snapToGrid w:val="0"/>
          <w:color w:val="auto"/>
          <w:kern w:val="0"/>
          <w:sz w:val="32"/>
          <w:szCs w:val="32"/>
        </w:rPr>
      </w:pP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ascii="Times New Roman" w:hAnsi="Times New Roman" w:eastAsia="方正仿宋_GBK"/>
          <w:snapToGrid w:val="0"/>
          <w:color w:val="auto"/>
          <w:kern w:val="0"/>
          <w:sz w:val="32"/>
          <w:szCs w:val="32"/>
        </w:rPr>
      </w:pPr>
      <w:r>
        <w:rPr>
          <w:rFonts w:ascii="Times New Roman" w:hAnsi="Times New Roman" w:eastAsia="方正仿宋_GBK"/>
          <w:snapToGrid w:val="0"/>
          <w:color w:val="auto"/>
          <w:kern w:val="0"/>
          <w:sz w:val="32"/>
          <w:szCs w:val="32"/>
        </w:rPr>
        <w:t>（此件</w:t>
      </w:r>
      <w:r>
        <w:rPr>
          <w:rFonts w:hint="eastAsia" w:ascii="Times New Roman" w:hAnsi="Times New Roman" w:eastAsia="方正仿宋_GBK"/>
          <w:snapToGrid w:val="0"/>
          <w:color w:val="auto"/>
          <w:kern w:val="0"/>
          <w:sz w:val="32"/>
          <w:szCs w:val="32"/>
          <w:lang w:eastAsia="zh-CN"/>
        </w:rPr>
        <w:t>主动</w:t>
      </w:r>
      <w:r>
        <w:rPr>
          <w:rFonts w:ascii="Times New Roman" w:hAnsi="Times New Roman" w:eastAsia="方正仿宋_GBK"/>
          <w:snapToGrid w:val="0"/>
          <w:color w:val="auto"/>
          <w:kern w:val="0"/>
          <w:sz w:val="32"/>
          <w:szCs w:val="32"/>
        </w:rPr>
        <w:t>公开发布）</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cs="方正仿宋"/>
          <w:b w:val="0"/>
          <w:bCs/>
          <w:color w:val="auto"/>
          <w:sz w:val="32"/>
          <w:szCs w:val="36"/>
        </w:rPr>
      </w:pPr>
      <w:r>
        <w:rPr>
          <w:rFonts w:ascii="Times New Roman" w:hAnsi="Times New Roman" w:eastAsia="方正仿宋_GBK"/>
          <w:snapToGrid w:val="0"/>
          <w:color w:val="auto"/>
          <w:kern w:val="0"/>
          <w:sz w:val="32"/>
          <w:szCs w:val="32"/>
        </w:rPr>
        <w:t>（联系人：</w:t>
      </w:r>
      <w:r>
        <w:rPr>
          <w:rFonts w:hint="eastAsia" w:ascii="Times New Roman" w:hAnsi="Times New Roman" w:eastAsia="方正仿宋_GBK"/>
          <w:snapToGrid w:val="0"/>
          <w:color w:val="auto"/>
          <w:kern w:val="0"/>
          <w:sz w:val="32"/>
          <w:szCs w:val="32"/>
          <w:lang w:eastAsia="zh-CN"/>
        </w:rPr>
        <w:t>张春才</w:t>
      </w:r>
      <w:r>
        <w:rPr>
          <w:rFonts w:ascii="Times New Roman" w:hAnsi="Times New Roman" w:eastAsia="方正仿宋_GBK"/>
          <w:snapToGrid w:val="0"/>
          <w:color w:val="auto"/>
          <w:kern w:val="0"/>
          <w:sz w:val="32"/>
          <w:szCs w:val="32"/>
        </w:rPr>
        <w:t>；联系电话：023</w:t>
      </w:r>
      <w:r>
        <w:rPr>
          <w:rFonts w:hint="eastAsia" w:ascii="Times New Roman" w:hAnsi="Times New Roman" w:eastAsia="方正仿宋_GBK"/>
          <w:snapToGrid w:val="0"/>
          <w:color w:val="auto"/>
          <w:kern w:val="0"/>
          <w:sz w:val="32"/>
          <w:szCs w:val="32"/>
          <w:lang w:eastAsia="zh-CN"/>
        </w:rPr>
        <w:t>—</w:t>
      </w:r>
      <w:r>
        <w:rPr>
          <w:rFonts w:hint="eastAsia" w:ascii="Times New Roman" w:hAnsi="Times New Roman" w:eastAsia="方正仿宋_GBK"/>
          <w:snapToGrid w:val="0"/>
          <w:color w:val="auto"/>
          <w:kern w:val="0"/>
          <w:sz w:val="32"/>
          <w:szCs w:val="32"/>
          <w:lang w:val="en-US" w:eastAsia="zh-CN"/>
        </w:rPr>
        <w:t>88707091</w:t>
      </w:r>
      <w:r>
        <w:rPr>
          <w:rFonts w:ascii="Times New Roman" w:hAnsi="Times New Roman" w:eastAsia="方正仿宋_GBK"/>
          <w:snapToGrid w:val="0"/>
          <w:color w:val="auto"/>
          <w:kern w:val="0"/>
          <w:sz w:val="32"/>
          <w:szCs w:val="32"/>
        </w:rPr>
        <w:t>）</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firstLine="0" w:firstLineChars="0"/>
        <w:jc w:val="both"/>
        <w:textAlignment w:val="auto"/>
        <w:rPr>
          <w:rFonts w:hint="eastAsia" w:ascii="Times New Roman" w:hAnsi="Times New Roman" w:eastAsia="方正黑体_GBK"/>
          <w:b w:val="0"/>
          <w:color w:val="auto"/>
          <w:sz w:val="32"/>
          <w:szCs w:val="32"/>
          <w:lang w:val="en-US" w:eastAsia="zh-CN"/>
        </w:rPr>
      </w:pPr>
      <w:r>
        <w:rPr>
          <w:rFonts w:hint="eastAsia" w:ascii="Times New Roman" w:hAnsi="Times New Roman" w:eastAsia="方正仿宋_GBK" w:cs="方正仿宋"/>
          <w:b w:val="0"/>
          <w:color w:val="auto"/>
          <w:sz w:val="32"/>
          <w:szCs w:val="36"/>
        </w:rPr>
        <w:br w:type="page"/>
      </w:r>
      <w:r>
        <w:rPr>
          <w:rFonts w:hint="eastAsia" w:ascii="Times New Roman" w:hAnsi="Times New Roman" w:eastAsia="方正黑体_GBK" w:cs="方正黑体_GBK"/>
          <w:b w:val="0"/>
          <w:color w:val="auto"/>
          <w:sz w:val="32"/>
          <w:szCs w:val="32"/>
        </w:rPr>
        <w:t>附件</w:t>
      </w:r>
      <w:r>
        <w:rPr>
          <w:rFonts w:hint="eastAsia" w:ascii="Times New Roman" w:hAnsi="Times New Roman" w:eastAsia="方正黑体_GBK" w:cs="方正黑体_GBK"/>
          <w:b w:val="0"/>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0" w:firstLineChars="0"/>
        <w:jc w:val="center"/>
        <w:textAlignment w:val="auto"/>
        <w:rPr>
          <w:rFonts w:hint="eastAsia" w:eastAsia="方正小标宋_GBK" w:cs="方正小标宋_GBK"/>
          <w:bCs/>
          <w:color w:val="auto"/>
          <w:spacing w:val="0"/>
          <w:w w:val="100"/>
          <w:sz w:val="36"/>
          <w:szCs w:val="36"/>
          <w:lang w:eastAsia="zh-CN"/>
        </w:rPr>
      </w:pPr>
      <w:r>
        <w:rPr>
          <w:rFonts w:hint="eastAsia" w:eastAsia="方正小标宋_GBK" w:cs="方正小标宋_GBK"/>
          <w:bCs/>
          <w:color w:val="auto"/>
          <w:spacing w:val="0"/>
          <w:w w:val="100"/>
          <w:sz w:val="36"/>
          <w:szCs w:val="36"/>
          <w:lang w:eastAsia="zh-CN"/>
        </w:rPr>
        <w:t>万州区万一中至驸马片区库岸及消落区综合整工程</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0" w:firstLineChars="0"/>
        <w:jc w:val="center"/>
        <w:textAlignment w:val="auto"/>
        <w:rPr>
          <w:rFonts w:hint="eastAsia" w:ascii="Times New Roman" w:hAnsi="Times New Roman" w:eastAsia="方正小标宋_GBK" w:cs="方正小标宋_GBK"/>
          <w:bCs/>
          <w:snapToGrid w:val="0"/>
          <w:color w:val="auto"/>
          <w:spacing w:val="0"/>
          <w:w w:val="100"/>
          <w:kern w:val="0"/>
          <w:sz w:val="36"/>
          <w:szCs w:val="36"/>
        </w:rPr>
      </w:pPr>
      <w:r>
        <w:rPr>
          <w:rFonts w:hint="eastAsia" w:eastAsia="方正小标宋_GBK" w:cs="方正小标宋_GBK"/>
          <w:bCs/>
          <w:color w:val="auto"/>
          <w:spacing w:val="0"/>
          <w:w w:val="100"/>
          <w:sz w:val="36"/>
          <w:szCs w:val="36"/>
          <w:lang w:eastAsia="zh-CN"/>
        </w:rPr>
        <w:t>（北滨大道延伸段道路工程）</w:t>
      </w:r>
      <w:r>
        <w:rPr>
          <w:rFonts w:hint="eastAsia" w:ascii="Times New Roman" w:hAnsi="Times New Roman" w:eastAsia="方正小标宋_GBK" w:cs="方正小标宋_GBK"/>
          <w:bCs/>
          <w:color w:val="auto"/>
          <w:spacing w:val="0"/>
          <w:w w:val="100"/>
          <w:sz w:val="36"/>
          <w:szCs w:val="36"/>
        </w:rPr>
        <w:t>水土保持方案</w:t>
      </w:r>
      <w:r>
        <w:rPr>
          <w:rFonts w:hint="eastAsia" w:ascii="Times New Roman" w:hAnsi="Times New Roman" w:eastAsia="方正小标宋_GBK" w:cs="方正小标宋_GBK"/>
          <w:bCs/>
          <w:snapToGrid w:val="0"/>
          <w:color w:val="auto"/>
          <w:spacing w:val="0"/>
          <w:w w:val="100"/>
          <w:kern w:val="0"/>
          <w:sz w:val="36"/>
          <w:szCs w:val="36"/>
        </w:rPr>
        <w:t>特性表</w:t>
      </w:r>
    </w:p>
    <w:tbl>
      <w:tblPr>
        <w:tblStyle w:val="17"/>
        <w:tblW w:w="4891"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32"/>
        <w:gridCol w:w="1049"/>
        <w:gridCol w:w="1167"/>
        <w:gridCol w:w="43"/>
        <w:gridCol w:w="1226"/>
        <w:gridCol w:w="1569"/>
        <w:gridCol w:w="1201"/>
        <w:gridCol w:w="930"/>
        <w:gridCol w:w="12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8" w:hRule="exact"/>
          <w:jc w:val="center"/>
        </w:trPr>
        <w:tc>
          <w:tcPr>
            <w:tcW w:w="931"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项目名称</w:t>
            </w:r>
          </w:p>
        </w:tc>
        <w:tc>
          <w:tcPr>
            <w:tcW w:w="1349" w:type="pct"/>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eastAsia="zh-CN"/>
              </w:rPr>
              <w:t>万州区万一中至驸马片区库岸及消落区综合整治工程</w:t>
            </w:r>
            <w:r>
              <w:rPr>
                <w:rFonts w:hint="eastAsia" w:ascii="Times New Roman" w:hAnsi="Times New Roman" w:eastAsia="仿宋_GB2312" w:cs="Times New Roman"/>
                <w:color w:val="auto"/>
                <w:sz w:val="18"/>
                <w:szCs w:val="18"/>
                <w:lang w:eastAsia="zh-CN"/>
              </w:rPr>
              <w:t xml:space="preserve">(北滨大道延伸段道路工程） </w:t>
            </w:r>
          </w:p>
        </w:tc>
        <w:tc>
          <w:tcPr>
            <w:tcW w:w="86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流域管</w:t>
            </w:r>
          </w:p>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理机构</w:t>
            </w:r>
          </w:p>
        </w:tc>
        <w:tc>
          <w:tcPr>
            <w:tcW w:w="1849" w:type="pct"/>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长江水利委员会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7" w:hRule="exact"/>
          <w:jc w:val="center"/>
        </w:trPr>
        <w:tc>
          <w:tcPr>
            <w:tcW w:w="931"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涉及市</w:t>
            </w:r>
          </w:p>
        </w:tc>
        <w:tc>
          <w:tcPr>
            <w:tcW w:w="646"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重庆市</w:t>
            </w:r>
          </w:p>
        </w:tc>
        <w:tc>
          <w:tcPr>
            <w:tcW w:w="703"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涉及地市或个数</w:t>
            </w:r>
          </w:p>
        </w:tc>
        <w:tc>
          <w:tcPr>
            <w:tcW w:w="86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w:t>
            </w:r>
          </w:p>
        </w:tc>
        <w:tc>
          <w:tcPr>
            <w:tcW w:w="66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涉及县或个数</w:t>
            </w:r>
          </w:p>
        </w:tc>
        <w:tc>
          <w:tcPr>
            <w:tcW w:w="1184"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万州区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931"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项目规模</w:t>
            </w:r>
          </w:p>
        </w:tc>
        <w:tc>
          <w:tcPr>
            <w:tcW w:w="1349" w:type="pct"/>
            <w:gridSpan w:val="3"/>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rPr>
              <w:t>本工程主要建设北滨大道延伸段道路工程，道路桩号K0+500～K5+722，全长5222m，属城市主干路</w:t>
            </w:r>
            <w:r>
              <w:rPr>
                <w:rFonts w:hint="eastAsia" w:ascii="Times New Roman" w:hAnsi="Times New Roman" w:eastAsia="仿宋_GB2312" w:cs="Times New Roman"/>
                <w:color w:val="auto"/>
                <w:sz w:val="18"/>
                <w:szCs w:val="18"/>
                <w:lang w:eastAsia="zh-CN"/>
              </w:rPr>
              <w:t>。</w:t>
            </w:r>
          </w:p>
        </w:tc>
        <w:tc>
          <w:tcPr>
            <w:tcW w:w="86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总投资</w:t>
            </w:r>
          </w:p>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（万元）</w:t>
            </w:r>
          </w:p>
        </w:tc>
        <w:tc>
          <w:tcPr>
            <w:tcW w:w="66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228345.06</w:t>
            </w:r>
          </w:p>
        </w:tc>
        <w:tc>
          <w:tcPr>
            <w:tcW w:w="515"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土建投资</w:t>
            </w:r>
          </w:p>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（万元）</w:t>
            </w:r>
          </w:p>
        </w:tc>
        <w:tc>
          <w:tcPr>
            <w:tcW w:w="668"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198134.68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exact"/>
          <w:jc w:val="center"/>
        </w:trPr>
        <w:tc>
          <w:tcPr>
            <w:tcW w:w="931"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动工时间</w:t>
            </w:r>
          </w:p>
        </w:tc>
        <w:tc>
          <w:tcPr>
            <w:tcW w:w="670"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20</w:t>
            </w:r>
            <w:r>
              <w:rPr>
                <w:rFonts w:hint="default" w:ascii="Times New Roman" w:hAnsi="Times New Roman" w:eastAsia="仿宋_GB2312" w:cs="Times New Roman"/>
                <w:color w:val="auto"/>
                <w:sz w:val="18"/>
                <w:szCs w:val="18"/>
                <w:lang w:val="en-US" w:eastAsia="zh-CN"/>
              </w:rPr>
              <w:t>2</w:t>
            </w:r>
            <w:r>
              <w:rPr>
                <w:rFonts w:hint="eastAsia" w:ascii="Times New Roman" w:hAnsi="Times New Roman" w:eastAsia="仿宋_GB2312" w:cs="Times New Roman"/>
                <w:color w:val="auto"/>
                <w:sz w:val="18"/>
                <w:szCs w:val="18"/>
                <w:lang w:val="en-US" w:eastAsia="zh-CN"/>
              </w:rPr>
              <w:t>1</w:t>
            </w:r>
            <w:r>
              <w:rPr>
                <w:rFonts w:hint="default" w:ascii="Times New Roman" w:hAnsi="Times New Roman" w:eastAsia="仿宋_GB2312" w:cs="Times New Roman"/>
                <w:color w:val="auto"/>
                <w:sz w:val="18"/>
                <w:szCs w:val="18"/>
              </w:rPr>
              <w:t>年</w:t>
            </w:r>
            <w:r>
              <w:rPr>
                <w:rFonts w:hint="default" w:ascii="Times New Roman" w:hAnsi="Times New Roman" w:eastAsia="仿宋_GB2312" w:cs="Times New Roman"/>
                <w:color w:val="auto"/>
                <w:sz w:val="18"/>
                <w:szCs w:val="18"/>
                <w:lang w:val="en-US" w:eastAsia="zh-CN"/>
              </w:rPr>
              <w:t>4</w:t>
            </w:r>
            <w:r>
              <w:rPr>
                <w:rFonts w:hint="default" w:ascii="Times New Roman" w:hAnsi="Times New Roman" w:eastAsia="仿宋_GB2312" w:cs="Times New Roman"/>
                <w:color w:val="auto"/>
                <w:sz w:val="18"/>
                <w:szCs w:val="18"/>
              </w:rPr>
              <w:t>月</w:t>
            </w:r>
          </w:p>
        </w:tc>
        <w:tc>
          <w:tcPr>
            <w:tcW w:w="67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完工时间</w:t>
            </w:r>
          </w:p>
        </w:tc>
        <w:tc>
          <w:tcPr>
            <w:tcW w:w="86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20</w:t>
            </w:r>
            <w:r>
              <w:rPr>
                <w:rFonts w:hint="default" w:ascii="Times New Roman" w:hAnsi="Times New Roman" w:eastAsia="仿宋_GB2312" w:cs="Times New Roman"/>
                <w:color w:val="auto"/>
                <w:sz w:val="18"/>
                <w:szCs w:val="18"/>
                <w:lang w:val="en-US" w:eastAsia="zh-CN"/>
              </w:rPr>
              <w:t>25</w:t>
            </w:r>
            <w:r>
              <w:rPr>
                <w:rFonts w:hint="default" w:ascii="Times New Roman" w:hAnsi="Times New Roman" w:eastAsia="仿宋_GB2312" w:cs="Times New Roman"/>
                <w:color w:val="auto"/>
                <w:sz w:val="18"/>
                <w:szCs w:val="18"/>
              </w:rPr>
              <w:t>年</w:t>
            </w:r>
            <w:r>
              <w:rPr>
                <w:rFonts w:hint="eastAsia" w:ascii="Times New Roman" w:hAnsi="Times New Roman" w:eastAsia="仿宋_GB2312" w:cs="Times New Roman"/>
                <w:color w:val="auto"/>
                <w:sz w:val="18"/>
                <w:szCs w:val="18"/>
                <w:lang w:val="en-US" w:eastAsia="zh-CN"/>
              </w:rPr>
              <w:t>12</w:t>
            </w:r>
            <w:r>
              <w:rPr>
                <w:rFonts w:hint="default" w:ascii="Times New Roman" w:hAnsi="Times New Roman" w:eastAsia="仿宋_GB2312" w:cs="Times New Roman"/>
                <w:color w:val="auto"/>
                <w:sz w:val="18"/>
                <w:szCs w:val="18"/>
              </w:rPr>
              <w:t>月</w:t>
            </w:r>
          </w:p>
        </w:tc>
        <w:tc>
          <w:tcPr>
            <w:tcW w:w="66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设计水平年</w:t>
            </w:r>
          </w:p>
        </w:tc>
        <w:tc>
          <w:tcPr>
            <w:tcW w:w="1184"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20</w:t>
            </w:r>
            <w:r>
              <w:rPr>
                <w:rFonts w:hint="default" w:ascii="Times New Roman" w:hAnsi="Times New Roman" w:eastAsia="仿宋_GB2312" w:cs="Times New Roman"/>
                <w:color w:val="auto"/>
                <w:sz w:val="18"/>
                <w:szCs w:val="18"/>
                <w:lang w:val="en-US" w:eastAsia="zh-CN"/>
              </w:rPr>
              <w:t>2</w:t>
            </w:r>
            <w:r>
              <w:rPr>
                <w:rFonts w:hint="eastAsia" w:ascii="Times New Roman" w:hAnsi="Times New Roman" w:eastAsia="仿宋_GB2312" w:cs="Times New Roman"/>
                <w:color w:val="auto"/>
                <w:sz w:val="18"/>
                <w:szCs w:val="18"/>
                <w:lang w:val="en-US" w:eastAsia="zh-CN"/>
              </w:rPr>
              <w:t>6</w:t>
            </w:r>
            <w:r>
              <w:rPr>
                <w:rFonts w:hint="default" w:ascii="Times New Roman" w:hAnsi="Times New Roman" w:eastAsia="仿宋_GB2312" w:cs="Times New Roman"/>
                <w:color w:val="auto"/>
                <w:sz w:val="18"/>
                <w:szCs w:val="18"/>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exact"/>
          <w:jc w:val="center"/>
        </w:trPr>
        <w:tc>
          <w:tcPr>
            <w:tcW w:w="931"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工程占地（hm</w:t>
            </w:r>
            <w:r>
              <w:rPr>
                <w:rFonts w:hint="default" w:ascii="Times New Roman" w:hAnsi="Times New Roman" w:eastAsia="仿宋_GB2312" w:cs="Times New Roman"/>
                <w:color w:val="auto"/>
                <w:sz w:val="18"/>
                <w:szCs w:val="18"/>
                <w:vertAlign w:val="superscript"/>
              </w:rPr>
              <w:t>2</w:t>
            </w:r>
            <w:r>
              <w:rPr>
                <w:rFonts w:hint="default" w:ascii="Times New Roman" w:hAnsi="Times New Roman" w:eastAsia="仿宋_GB2312" w:cs="Times New Roman"/>
                <w:color w:val="auto"/>
                <w:sz w:val="18"/>
                <w:szCs w:val="18"/>
              </w:rPr>
              <w:t>）</w:t>
            </w:r>
          </w:p>
        </w:tc>
        <w:tc>
          <w:tcPr>
            <w:tcW w:w="670"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50.87</w:t>
            </w:r>
          </w:p>
        </w:tc>
        <w:tc>
          <w:tcPr>
            <w:tcW w:w="67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永久占地（hm</w:t>
            </w:r>
            <w:r>
              <w:rPr>
                <w:rFonts w:hint="default" w:ascii="Times New Roman" w:hAnsi="Times New Roman" w:eastAsia="仿宋_GB2312" w:cs="Times New Roman"/>
                <w:color w:val="auto"/>
                <w:sz w:val="18"/>
                <w:szCs w:val="18"/>
                <w:vertAlign w:val="superscript"/>
              </w:rPr>
              <w:t>2</w:t>
            </w:r>
            <w:r>
              <w:rPr>
                <w:rFonts w:hint="default" w:ascii="Times New Roman" w:hAnsi="Times New Roman" w:eastAsia="仿宋_GB2312" w:cs="Times New Roman"/>
                <w:color w:val="auto"/>
                <w:sz w:val="18"/>
                <w:szCs w:val="18"/>
              </w:rPr>
              <w:t>）</w:t>
            </w:r>
          </w:p>
        </w:tc>
        <w:tc>
          <w:tcPr>
            <w:tcW w:w="86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25.75</w:t>
            </w:r>
          </w:p>
        </w:tc>
        <w:tc>
          <w:tcPr>
            <w:tcW w:w="66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临时占地（hm</w:t>
            </w:r>
            <w:r>
              <w:rPr>
                <w:rFonts w:hint="default" w:ascii="Times New Roman" w:hAnsi="Times New Roman" w:eastAsia="仿宋_GB2312" w:cs="Times New Roman"/>
                <w:color w:val="auto"/>
                <w:sz w:val="18"/>
                <w:szCs w:val="18"/>
                <w:vertAlign w:val="superscript"/>
              </w:rPr>
              <w:t>2</w:t>
            </w:r>
            <w:r>
              <w:rPr>
                <w:rFonts w:hint="default" w:ascii="Times New Roman" w:hAnsi="Times New Roman" w:eastAsia="仿宋_GB2312" w:cs="Times New Roman"/>
                <w:color w:val="auto"/>
                <w:sz w:val="18"/>
                <w:szCs w:val="18"/>
              </w:rPr>
              <w:t>）</w:t>
            </w:r>
          </w:p>
        </w:tc>
        <w:tc>
          <w:tcPr>
            <w:tcW w:w="1184"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25.12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8" w:hRule="exact"/>
          <w:jc w:val="center"/>
        </w:trPr>
        <w:tc>
          <w:tcPr>
            <w:tcW w:w="931" w:type="pct"/>
            <w:gridSpan w:val="2"/>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土石方量（万m</w:t>
            </w:r>
            <w:r>
              <w:rPr>
                <w:rFonts w:hint="default" w:ascii="Times New Roman" w:hAnsi="Times New Roman" w:eastAsia="仿宋_GB2312" w:cs="Times New Roman"/>
                <w:color w:val="auto"/>
                <w:sz w:val="18"/>
                <w:szCs w:val="18"/>
                <w:vertAlign w:val="superscript"/>
              </w:rPr>
              <w:t>3</w:t>
            </w:r>
            <w:r>
              <w:rPr>
                <w:rFonts w:hint="default" w:ascii="Times New Roman" w:hAnsi="Times New Roman" w:eastAsia="仿宋_GB2312" w:cs="Times New Roman"/>
                <w:color w:val="auto"/>
                <w:sz w:val="18"/>
                <w:szCs w:val="18"/>
              </w:rPr>
              <w:t>）</w:t>
            </w:r>
          </w:p>
        </w:tc>
        <w:tc>
          <w:tcPr>
            <w:tcW w:w="1349" w:type="pct"/>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挖方</w:t>
            </w:r>
          </w:p>
        </w:tc>
        <w:tc>
          <w:tcPr>
            <w:tcW w:w="86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填方</w:t>
            </w:r>
          </w:p>
        </w:tc>
        <w:tc>
          <w:tcPr>
            <w:tcW w:w="66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借方</w:t>
            </w:r>
          </w:p>
        </w:tc>
        <w:tc>
          <w:tcPr>
            <w:tcW w:w="1184"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余（弃）方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8" w:hRule="exact"/>
          <w:jc w:val="center"/>
        </w:trPr>
        <w:tc>
          <w:tcPr>
            <w:tcW w:w="931" w:type="pct"/>
            <w:gridSpan w:val="2"/>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p>
        </w:tc>
        <w:tc>
          <w:tcPr>
            <w:tcW w:w="1349" w:type="pct"/>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230.41</w:t>
            </w:r>
          </w:p>
        </w:tc>
        <w:tc>
          <w:tcPr>
            <w:tcW w:w="86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27.23</w:t>
            </w:r>
          </w:p>
        </w:tc>
        <w:tc>
          <w:tcPr>
            <w:tcW w:w="66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0</w:t>
            </w:r>
          </w:p>
        </w:tc>
        <w:tc>
          <w:tcPr>
            <w:tcW w:w="1184"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203.18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8" w:hRule="exact"/>
          <w:jc w:val="center"/>
        </w:trPr>
        <w:tc>
          <w:tcPr>
            <w:tcW w:w="931"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重点防治区名称</w:t>
            </w:r>
          </w:p>
        </w:tc>
        <w:tc>
          <w:tcPr>
            <w:tcW w:w="4068" w:type="pct"/>
            <w:gridSpan w:val="7"/>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eastAsia="zh-CN"/>
              </w:rPr>
              <w:t>三峡库区国家级水土流失重点治理区</w:t>
            </w:r>
            <w:r>
              <w:rPr>
                <w:rFonts w:hint="eastAsia" w:ascii="Times New Roman" w:hAnsi="Times New Roman" w:eastAsia="仿宋_GB2312" w:cs="Times New Roman"/>
                <w:color w:val="auto"/>
                <w:sz w:val="18"/>
                <w:szCs w:val="18"/>
                <w:lang w:val="en-US" w:eastAsia="zh-CN"/>
              </w:rPr>
              <w:t>/</w:t>
            </w:r>
            <w:r>
              <w:rPr>
                <w:rFonts w:hint="default" w:ascii="Times New Roman" w:hAnsi="Times New Roman" w:eastAsia="仿宋_GB2312" w:cs="Times New Roman"/>
                <w:color w:val="auto"/>
                <w:sz w:val="18"/>
                <w:szCs w:val="18"/>
                <w:lang w:eastAsia="zh-CN"/>
              </w:rPr>
              <w:t>重庆市水土流失重点治理区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3" w:hRule="exact"/>
          <w:jc w:val="center"/>
        </w:trPr>
        <w:tc>
          <w:tcPr>
            <w:tcW w:w="931"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地貌类型</w:t>
            </w:r>
          </w:p>
        </w:tc>
        <w:tc>
          <w:tcPr>
            <w:tcW w:w="1349" w:type="pct"/>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构造～剥蚀丘陵斜坡地貌</w:t>
            </w:r>
          </w:p>
        </w:tc>
        <w:tc>
          <w:tcPr>
            <w:tcW w:w="86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水土保持区划</w:t>
            </w:r>
          </w:p>
        </w:tc>
        <w:tc>
          <w:tcPr>
            <w:tcW w:w="1849" w:type="pct"/>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西南紫色土区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8" w:hRule="exact"/>
          <w:jc w:val="center"/>
        </w:trPr>
        <w:tc>
          <w:tcPr>
            <w:tcW w:w="931"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土壤侵蚀类型</w:t>
            </w:r>
          </w:p>
        </w:tc>
        <w:tc>
          <w:tcPr>
            <w:tcW w:w="1349" w:type="pct"/>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水力侵蚀</w:t>
            </w:r>
          </w:p>
        </w:tc>
        <w:tc>
          <w:tcPr>
            <w:tcW w:w="86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土壤侵蚀强度</w:t>
            </w:r>
          </w:p>
        </w:tc>
        <w:tc>
          <w:tcPr>
            <w:tcW w:w="1849" w:type="pct"/>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轻度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exact"/>
          <w:jc w:val="center"/>
        </w:trPr>
        <w:tc>
          <w:tcPr>
            <w:tcW w:w="931"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防治责任范围面积（hm</w:t>
            </w:r>
            <w:r>
              <w:rPr>
                <w:rFonts w:hint="default" w:ascii="Times New Roman" w:hAnsi="Times New Roman" w:eastAsia="仿宋_GB2312" w:cs="Times New Roman"/>
                <w:color w:val="auto"/>
                <w:sz w:val="18"/>
                <w:szCs w:val="18"/>
                <w:vertAlign w:val="superscript"/>
              </w:rPr>
              <w:t>2</w:t>
            </w:r>
            <w:r>
              <w:rPr>
                <w:rFonts w:hint="default" w:ascii="Times New Roman" w:hAnsi="Times New Roman" w:eastAsia="仿宋_GB2312" w:cs="Times New Roman"/>
                <w:color w:val="auto"/>
                <w:sz w:val="18"/>
                <w:szCs w:val="18"/>
              </w:rPr>
              <w:t>）</w:t>
            </w:r>
          </w:p>
        </w:tc>
        <w:tc>
          <w:tcPr>
            <w:tcW w:w="1349" w:type="pct"/>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50.87</w:t>
            </w:r>
          </w:p>
        </w:tc>
        <w:tc>
          <w:tcPr>
            <w:tcW w:w="1534"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容许土壤流失量[t/(km</w:t>
            </w:r>
            <w:r>
              <w:rPr>
                <w:rFonts w:hint="default" w:ascii="Times New Roman" w:hAnsi="Times New Roman" w:eastAsia="仿宋_GB2312" w:cs="Times New Roman"/>
                <w:color w:val="auto"/>
                <w:sz w:val="18"/>
                <w:szCs w:val="18"/>
                <w:vertAlign w:val="superscript"/>
              </w:rPr>
              <w:t>2</w:t>
            </w:r>
            <w:r>
              <w:rPr>
                <w:rFonts w:hint="default" w:ascii="Times New Roman" w:hAnsi="Times New Roman" w:eastAsia="仿宋_GB2312" w:cs="Times New Roman"/>
                <w:color w:val="auto"/>
                <w:sz w:val="18"/>
                <w:szCs w:val="18"/>
              </w:rPr>
              <w:t>·a)]</w:t>
            </w:r>
          </w:p>
        </w:tc>
        <w:tc>
          <w:tcPr>
            <w:tcW w:w="1184"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exact"/>
          <w:jc w:val="center"/>
        </w:trPr>
        <w:tc>
          <w:tcPr>
            <w:tcW w:w="931"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水土流失预测总</w:t>
            </w:r>
            <w:r>
              <w:rPr>
                <w:rFonts w:hint="default" w:ascii="Times New Roman" w:hAnsi="Times New Roman" w:eastAsia="仿宋_GB2312" w:cs="Times New Roman"/>
                <w:color w:val="auto"/>
                <w:spacing w:val="-20"/>
                <w:sz w:val="18"/>
                <w:szCs w:val="18"/>
              </w:rPr>
              <w:t>量（t）</w:t>
            </w:r>
          </w:p>
        </w:tc>
        <w:tc>
          <w:tcPr>
            <w:tcW w:w="1349" w:type="pct"/>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11882</w:t>
            </w:r>
          </w:p>
        </w:tc>
        <w:tc>
          <w:tcPr>
            <w:tcW w:w="1534"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新增水土流失量（t）</w:t>
            </w:r>
          </w:p>
        </w:tc>
        <w:tc>
          <w:tcPr>
            <w:tcW w:w="1184"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10370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8" w:hRule="exact"/>
          <w:jc w:val="center"/>
        </w:trPr>
        <w:tc>
          <w:tcPr>
            <w:tcW w:w="931"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水土流失防治标准执行等级</w:t>
            </w:r>
          </w:p>
        </w:tc>
        <w:tc>
          <w:tcPr>
            <w:tcW w:w="4068" w:type="pct"/>
            <w:gridSpan w:val="7"/>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西南紫色土区建设类项目一级标准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exact"/>
          <w:jc w:val="center"/>
        </w:trPr>
        <w:tc>
          <w:tcPr>
            <w:tcW w:w="350" w:type="pct"/>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防治指标</w:t>
            </w:r>
          </w:p>
        </w:tc>
        <w:tc>
          <w:tcPr>
            <w:tcW w:w="581" w:type="pct"/>
            <w:noWrap w:val="0"/>
            <w:vAlign w:val="center"/>
          </w:tcPr>
          <w:p>
            <w:pPr>
              <w:keepNext w:val="0"/>
              <w:keepLines w:val="0"/>
              <w:suppressLineNumbers w:val="0"/>
              <w:spacing w:before="0" w:beforeAutospacing="0" w:after="0" w:afterAutospacing="0" w:line="240" w:lineRule="atLeas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水土流失治理度(%)</w:t>
            </w:r>
          </w:p>
        </w:tc>
        <w:tc>
          <w:tcPr>
            <w:tcW w:w="1349" w:type="pct"/>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97</w:t>
            </w:r>
          </w:p>
        </w:tc>
        <w:tc>
          <w:tcPr>
            <w:tcW w:w="1534"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土壤流失控制比</w:t>
            </w:r>
          </w:p>
        </w:tc>
        <w:tc>
          <w:tcPr>
            <w:tcW w:w="1184"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8" w:hRule="exact"/>
          <w:jc w:val="center"/>
        </w:trPr>
        <w:tc>
          <w:tcPr>
            <w:tcW w:w="350"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p>
        </w:tc>
        <w:tc>
          <w:tcPr>
            <w:tcW w:w="581" w:type="pct"/>
            <w:noWrap w:val="0"/>
            <w:vAlign w:val="center"/>
          </w:tcPr>
          <w:p>
            <w:pPr>
              <w:keepNext w:val="0"/>
              <w:keepLines w:val="0"/>
              <w:suppressLineNumbers w:val="0"/>
              <w:spacing w:before="0" w:beforeAutospacing="0" w:after="0" w:afterAutospacing="0" w:line="240" w:lineRule="atLeas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渣土防护率(%)</w:t>
            </w:r>
          </w:p>
        </w:tc>
        <w:tc>
          <w:tcPr>
            <w:tcW w:w="1349" w:type="pct"/>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rPr>
              <w:t>9</w:t>
            </w:r>
            <w:r>
              <w:rPr>
                <w:rFonts w:hint="default" w:ascii="Times New Roman" w:hAnsi="Times New Roman" w:eastAsia="仿宋_GB2312" w:cs="Times New Roman"/>
                <w:color w:val="auto"/>
                <w:sz w:val="18"/>
                <w:szCs w:val="18"/>
                <w:lang w:val="en-US" w:eastAsia="zh-CN"/>
              </w:rPr>
              <w:t>4</w:t>
            </w:r>
          </w:p>
        </w:tc>
        <w:tc>
          <w:tcPr>
            <w:tcW w:w="1534"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表土保护率（%）</w:t>
            </w:r>
          </w:p>
        </w:tc>
        <w:tc>
          <w:tcPr>
            <w:tcW w:w="1184"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exact"/>
          <w:jc w:val="center"/>
        </w:trPr>
        <w:tc>
          <w:tcPr>
            <w:tcW w:w="350"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p>
        </w:tc>
        <w:tc>
          <w:tcPr>
            <w:tcW w:w="581" w:type="pct"/>
            <w:noWrap w:val="0"/>
            <w:vAlign w:val="center"/>
          </w:tcPr>
          <w:p>
            <w:pPr>
              <w:keepNext w:val="0"/>
              <w:keepLines w:val="0"/>
              <w:suppressLineNumbers w:val="0"/>
              <w:spacing w:before="0" w:beforeAutospacing="0" w:after="0" w:afterAutospacing="0" w:line="240" w:lineRule="atLeas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林草植被恢复率(%)</w:t>
            </w:r>
          </w:p>
        </w:tc>
        <w:tc>
          <w:tcPr>
            <w:tcW w:w="1349" w:type="pct"/>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97</w:t>
            </w:r>
          </w:p>
        </w:tc>
        <w:tc>
          <w:tcPr>
            <w:tcW w:w="1534"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林草覆盖率（%）</w:t>
            </w:r>
          </w:p>
        </w:tc>
        <w:tc>
          <w:tcPr>
            <w:tcW w:w="1184"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8" w:hRule="exact"/>
          <w:jc w:val="center"/>
        </w:trPr>
        <w:tc>
          <w:tcPr>
            <w:tcW w:w="350" w:type="pct"/>
            <w:vMerge w:val="restart"/>
            <w:noWrap w:val="0"/>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auto"/>
                <w:sz w:val="18"/>
                <w:szCs w:val="18"/>
              </w:rPr>
            </w:pPr>
          </w:p>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防治</w:t>
            </w:r>
          </w:p>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措施</w:t>
            </w:r>
          </w:p>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及工</w:t>
            </w:r>
          </w:p>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程量</w:t>
            </w:r>
          </w:p>
        </w:tc>
        <w:tc>
          <w:tcPr>
            <w:tcW w:w="581"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分区</w:t>
            </w:r>
          </w:p>
        </w:tc>
        <w:tc>
          <w:tcPr>
            <w:tcW w:w="1349" w:type="pct"/>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工程措施</w:t>
            </w:r>
          </w:p>
        </w:tc>
        <w:tc>
          <w:tcPr>
            <w:tcW w:w="1534"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植物措施</w:t>
            </w:r>
          </w:p>
        </w:tc>
        <w:tc>
          <w:tcPr>
            <w:tcW w:w="1184"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临时措施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50"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p>
        </w:tc>
        <w:tc>
          <w:tcPr>
            <w:tcW w:w="581"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lang w:val="en-US" w:eastAsia="zh-CN"/>
              </w:rPr>
              <w:t>道路</w:t>
            </w:r>
            <w:r>
              <w:rPr>
                <w:rFonts w:hint="default" w:ascii="Times New Roman" w:hAnsi="Times New Roman" w:eastAsia="仿宋_GB2312" w:cs="Times New Roman"/>
                <w:color w:val="auto"/>
                <w:sz w:val="18"/>
                <w:szCs w:val="18"/>
              </w:rPr>
              <w:t>工程</w:t>
            </w:r>
          </w:p>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防治区</w:t>
            </w:r>
          </w:p>
        </w:tc>
        <w:tc>
          <w:tcPr>
            <w:tcW w:w="1349" w:type="pct"/>
            <w:gridSpan w:val="3"/>
            <w:noWrap w:val="0"/>
            <w:vAlign w:val="center"/>
          </w:tcPr>
          <w:p>
            <w:pPr>
              <w:keepNext w:val="0"/>
              <w:keepLines w:val="0"/>
              <w:suppressLineNumbers w:val="0"/>
              <w:spacing w:before="0" w:beforeAutospacing="0" w:after="0" w:afterAutospacing="0" w:line="288" w:lineRule="auto"/>
              <w:ind w:left="0" w:right="0"/>
              <w:jc w:val="left"/>
              <w:rPr>
                <w:rFonts w:hint="eastAsia"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rPr>
              <w:t>主体设计：雨水管网8250m，人行道透水砖22620m</w:t>
            </w:r>
            <w:r>
              <w:rPr>
                <w:rFonts w:hint="default" w:ascii="Times New Roman" w:hAnsi="Times New Roman" w:eastAsia="仿宋_GB2312" w:cs="Times New Roman"/>
                <w:color w:val="auto"/>
                <w:sz w:val="18"/>
                <w:szCs w:val="18"/>
                <w:vertAlign w:val="superscript"/>
              </w:rPr>
              <w:t>2</w:t>
            </w:r>
            <w:r>
              <w:rPr>
                <w:rFonts w:hint="default" w:ascii="Times New Roman" w:hAnsi="Times New Roman" w:eastAsia="仿宋_GB2312" w:cs="Times New Roman"/>
                <w:color w:val="auto"/>
                <w:sz w:val="18"/>
                <w:szCs w:val="18"/>
              </w:rPr>
              <w:t>，急流槽312.42m，A型盖板边沟2210m，B型盖板边沟1560m，坡顶截水沟3600m，马道截水沟7724m</w:t>
            </w:r>
            <w:r>
              <w:rPr>
                <w:rFonts w:hint="eastAsia" w:ascii="Times New Roman" w:hAnsi="Times New Roman" w:eastAsia="仿宋_GB2312" w:cs="Times New Roman"/>
                <w:color w:val="auto"/>
                <w:sz w:val="18"/>
                <w:szCs w:val="18"/>
                <w:lang w:eastAsia="zh-CN"/>
              </w:rPr>
              <w:t>。</w:t>
            </w:r>
          </w:p>
          <w:p>
            <w:pPr>
              <w:keepNext w:val="0"/>
              <w:keepLines w:val="0"/>
              <w:suppressLineNumbers w:val="0"/>
              <w:spacing w:before="0" w:beforeAutospacing="0" w:after="0" w:afterAutospacing="0" w:line="288" w:lineRule="auto"/>
              <w:ind w:left="0" w:right="0"/>
              <w:jc w:val="left"/>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val="en-US" w:eastAsia="zh-CN"/>
              </w:rPr>
              <w:t>方案新增：</w:t>
            </w:r>
            <w:r>
              <w:rPr>
                <w:rFonts w:hint="default" w:ascii="Times New Roman" w:hAnsi="Times New Roman" w:eastAsia="仿宋_GB2312" w:cs="Times New Roman"/>
                <w:color w:val="auto"/>
                <w:sz w:val="18"/>
                <w:szCs w:val="18"/>
              </w:rPr>
              <w:t>表土剥离2.</w:t>
            </w:r>
            <w:r>
              <w:rPr>
                <w:rFonts w:hint="eastAsia" w:ascii="Times New Roman" w:hAnsi="Times New Roman" w:eastAsia="仿宋_GB2312" w:cs="Times New Roman"/>
                <w:color w:val="auto"/>
                <w:sz w:val="18"/>
                <w:szCs w:val="18"/>
                <w:lang w:val="en-US" w:eastAsia="zh-CN"/>
              </w:rPr>
              <w:t>47</w:t>
            </w:r>
            <w:r>
              <w:rPr>
                <w:rFonts w:hint="default" w:ascii="Times New Roman" w:hAnsi="Times New Roman" w:eastAsia="仿宋_GB2312" w:cs="Times New Roman"/>
                <w:color w:val="auto"/>
                <w:sz w:val="18"/>
                <w:szCs w:val="18"/>
              </w:rPr>
              <w:t>万m</w:t>
            </w:r>
            <w:r>
              <w:rPr>
                <w:rFonts w:hint="default" w:ascii="Times New Roman" w:hAnsi="Times New Roman" w:eastAsia="仿宋_GB2312" w:cs="Times New Roman"/>
                <w:color w:val="auto"/>
                <w:sz w:val="18"/>
                <w:szCs w:val="18"/>
                <w:vertAlign w:val="superscript"/>
              </w:rPr>
              <w:t>3</w:t>
            </w:r>
            <w:r>
              <w:rPr>
                <w:rFonts w:hint="default" w:ascii="Times New Roman" w:hAnsi="Times New Roman" w:eastAsia="仿宋_GB2312" w:cs="Times New Roman"/>
                <w:color w:val="auto"/>
                <w:sz w:val="18"/>
                <w:szCs w:val="18"/>
              </w:rPr>
              <w:t>，表土回填2.</w:t>
            </w:r>
            <w:r>
              <w:rPr>
                <w:rFonts w:hint="eastAsia" w:ascii="Times New Roman" w:hAnsi="Times New Roman" w:eastAsia="仿宋_GB2312" w:cs="Times New Roman"/>
                <w:color w:val="auto"/>
                <w:sz w:val="18"/>
                <w:szCs w:val="18"/>
                <w:lang w:val="en-US" w:eastAsia="zh-CN"/>
              </w:rPr>
              <w:t>47</w:t>
            </w:r>
            <w:r>
              <w:rPr>
                <w:rFonts w:hint="default" w:ascii="Times New Roman" w:hAnsi="Times New Roman" w:eastAsia="仿宋_GB2312" w:cs="Times New Roman"/>
                <w:color w:val="auto"/>
                <w:sz w:val="18"/>
                <w:szCs w:val="18"/>
              </w:rPr>
              <w:t>万m</w:t>
            </w:r>
            <w:r>
              <w:rPr>
                <w:rFonts w:hint="default" w:ascii="Times New Roman" w:hAnsi="Times New Roman" w:eastAsia="仿宋_GB2312" w:cs="Times New Roman"/>
                <w:color w:val="auto"/>
                <w:sz w:val="18"/>
                <w:szCs w:val="18"/>
                <w:vertAlign w:val="superscript"/>
              </w:rPr>
              <w:t>3</w:t>
            </w:r>
            <w:r>
              <w:rPr>
                <w:rFonts w:hint="eastAsia" w:ascii="Times New Roman" w:hAnsi="Times New Roman" w:eastAsia="仿宋_GB2312" w:cs="Times New Roman"/>
                <w:color w:val="auto"/>
                <w:sz w:val="18"/>
                <w:szCs w:val="18"/>
                <w:vertAlign w:val="baseline"/>
                <w:lang w:eastAsia="zh-CN"/>
              </w:rPr>
              <w:t>，</w:t>
            </w:r>
            <w:r>
              <w:rPr>
                <w:rFonts w:hint="eastAsia" w:ascii="Times New Roman" w:hAnsi="Times New Roman" w:eastAsia="仿宋_GB2312" w:cs="Times New Roman"/>
                <w:color w:val="auto"/>
                <w:sz w:val="18"/>
                <w:szCs w:val="18"/>
                <w:vertAlign w:val="baseline"/>
                <w:lang w:val="en-US" w:eastAsia="zh-CN"/>
              </w:rPr>
              <w:t>块石截水沟432m</w:t>
            </w:r>
            <w:r>
              <w:rPr>
                <w:rFonts w:hint="default" w:ascii="Times New Roman" w:hAnsi="Times New Roman" w:eastAsia="仿宋_GB2312" w:cs="Times New Roman"/>
                <w:color w:val="auto"/>
                <w:sz w:val="18"/>
                <w:szCs w:val="18"/>
                <w:lang w:eastAsia="zh-CN"/>
              </w:rPr>
              <w:t>。</w:t>
            </w:r>
          </w:p>
        </w:tc>
        <w:tc>
          <w:tcPr>
            <w:tcW w:w="1534" w:type="pct"/>
            <w:gridSpan w:val="2"/>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主体设计：</w:t>
            </w:r>
            <w:r>
              <w:rPr>
                <w:rFonts w:hint="default" w:ascii="Times New Roman" w:hAnsi="Times New Roman" w:eastAsia="仿宋_GB2312" w:cs="Times New Roman"/>
                <w:color w:val="auto"/>
                <w:sz w:val="18"/>
                <w:szCs w:val="18"/>
                <w:lang w:eastAsia="zh-CN"/>
              </w:rPr>
              <w:t>中央隔离带绿化4986m</w:t>
            </w:r>
            <w:r>
              <w:rPr>
                <w:rFonts w:hint="default" w:ascii="Times New Roman" w:hAnsi="Times New Roman" w:eastAsia="仿宋_GB2312" w:cs="Times New Roman"/>
                <w:color w:val="auto"/>
                <w:sz w:val="18"/>
                <w:szCs w:val="18"/>
                <w:vertAlign w:val="superscript"/>
                <w:lang w:eastAsia="zh-CN"/>
              </w:rPr>
              <w:t>2</w:t>
            </w:r>
            <w:r>
              <w:rPr>
                <w:rFonts w:hint="default" w:ascii="Times New Roman" w:hAnsi="Times New Roman" w:eastAsia="仿宋_GB2312" w:cs="Times New Roman"/>
                <w:color w:val="auto"/>
                <w:sz w:val="18"/>
                <w:szCs w:val="18"/>
                <w:lang w:eastAsia="zh-CN"/>
              </w:rPr>
              <w:t>，人行道绿化带9949m</w:t>
            </w:r>
            <w:r>
              <w:rPr>
                <w:rFonts w:hint="default" w:ascii="Times New Roman" w:hAnsi="Times New Roman" w:eastAsia="仿宋_GB2312" w:cs="Times New Roman"/>
                <w:color w:val="auto"/>
                <w:sz w:val="18"/>
                <w:szCs w:val="18"/>
                <w:vertAlign w:val="superscript"/>
                <w:lang w:eastAsia="zh-CN"/>
              </w:rPr>
              <w:t>2</w:t>
            </w:r>
            <w:r>
              <w:rPr>
                <w:rFonts w:hint="default" w:ascii="Times New Roman" w:hAnsi="Times New Roman" w:eastAsia="仿宋_GB2312" w:cs="Times New Roman"/>
                <w:color w:val="auto"/>
                <w:sz w:val="18"/>
                <w:szCs w:val="18"/>
                <w:lang w:eastAsia="zh-CN"/>
              </w:rPr>
              <w:t>，植草坪护坡137492m</w:t>
            </w:r>
            <w:r>
              <w:rPr>
                <w:rFonts w:hint="default" w:ascii="Times New Roman" w:hAnsi="Times New Roman" w:eastAsia="仿宋_GB2312" w:cs="Times New Roman"/>
                <w:color w:val="auto"/>
                <w:sz w:val="18"/>
                <w:szCs w:val="18"/>
                <w:vertAlign w:val="superscript"/>
                <w:lang w:eastAsia="zh-CN"/>
              </w:rPr>
              <w:t>2</w:t>
            </w:r>
            <w:r>
              <w:rPr>
                <w:rFonts w:hint="default" w:ascii="Times New Roman" w:hAnsi="Times New Roman" w:eastAsia="仿宋_GB2312" w:cs="Times New Roman"/>
                <w:color w:val="auto"/>
                <w:sz w:val="18"/>
                <w:szCs w:val="18"/>
                <w:lang w:eastAsia="zh-CN"/>
              </w:rPr>
              <w:t>，拱形骨架植草护坡48454.8m</w:t>
            </w:r>
            <w:r>
              <w:rPr>
                <w:rFonts w:hint="default" w:ascii="Times New Roman" w:hAnsi="Times New Roman" w:eastAsia="仿宋_GB2312" w:cs="Times New Roman"/>
                <w:color w:val="auto"/>
                <w:sz w:val="18"/>
                <w:szCs w:val="18"/>
                <w:vertAlign w:val="superscript"/>
                <w:lang w:eastAsia="zh-CN"/>
              </w:rPr>
              <w:t>2</w:t>
            </w:r>
            <w:r>
              <w:rPr>
                <w:rFonts w:hint="default" w:ascii="Times New Roman" w:hAnsi="Times New Roman" w:eastAsia="仿宋_GB2312" w:cs="Times New Roman"/>
                <w:color w:val="auto"/>
                <w:sz w:val="18"/>
                <w:szCs w:val="18"/>
                <w:lang w:eastAsia="zh-CN"/>
              </w:rPr>
              <w:t>，锚杆框架植草袋护坡98277.2m</w:t>
            </w:r>
            <w:r>
              <w:rPr>
                <w:rFonts w:hint="default" w:ascii="Times New Roman" w:hAnsi="Times New Roman" w:eastAsia="仿宋_GB2312" w:cs="Times New Roman"/>
                <w:color w:val="auto"/>
                <w:sz w:val="18"/>
                <w:szCs w:val="18"/>
                <w:vertAlign w:val="superscript"/>
                <w:lang w:eastAsia="zh-CN"/>
              </w:rPr>
              <w:t>2</w:t>
            </w:r>
          </w:p>
        </w:tc>
        <w:tc>
          <w:tcPr>
            <w:tcW w:w="1184" w:type="pct"/>
            <w:gridSpan w:val="2"/>
            <w:noWrap w:val="0"/>
            <w:vAlign w:val="center"/>
          </w:tcPr>
          <w:p>
            <w:pPr>
              <w:keepNext w:val="0"/>
              <w:keepLines w:val="0"/>
              <w:suppressLineNumbers w:val="0"/>
              <w:spacing w:before="0" w:beforeAutospacing="0" w:after="0" w:afterAutospacing="0"/>
              <w:ind w:left="0" w:right="0"/>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方案新增：防雨布覆盖80000m</w:t>
            </w:r>
            <w:r>
              <w:rPr>
                <w:rFonts w:hint="default" w:ascii="Times New Roman" w:hAnsi="Times New Roman" w:eastAsia="仿宋_GB2312" w:cs="Times New Roman"/>
                <w:color w:val="auto"/>
                <w:sz w:val="18"/>
                <w:szCs w:val="18"/>
                <w:vertAlign w:val="superscript"/>
                <w:lang w:val="en-US" w:eastAsia="zh-CN"/>
              </w:rPr>
              <w:t>2</w:t>
            </w:r>
            <w:r>
              <w:rPr>
                <w:rFonts w:hint="default" w:ascii="Times New Roman" w:hAnsi="Times New Roman" w:eastAsia="仿宋_GB2312" w:cs="Times New Roman"/>
                <w:color w:val="auto"/>
                <w:sz w:val="18"/>
                <w:szCs w:val="18"/>
                <w:lang w:val="en-US" w:eastAsia="zh-CN"/>
              </w:rPr>
              <w:t>，填土编织袋拦挡2511m，临时排水沟</w:t>
            </w:r>
            <w:r>
              <w:rPr>
                <w:rFonts w:hint="eastAsia" w:ascii="Times New Roman" w:hAnsi="Times New Roman" w:eastAsia="仿宋_GB2312" w:cs="Times New Roman"/>
                <w:color w:val="auto"/>
                <w:sz w:val="18"/>
                <w:szCs w:val="18"/>
                <w:lang w:val="en-US" w:eastAsia="zh-CN"/>
              </w:rPr>
              <w:t>1595</w:t>
            </w:r>
            <w:r>
              <w:rPr>
                <w:rFonts w:hint="default" w:ascii="Times New Roman" w:hAnsi="Times New Roman" w:eastAsia="仿宋_GB2312" w:cs="Times New Roman"/>
                <w:color w:val="auto"/>
                <w:sz w:val="18"/>
                <w:szCs w:val="18"/>
                <w:lang w:val="en-US" w:eastAsia="zh-CN"/>
              </w:rPr>
              <w:t>m，临时沉沙池</w:t>
            </w:r>
            <w:r>
              <w:rPr>
                <w:rFonts w:hint="eastAsia" w:ascii="Times New Roman" w:hAnsi="Times New Roman" w:eastAsia="仿宋_GB2312" w:cs="Times New Roman"/>
                <w:color w:val="auto"/>
                <w:sz w:val="18"/>
                <w:szCs w:val="18"/>
                <w:lang w:val="en-US" w:eastAsia="zh-CN"/>
              </w:rPr>
              <w:t>5</w:t>
            </w:r>
            <w:r>
              <w:rPr>
                <w:rFonts w:hint="default" w:ascii="Times New Roman" w:hAnsi="Times New Roman" w:eastAsia="仿宋_GB2312" w:cs="Times New Roman"/>
                <w:color w:val="auto"/>
                <w:sz w:val="18"/>
                <w:szCs w:val="18"/>
                <w:lang w:val="en-US" w:eastAsia="zh-CN"/>
              </w:rPr>
              <w:t>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350"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p>
        </w:tc>
        <w:tc>
          <w:tcPr>
            <w:tcW w:w="581"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桥梁</w:t>
            </w:r>
            <w:r>
              <w:rPr>
                <w:rFonts w:hint="default" w:ascii="Times New Roman" w:hAnsi="Times New Roman" w:eastAsia="仿宋_GB2312" w:cs="Times New Roman"/>
                <w:color w:val="auto"/>
                <w:sz w:val="18"/>
                <w:szCs w:val="18"/>
                <w:lang w:val="en-US" w:eastAsia="zh-CN"/>
              </w:rPr>
              <w:t>工程</w:t>
            </w:r>
          </w:p>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防治区</w:t>
            </w:r>
          </w:p>
        </w:tc>
        <w:tc>
          <w:tcPr>
            <w:tcW w:w="1349" w:type="pct"/>
            <w:gridSpan w:val="3"/>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rPr>
              <w:t>主体设计：人行道横向排水管937m、不锈钢排水沟115.89m、竖向排水管7.73m、泄水管314.4m、集水管1080m、横向泄水管55m</w:t>
            </w:r>
            <w:r>
              <w:rPr>
                <w:rFonts w:hint="default" w:ascii="Times New Roman" w:hAnsi="Times New Roman" w:eastAsia="仿宋_GB2312" w:cs="Times New Roman"/>
                <w:color w:val="auto"/>
                <w:sz w:val="18"/>
                <w:szCs w:val="18"/>
                <w:lang w:eastAsia="zh-CN"/>
              </w:rPr>
              <w:t>。</w:t>
            </w:r>
          </w:p>
        </w:tc>
        <w:tc>
          <w:tcPr>
            <w:tcW w:w="1534" w:type="pct"/>
            <w:gridSpan w:val="2"/>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方案新增：撒播草籽：1.47hm</w:t>
            </w:r>
            <w:r>
              <w:rPr>
                <w:rFonts w:hint="eastAsia" w:ascii="Times New Roman" w:hAnsi="Times New Roman" w:eastAsia="仿宋_GB2312" w:cs="Times New Roman"/>
                <w:color w:val="auto"/>
                <w:sz w:val="18"/>
                <w:szCs w:val="18"/>
                <w:vertAlign w:val="superscript"/>
                <w:lang w:val="en-US" w:eastAsia="zh-CN"/>
              </w:rPr>
              <w:t>2</w:t>
            </w:r>
          </w:p>
        </w:tc>
        <w:tc>
          <w:tcPr>
            <w:tcW w:w="1184" w:type="pct"/>
            <w:gridSpan w:val="2"/>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方案新增：防雨布覆盖2000m</w:t>
            </w:r>
            <w:r>
              <w:rPr>
                <w:rFonts w:hint="eastAsia" w:ascii="Times New Roman" w:hAnsi="Times New Roman" w:eastAsia="仿宋_GB2312" w:cs="Times New Roman"/>
                <w:color w:val="auto"/>
                <w:sz w:val="18"/>
                <w:szCs w:val="18"/>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350"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p>
        </w:tc>
        <w:tc>
          <w:tcPr>
            <w:tcW w:w="581"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施工生产生活</w:t>
            </w:r>
            <w:r>
              <w:rPr>
                <w:rFonts w:hint="default" w:ascii="Times New Roman" w:hAnsi="Times New Roman" w:eastAsia="仿宋_GB2312" w:cs="Times New Roman"/>
                <w:color w:val="auto"/>
                <w:sz w:val="18"/>
                <w:szCs w:val="18"/>
                <w:lang w:val="en-US" w:eastAsia="zh-CN"/>
              </w:rPr>
              <w:t>防治区</w:t>
            </w:r>
          </w:p>
        </w:tc>
        <w:tc>
          <w:tcPr>
            <w:tcW w:w="1349" w:type="pct"/>
            <w:gridSpan w:val="3"/>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主体设计：排水暗沟265m，景观湖3884m</w:t>
            </w:r>
            <w:r>
              <w:rPr>
                <w:rFonts w:hint="eastAsia" w:ascii="Times New Roman" w:hAnsi="Times New Roman" w:eastAsia="仿宋_GB2312" w:cs="Times New Roman"/>
                <w:color w:val="auto"/>
                <w:sz w:val="18"/>
                <w:szCs w:val="18"/>
                <w:vertAlign w:val="superscript"/>
                <w:lang w:val="en-US" w:eastAsia="zh-CN"/>
              </w:rPr>
              <w:t>2</w:t>
            </w:r>
            <w:r>
              <w:rPr>
                <w:rFonts w:hint="eastAsia" w:ascii="Times New Roman" w:hAnsi="Times New Roman" w:eastAsia="仿宋_GB2312" w:cs="Times New Roman"/>
                <w:color w:val="auto"/>
                <w:sz w:val="18"/>
                <w:szCs w:val="18"/>
                <w:lang w:val="en-US" w:eastAsia="zh-CN"/>
              </w:rPr>
              <w:t>。</w:t>
            </w:r>
          </w:p>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方案新增：</w:t>
            </w:r>
            <w:r>
              <w:rPr>
                <w:rFonts w:hint="eastAsia" w:ascii="Times New Roman" w:hAnsi="Times New Roman" w:eastAsia="仿宋_GB2312" w:cs="Times New Roman"/>
                <w:color w:val="auto"/>
                <w:sz w:val="18"/>
                <w:szCs w:val="18"/>
                <w:lang w:val="en-US" w:eastAsia="zh-CN"/>
              </w:rPr>
              <w:t>土地整治0.64</w:t>
            </w:r>
            <w:r>
              <w:rPr>
                <w:rFonts w:hint="default" w:ascii="Times New Roman" w:hAnsi="Times New Roman" w:eastAsia="仿宋_GB2312" w:cs="Times New Roman"/>
                <w:color w:val="auto"/>
                <w:sz w:val="18"/>
                <w:szCs w:val="18"/>
                <w:lang w:val="en-US" w:eastAsia="zh-CN"/>
              </w:rPr>
              <w:t>hm</w:t>
            </w:r>
            <w:r>
              <w:rPr>
                <w:rFonts w:hint="default" w:ascii="Times New Roman" w:hAnsi="Times New Roman" w:eastAsia="仿宋_GB2312" w:cs="Times New Roman"/>
                <w:color w:val="auto"/>
                <w:sz w:val="18"/>
                <w:szCs w:val="18"/>
                <w:vertAlign w:val="superscript"/>
                <w:lang w:val="en-US" w:eastAsia="zh-CN"/>
              </w:rPr>
              <w:t>2</w:t>
            </w:r>
          </w:p>
        </w:tc>
        <w:tc>
          <w:tcPr>
            <w:tcW w:w="1534" w:type="pct"/>
            <w:gridSpan w:val="2"/>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主体设计：实土绿化1482m</w:t>
            </w:r>
            <w:r>
              <w:rPr>
                <w:rFonts w:hint="eastAsia" w:ascii="Times New Roman" w:hAnsi="Times New Roman" w:eastAsia="仿宋_GB2312" w:cs="Times New Roman"/>
                <w:color w:val="auto"/>
                <w:sz w:val="18"/>
                <w:szCs w:val="18"/>
                <w:vertAlign w:val="superscript"/>
                <w:lang w:val="en-US" w:eastAsia="zh-CN"/>
              </w:rPr>
              <w:t>2</w:t>
            </w:r>
          </w:p>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方案新增：撒播草籽</w:t>
            </w:r>
            <w:r>
              <w:rPr>
                <w:rFonts w:hint="eastAsia" w:ascii="Times New Roman" w:hAnsi="Times New Roman" w:eastAsia="仿宋_GB2312" w:cs="Times New Roman"/>
                <w:color w:val="auto"/>
                <w:sz w:val="18"/>
                <w:szCs w:val="18"/>
                <w:lang w:val="en-US" w:eastAsia="zh-CN"/>
              </w:rPr>
              <w:t>0.64</w:t>
            </w:r>
            <w:r>
              <w:rPr>
                <w:rFonts w:hint="default" w:ascii="Times New Roman" w:hAnsi="Times New Roman" w:eastAsia="仿宋_GB2312" w:cs="Times New Roman"/>
                <w:color w:val="auto"/>
                <w:sz w:val="18"/>
                <w:szCs w:val="18"/>
                <w:lang w:val="en-US" w:eastAsia="zh-CN"/>
              </w:rPr>
              <w:t>hm</w:t>
            </w:r>
            <w:r>
              <w:rPr>
                <w:rFonts w:hint="default" w:ascii="Times New Roman" w:hAnsi="Times New Roman" w:eastAsia="仿宋_GB2312" w:cs="Times New Roman"/>
                <w:color w:val="auto"/>
                <w:sz w:val="18"/>
                <w:szCs w:val="18"/>
                <w:vertAlign w:val="superscript"/>
                <w:lang w:val="en-US" w:eastAsia="zh-CN"/>
              </w:rPr>
              <w:t>2</w:t>
            </w:r>
          </w:p>
        </w:tc>
        <w:tc>
          <w:tcPr>
            <w:tcW w:w="1184" w:type="pct"/>
            <w:gridSpan w:val="2"/>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方案新增：防雨布覆盖</w:t>
            </w:r>
            <w:r>
              <w:rPr>
                <w:rFonts w:hint="eastAsia" w:ascii="Times New Roman" w:hAnsi="Times New Roman" w:eastAsia="仿宋_GB2312" w:cs="Times New Roman"/>
                <w:color w:val="auto"/>
                <w:sz w:val="18"/>
                <w:szCs w:val="18"/>
                <w:lang w:val="en-US" w:eastAsia="zh-CN"/>
              </w:rPr>
              <w:t>3</w:t>
            </w:r>
            <w:r>
              <w:rPr>
                <w:rFonts w:hint="default" w:ascii="Times New Roman" w:hAnsi="Times New Roman" w:eastAsia="仿宋_GB2312" w:cs="Times New Roman"/>
                <w:color w:val="auto"/>
                <w:sz w:val="18"/>
                <w:szCs w:val="18"/>
                <w:lang w:val="en-US" w:eastAsia="zh-CN"/>
              </w:rPr>
              <w:t>000m</w:t>
            </w:r>
            <w:r>
              <w:rPr>
                <w:rFonts w:hint="default" w:ascii="Times New Roman" w:hAnsi="Times New Roman" w:eastAsia="仿宋_GB2312" w:cs="Times New Roman"/>
                <w:color w:val="auto"/>
                <w:sz w:val="18"/>
                <w:szCs w:val="18"/>
                <w:vertAlign w:val="superscript"/>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2" w:hRule="atLeast"/>
          <w:jc w:val="center"/>
        </w:trPr>
        <w:tc>
          <w:tcPr>
            <w:tcW w:w="350" w:type="pct"/>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p>
        </w:tc>
        <w:tc>
          <w:tcPr>
            <w:tcW w:w="581"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eastAsia" w:ascii="Times New Roman" w:hAnsi="Times New Roman" w:eastAsia="仿宋_GB2312" w:cs="Times New Roman"/>
                <w:color w:val="auto"/>
                <w:sz w:val="18"/>
                <w:szCs w:val="18"/>
                <w:lang w:val="en-US" w:eastAsia="zh-CN"/>
              </w:rPr>
              <w:t>施工道路</w:t>
            </w:r>
            <w:r>
              <w:rPr>
                <w:rFonts w:hint="default" w:ascii="Times New Roman" w:hAnsi="Times New Roman" w:eastAsia="仿宋_GB2312" w:cs="Times New Roman"/>
                <w:color w:val="auto"/>
                <w:sz w:val="18"/>
                <w:szCs w:val="18"/>
              </w:rPr>
              <w:t>防治区</w:t>
            </w:r>
          </w:p>
        </w:tc>
        <w:tc>
          <w:tcPr>
            <w:tcW w:w="1349" w:type="pct"/>
            <w:gridSpan w:val="3"/>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主体设计</w:t>
            </w:r>
            <w:r>
              <w:rPr>
                <w:rFonts w:hint="default" w:ascii="Times New Roman" w:hAnsi="Times New Roman" w:eastAsia="仿宋_GB2312" w:cs="Times New Roman"/>
                <w:color w:val="auto"/>
                <w:sz w:val="18"/>
                <w:szCs w:val="18"/>
              </w:rPr>
              <w:t>：</w:t>
            </w:r>
            <w:r>
              <w:rPr>
                <w:rFonts w:hint="default" w:ascii="Times New Roman" w:hAnsi="Times New Roman" w:eastAsia="仿宋_GB2312" w:cs="Times New Roman"/>
                <w:color w:val="auto"/>
                <w:sz w:val="18"/>
                <w:szCs w:val="18"/>
                <w:lang w:val="en-US" w:eastAsia="zh-CN"/>
              </w:rPr>
              <w:t>砖砌排水沟</w:t>
            </w:r>
            <w:r>
              <w:rPr>
                <w:rFonts w:hint="eastAsia" w:ascii="Times New Roman" w:hAnsi="Times New Roman" w:eastAsia="仿宋_GB2312" w:cs="Times New Roman"/>
                <w:color w:val="auto"/>
                <w:sz w:val="18"/>
                <w:szCs w:val="18"/>
                <w:lang w:val="en-US" w:eastAsia="zh-CN"/>
              </w:rPr>
              <w:t>730</w:t>
            </w:r>
            <w:r>
              <w:rPr>
                <w:rFonts w:hint="default" w:ascii="Times New Roman" w:hAnsi="Times New Roman" w:eastAsia="仿宋_GB2312" w:cs="Times New Roman"/>
                <w:color w:val="auto"/>
                <w:sz w:val="18"/>
                <w:szCs w:val="18"/>
                <w:lang w:val="en-US" w:eastAsia="zh-CN"/>
              </w:rPr>
              <w:t>m。</w:t>
            </w:r>
          </w:p>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方案新增：土地整治0.24hm</w:t>
            </w:r>
            <w:r>
              <w:rPr>
                <w:rFonts w:hint="eastAsia" w:ascii="Times New Roman" w:hAnsi="Times New Roman" w:eastAsia="仿宋_GB2312" w:cs="Times New Roman"/>
                <w:color w:val="auto"/>
                <w:sz w:val="18"/>
                <w:szCs w:val="18"/>
                <w:vertAlign w:val="superscript"/>
                <w:lang w:val="en-US" w:eastAsia="zh-CN"/>
              </w:rPr>
              <w:t>2</w:t>
            </w:r>
          </w:p>
        </w:tc>
        <w:tc>
          <w:tcPr>
            <w:tcW w:w="1534" w:type="pct"/>
            <w:gridSpan w:val="2"/>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方案新增：撒播草籽0.24hm</w:t>
            </w:r>
            <w:r>
              <w:rPr>
                <w:rFonts w:hint="eastAsia" w:ascii="Times New Roman" w:hAnsi="Times New Roman" w:eastAsia="仿宋_GB2312" w:cs="Times New Roman"/>
                <w:color w:val="auto"/>
                <w:sz w:val="18"/>
                <w:szCs w:val="18"/>
                <w:vertAlign w:val="superscript"/>
                <w:lang w:val="en-US" w:eastAsia="zh-CN"/>
              </w:rPr>
              <w:t>2</w:t>
            </w:r>
          </w:p>
        </w:tc>
        <w:tc>
          <w:tcPr>
            <w:tcW w:w="1184" w:type="pct"/>
            <w:gridSpan w:val="2"/>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931"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投资（万元）</w:t>
            </w:r>
          </w:p>
        </w:tc>
        <w:tc>
          <w:tcPr>
            <w:tcW w:w="1349" w:type="pct"/>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rPr>
            </w:pPr>
            <w:r>
              <w:rPr>
                <w:rFonts w:hint="eastAsia" w:ascii="Times New Roman" w:hAnsi="Times New Roman" w:eastAsia="仿宋_GB2312" w:cs="Times New Roman"/>
                <w:color w:val="auto"/>
                <w:sz w:val="18"/>
                <w:szCs w:val="18"/>
                <w:lang w:val="en-US" w:eastAsia="zh-CN"/>
              </w:rPr>
              <w:t>1456.54</w:t>
            </w:r>
            <w:r>
              <w:rPr>
                <w:rFonts w:hint="default" w:ascii="Times New Roman" w:hAnsi="Times New Roman" w:eastAsia="仿宋_GB2312" w:cs="Times New Roman"/>
                <w:color w:val="auto"/>
                <w:sz w:val="18"/>
                <w:szCs w:val="18"/>
                <w:lang w:val="en-US" w:eastAsia="zh-CN"/>
              </w:rPr>
              <w:t>（方案新增：</w:t>
            </w:r>
            <w:r>
              <w:rPr>
                <w:rFonts w:hint="eastAsia" w:ascii="Times New Roman" w:hAnsi="Times New Roman" w:eastAsia="仿宋_GB2312" w:cs="Times New Roman"/>
                <w:color w:val="auto"/>
                <w:sz w:val="18"/>
                <w:szCs w:val="18"/>
                <w:lang w:val="en-US" w:eastAsia="zh-CN"/>
              </w:rPr>
              <w:t>95.05</w:t>
            </w:r>
            <w:r>
              <w:rPr>
                <w:rFonts w:hint="default" w:ascii="Times New Roman" w:hAnsi="Times New Roman" w:eastAsia="仿宋_GB2312" w:cs="Times New Roman"/>
                <w:color w:val="auto"/>
                <w:sz w:val="18"/>
                <w:szCs w:val="18"/>
                <w:lang w:val="en-US" w:eastAsia="zh-CN"/>
              </w:rPr>
              <w:t>）</w:t>
            </w:r>
          </w:p>
        </w:tc>
        <w:tc>
          <w:tcPr>
            <w:tcW w:w="1534"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3811.16</w:t>
            </w:r>
            <w:r>
              <w:rPr>
                <w:rFonts w:hint="default" w:ascii="Times New Roman" w:hAnsi="Times New Roman" w:eastAsia="仿宋_GB2312" w:cs="Times New Roman"/>
                <w:color w:val="auto"/>
                <w:sz w:val="18"/>
                <w:szCs w:val="18"/>
                <w:lang w:val="en-US" w:eastAsia="zh-CN"/>
              </w:rPr>
              <w:t>（方案新增：</w:t>
            </w:r>
            <w:r>
              <w:rPr>
                <w:rFonts w:hint="eastAsia" w:ascii="Times New Roman" w:hAnsi="Times New Roman" w:eastAsia="仿宋_GB2312" w:cs="Times New Roman"/>
                <w:color w:val="auto"/>
                <w:sz w:val="18"/>
                <w:szCs w:val="18"/>
                <w:lang w:val="en-US" w:eastAsia="zh-CN"/>
              </w:rPr>
              <w:t>0.92</w:t>
            </w:r>
            <w:r>
              <w:rPr>
                <w:rFonts w:hint="default" w:ascii="Times New Roman" w:hAnsi="Times New Roman" w:eastAsia="仿宋_GB2312" w:cs="Times New Roman"/>
                <w:color w:val="auto"/>
                <w:sz w:val="18"/>
                <w:szCs w:val="18"/>
                <w:lang w:val="en-US" w:eastAsia="zh-CN"/>
              </w:rPr>
              <w:t>）</w:t>
            </w:r>
          </w:p>
        </w:tc>
        <w:tc>
          <w:tcPr>
            <w:tcW w:w="1184"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154.11</w:t>
            </w:r>
            <w:r>
              <w:rPr>
                <w:rFonts w:hint="default" w:ascii="Times New Roman" w:hAnsi="Times New Roman" w:eastAsia="仿宋_GB2312" w:cs="Times New Roman"/>
                <w:color w:val="auto"/>
                <w:sz w:val="18"/>
                <w:szCs w:val="18"/>
                <w:lang w:val="en-US" w:eastAsia="zh-CN"/>
              </w:rPr>
              <w:t>（方案新增：</w:t>
            </w:r>
            <w:r>
              <w:rPr>
                <w:rFonts w:hint="eastAsia" w:ascii="Times New Roman" w:hAnsi="Times New Roman" w:eastAsia="仿宋_GB2312" w:cs="Times New Roman"/>
                <w:color w:val="auto"/>
                <w:sz w:val="18"/>
                <w:szCs w:val="18"/>
                <w:lang w:val="en-US" w:eastAsia="zh-CN"/>
              </w:rPr>
              <w:t>154.11</w:t>
            </w:r>
            <w:r>
              <w:rPr>
                <w:rFonts w:hint="default" w:ascii="Times New Roman" w:hAnsi="Times New Roman" w:eastAsia="仿宋_GB2312" w:cs="Times New Roman"/>
                <w:color w:val="auto"/>
                <w:sz w:val="18"/>
                <w:szCs w:val="18"/>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 w:hRule="atLeast"/>
          <w:jc w:val="center"/>
        </w:trPr>
        <w:tc>
          <w:tcPr>
            <w:tcW w:w="931"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水土保持总投资</w:t>
            </w:r>
          </w:p>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（万元）</w:t>
            </w:r>
          </w:p>
        </w:tc>
        <w:tc>
          <w:tcPr>
            <w:tcW w:w="1349" w:type="pct"/>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eastAsia" w:ascii="Times New Roman" w:hAnsi="Times New Roman" w:eastAsia="仿宋_GB2312" w:cs="Times New Roman"/>
                <w:color w:val="auto"/>
                <w:sz w:val="18"/>
                <w:szCs w:val="18"/>
                <w:lang w:val="en-US" w:eastAsia="zh-CN"/>
              </w:rPr>
              <w:t>5613.57</w:t>
            </w:r>
            <w:r>
              <w:rPr>
                <w:rFonts w:hint="default" w:ascii="Times New Roman" w:hAnsi="Times New Roman" w:eastAsia="仿宋_GB2312" w:cs="Times New Roman"/>
                <w:color w:val="auto"/>
                <w:sz w:val="18"/>
                <w:szCs w:val="18"/>
              </w:rPr>
              <w:t>（方案新增</w:t>
            </w:r>
            <w:r>
              <w:rPr>
                <w:rFonts w:hint="eastAsia" w:ascii="Times New Roman" w:hAnsi="Times New Roman" w:eastAsia="仿宋_GB2312" w:cs="Times New Roman"/>
                <w:color w:val="auto"/>
                <w:sz w:val="18"/>
                <w:szCs w:val="18"/>
                <w:lang w:val="en-US" w:eastAsia="zh-CN"/>
              </w:rPr>
              <w:t>441.84</w:t>
            </w:r>
            <w:r>
              <w:rPr>
                <w:rFonts w:hint="default" w:ascii="Times New Roman" w:hAnsi="Times New Roman" w:eastAsia="仿宋_GB2312" w:cs="Times New Roman"/>
                <w:color w:val="auto"/>
                <w:sz w:val="18"/>
                <w:szCs w:val="18"/>
              </w:rPr>
              <w:t>）</w:t>
            </w:r>
          </w:p>
        </w:tc>
        <w:tc>
          <w:tcPr>
            <w:tcW w:w="1534"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独立费用（万元)</w:t>
            </w:r>
          </w:p>
        </w:tc>
        <w:tc>
          <w:tcPr>
            <w:tcW w:w="1184"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64.2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7" w:hRule="exact"/>
          <w:jc w:val="center"/>
        </w:trPr>
        <w:tc>
          <w:tcPr>
            <w:tcW w:w="931"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监理费（万元）</w:t>
            </w:r>
          </w:p>
        </w:tc>
        <w:tc>
          <w:tcPr>
            <w:tcW w:w="670"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0.00</w:t>
            </w:r>
          </w:p>
        </w:tc>
        <w:tc>
          <w:tcPr>
            <w:tcW w:w="67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监测费（万元）</w:t>
            </w:r>
          </w:p>
        </w:tc>
        <w:tc>
          <w:tcPr>
            <w:tcW w:w="86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47.55</w:t>
            </w:r>
          </w:p>
        </w:tc>
        <w:tc>
          <w:tcPr>
            <w:tcW w:w="664"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补偿费（万元）</w:t>
            </w:r>
          </w:p>
        </w:tc>
        <w:tc>
          <w:tcPr>
            <w:tcW w:w="1184"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62.150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931"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方案编制单位</w:t>
            </w:r>
          </w:p>
        </w:tc>
        <w:tc>
          <w:tcPr>
            <w:tcW w:w="1349" w:type="pct"/>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重庆信博水利工程设计有限公司</w:t>
            </w:r>
          </w:p>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lang w:eastAsia="zh-CN"/>
              </w:rPr>
              <w:t>（91500112790700158E）</w:t>
            </w:r>
          </w:p>
        </w:tc>
        <w:tc>
          <w:tcPr>
            <w:tcW w:w="86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lang w:val="en-US" w:eastAsia="zh-CN"/>
              </w:rPr>
              <w:t>代建</w:t>
            </w:r>
            <w:r>
              <w:rPr>
                <w:rFonts w:hint="default" w:ascii="Times New Roman" w:hAnsi="Times New Roman" w:eastAsia="仿宋_GB2312" w:cs="Times New Roman"/>
                <w:color w:val="auto"/>
                <w:sz w:val="18"/>
                <w:szCs w:val="18"/>
              </w:rPr>
              <w:t>单位</w:t>
            </w:r>
          </w:p>
        </w:tc>
        <w:tc>
          <w:tcPr>
            <w:tcW w:w="1849" w:type="pct"/>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rPr>
              <w:t>重庆市万州三峡平湖有限公司</w:t>
            </w:r>
            <w:r>
              <w:rPr>
                <w:rFonts w:hint="default" w:ascii="Times New Roman" w:hAnsi="Times New Roman" w:eastAsia="仿宋_GB2312" w:cs="Times New Roman"/>
                <w:color w:val="auto"/>
                <w:sz w:val="18"/>
                <w:szCs w:val="18"/>
                <w:lang w:eastAsia="zh-CN"/>
              </w:rPr>
              <w:t>（91500101563471738U）</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exact"/>
          <w:jc w:val="center"/>
        </w:trPr>
        <w:tc>
          <w:tcPr>
            <w:tcW w:w="931"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法定代表人</w:t>
            </w:r>
          </w:p>
        </w:tc>
        <w:tc>
          <w:tcPr>
            <w:tcW w:w="1349" w:type="pct"/>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rPr>
              <w:t>陈玉林</w:t>
            </w:r>
          </w:p>
        </w:tc>
        <w:tc>
          <w:tcPr>
            <w:tcW w:w="86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法定代表人</w:t>
            </w:r>
          </w:p>
        </w:tc>
        <w:tc>
          <w:tcPr>
            <w:tcW w:w="1849" w:type="pct"/>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杨大树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31"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地址</w:t>
            </w:r>
          </w:p>
        </w:tc>
        <w:tc>
          <w:tcPr>
            <w:tcW w:w="1349" w:type="pct"/>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pacing w:val="-6"/>
                <w:sz w:val="18"/>
                <w:szCs w:val="18"/>
              </w:rPr>
            </w:pPr>
            <w:r>
              <w:rPr>
                <w:rFonts w:hint="default" w:ascii="Times New Roman" w:hAnsi="Times New Roman" w:eastAsia="仿宋_GB2312" w:cs="Times New Roman"/>
                <w:color w:val="auto"/>
                <w:sz w:val="18"/>
                <w:szCs w:val="18"/>
              </w:rPr>
              <w:t>渝北区龙溪街道红锦大道518号</w:t>
            </w:r>
          </w:p>
        </w:tc>
        <w:tc>
          <w:tcPr>
            <w:tcW w:w="86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地址</w:t>
            </w:r>
          </w:p>
        </w:tc>
        <w:tc>
          <w:tcPr>
            <w:tcW w:w="1849" w:type="pct"/>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重庆市万州区沙龙路三段488号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1"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邮编</w:t>
            </w:r>
          </w:p>
        </w:tc>
        <w:tc>
          <w:tcPr>
            <w:tcW w:w="1349" w:type="pct"/>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rPr>
              <w:t>400020</w:t>
            </w:r>
          </w:p>
        </w:tc>
        <w:tc>
          <w:tcPr>
            <w:tcW w:w="86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邮编</w:t>
            </w:r>
          </w:p>
        </w:tc>
        <w:tc>
          <w:tcPr>
            <w:tcW w:w="1849" w:type="pct"/>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rPr>
              <w:t>40</w:t>
            </w:r>
            <w:r>
              <w:rPr>
                <w:rFonts w:hint="default" w:ascii="Times New Roman" w:hAnsi="Times New Roman" w:eastAsia="仿宋_GB2312" w:cs="Times New Roman"/>
                <w:color w:val="auto"/>
                <w:sz w:val="18"/>
                <w:szCs w:val="18"/>
                <w:lang w:val="en-US" w:eastAsia="zh-CN"/>
              </w:rPr>
              <w:t>41</w:t>
            </w:r>
            <w:r>
              <w:rPr>
                <w:rFonts w:hint="eastAsia" w:ascii="Times New Roman" w:hAnsi="Times New Roman" w:eastAsia="仿宋_GB2312" w:cs="Times New Roman"/>
                <w:color w:val="auto"/>
                <w:sz w:val="18"/>
                <w:szCs w:val="18"/>
                <w:lang w:val="en-US" w:eastAsia="zh-CN"/>
              </w:rPr>
              <w:t>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1"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联系人及电话</w:t>
            </w:r>
          </w:p>
        </w:tc>
        <w:tc>
          <w:tcPr>
            <w:tcW w:w="1349" w:type="pct"/>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eastAsia="zh-CN"/>
              </w:rPr>
            </w:pPr>
            <w:r>
              <w:rPr>
                <w:rFonts w:hint="eastAsia" w:ascii="Times New Roman" w:hAnsi="Times New Roman" w:eastAsia="仿宋_GB2312" w:cs="Times New Roman"/>
                <w:color w:val="auto"/>
                <w:sz w:val="18"/>
                <w:szCs w:val="18"/>
                <w:lang w:val="en-US" w:eastAsia="zh-CN"/>
              </w:rPr>
              <w:t>刘李紫渊</w:t>
            </w:r>
            <w:r>
              <w:rPr>
                <w:rFonts w:hint="default" w:ascii="Times New Roman" w:hAnsi="Times New Roman" w:eastAsia="仿宋_GB2312" w:cs="Times New Roman"/>
                <w:color w:val="auto"/>
                <w:sz w:val="18"/>
                <w:szCs w:val="18"/>
                <w:lang w:val="en-US" w:eastAsia="zh-CN"/>
              </w:rPr>
              <w:t>/</w:t>
            </w:r>
            <w:r>
              <w:rPr>
                <w:rFonts w:hint="eastAsia" w:ascii="Times New Roman" w:hAnsi="Times New Roman" w:eastAsia="仿宋_GB2312" w:cs="Times New Roman"/>
                <w:color w:val="auto"/>
                <w:sz w:val="18"/>
                <w:szCs w:val="18"/>
                <w:lang w:val="en-US" w:eastAsia="zh-CN"/>
              </w:rPr>
              <w:t>13</w:t>
            </w:r>
            <w:r>
              <w:rPr>
                <w:rFonts w:hint="eastAsia" w:eastAsia="仿宋_GB2312" w:cs="Times New Roman"/>
                <w:color w:val="auto"/>
                <w:sz w:val="18"/>
                <w:szCs w:val="18"/>
                <w:lang w:val="en-US" w:eastAsia="zh-CN"/>
              </w:rPr>
              <w:t>***</w:t>
            </w:r>
            <w:r>
              <w:rPr>
                <w:rFonts w:hint="eastAsia" w:ascii="Times New Roman" w:hAnsi="Times New Roman" w:eastAsia="仿宋_GB2312" w:cs="Times New Roman"/>
                <w:color w:val="auto"/>
                <w:sz w:val="18"/>
                <w:szCs w:val="18"/>
                <w:lang w:val="en-US" w:eastAsia="zh-CN"/>
              </w:rPr>
              <w:t>88</w:t>
            </w:r>
          </w:p>
        </w:tc>
        <w:tc>
          <w:tcPr>
            <w:tcW w:w="86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联系人及电话</w:t>
            </w:r>
          </w:p>
        </w:tc>
        <w:tc>
          <w:tcPr>
            <w:tcW w:w="1849" w:type="pct"/>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rPr>
            </w:pPr>
            <w:r>
              <w:rPr>
                <w:rFonts w:hint="eastAsia" w:ascii="Times New Roman" w:hAnsi="Times New Roman" w:eastAsia="仿宋_GB2312" w:cs="Times New Roman"/>
                <w:color w:val="auto"/>
                <w:sz w:val="18"/>
                <w:szCs w:val="18"/>
                <w:lang w:val="en-US" w:eastAsia="zh-CN"/>
              </w:rPr>
              <w:t>郭鹏</w:t>
            </w:r>
            <w:r>
              <w:rPr>
                <w:rFonts w:hint="default" w:ascii="Times New Roman" w:hAnsi="Times New Roman" w:eastAsia="仿宋_GB2312" w:cs="Times New Roman"/>
                <w:color w:val="auto"/>
                <w:sz w:val="18"/>
                <w:szCs w:val="18"/>
              </w:rPr>
              <w:t>/ 13</w:t>
            </w:r>
            <w:r>
              <w:rPr>
                <w:rFonts w:hint="eastAsia" w:eastAsia="仿宋_GB2312" w:cs="Times New Roman"/>
                <w:color w:val="auto"/>
                <w:sz w:val="18"/>
                <w:szCs w:val="18"/>
                <w:lang w:val="en-US" w:eastAsia="zh-CN"/>
              </w:rPr>
              <w:t>***</w:t>
            </w:r>
            <w:r>
              <w:rPr>
                <w:rFonts w:hint="default" w:ascii="Times New Roman" w:hAnsi="Times New Roman" w:eastAsia="仿宋_GB2312" w:cs="Times New Roman"/>
                <w:color w:val="auto"/>
                <w:sz w:val="18"/>
                <w:szCs w:val="18"/>
              </w:rPr>
              <w:t>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1" w:type="pct"/>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传真</w:t>
            </w:r>
          </w:p>
        </w:tc>
        <w:tc>
          <w:tcPr>
            <w:tcW w:w="1349" w:type="pct"/>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68</w:t>
            </w:r>
            <w:r>
              <w:rPr>
                <w:rFonts w:hint="eastAsia" w:eastAsia="仿宋_GB2312" w:cs="Times New Roman"/>
                <w:color w:val="auto"/>
                <w:sz w:val="18"/>
                <w:szCs w:val="18"/>
                <w:lang w:val="en-US" w:eastAsia="zh-CN"/>
              </w:rPr>
              <w:t>***</w:t>
            </w:r>
            <w:r>
              <w:rPr>
                <w:rFonts w:hint="default" w:ascii="Times New Roman" w:hAnsi="Times New Roman" w:eastAsia="仿宋_GB2312" w:cs="Times New Roman"/>
                <w:color w:val="auto"/>
                <w:sz w:val="18"/>
                <w:szCs w:val="18"/>
              </w:rPr>
              <w:t>36</w:t>
            </w:r>
          </w:p>
        </w:tc>
        <w:tc>
          <w:tcPr>
            <w:tcW w:w="869" w:type="pc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传真</w:t>
            </w:r>
          </w:p>
        </w:tc>
        <w:tc>
          <w:tcPr>
            <w:tcW w:w="1849" w:type="pct"/>
            <w:gridSpan w:val="3"/>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931" w:type="pct"/>
            <w:gridSpan w:val="2"/>
            <w:tcBorders>
              <w:bottom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电子信箱</w:t>
            </w:r>
          </w:p>
        </w:tc>
        <w:tc>
          <w:tcPr>
            <w:tcW w:w="1349" w:type="pct"/>
            <w:gridSpan w:val="3"/>
            <w:tcBorders>
              <w:bottom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eastAsia" w:ascii="Times New Roman" w:hAnsi="Times New Roman" w:eastAsia="仿宋_GB2312" w:cs="Times New Roman"/>
                <w:color w:val="auto"/>
                <w:sz w:val="18"/>
                <w:szCs w:val="18"/>
                <w:lang w:val="en-US" w:eastAsia="zh-CN"/>
              </w:rPr>
              <w:t>10</w:t>
            </w:r>
            <w:r>
              <w:rPr>
                <w:rFonts w:hint="eastAsia" w:eastAsia="仿宋_GB2312" w:cs="Times New Roman"/>
                <w:color w:val="auto"/>
                <w:sz w:val="18"/>
                <w:szCs w:val="18"/>
                <w:lang w:val="en-US" w:eastAsia="zh-CN"/>
              </w:rPr>
              <w:t>***</w:t>
            </w:r>
            <w:bookmarkStart w:id="0" w:name="_GoBack"/>
            <w:bookmarkEnd w:id="0"/>
            <w:r>
              <w:rPr>
                <w:rFonts w:hint="eastAsia" w:ascii="Times New Roman" w:hAnsi="Times New Roman" w:eastAsia="仿宋_GB2312" w:cs="Times New Roman"/>
                <w:color w:val="auto"/>
                <w:sz w:val="18"/>
                <w:szCs w:val="18"/>
                <w:lang w:val="en-US" w:eastAsia="zh-CN"/>
              </w:rPr>
              <w:t>16</w:t>
            </w:r>
            <w:r>
              <w:rPr>
                <w:rFonts w:hint="default" w:ascii="Times New Roman" w:hAnsi="Times New Roman" w:eastAsia="仿宋_GB2312" w:cs="Times New Roman"/>
                <w:color w:val="auto"/>
                <w:sz w:val="18"/>
                <w:szCs w:val="18"/>
              </w:rPr>
              <w:t>@qq.com</w:t>
            </w:r>
          </w:p>
        </w:tc>
        <w:tc>
          <w:tcPr>
            <w:tcW w:w="869" w:type="pct"/>
            <w:tcBorders>
              <w:bottom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电子信箱</w:t>
            </w:r>
          </w:p>
        </w:tc>
        <w:tc>
          <w:tcPr>
            <w:tcW w:w="1849" w:type="pct"/>
            <w:gridSpan w:val="3"/>
            <w:tcBorders>
              <w:bottom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color w:val="auto"/>
                <w:sz w:val="18"/>
                <w:szCs w:val="18"/>
              </w:rPr>
            </w:pPr>
            <w:r>
              <w:rPr>
                <w:rFonts w:hint="eastAsia" w:ascii="Times New Roman" w:hAnsi="Times New Roman" w:eastAsia="仿宋_GB2312" w:cs="Times New Roman"/>
                <w:color w:val="auto"/>
                <w:sz w:val="18"/>
                <w:szCs w:val="18"/>
                <w:lang w:val="en-US" w:eastAsia="zh-CN"/>
              </w:rPr>
              <w:t>/</w:t>
            </w:r>
          </w:p>
        </w:tc>
      </w:tr>
    </w:tbl>
    <w:p>
      <w:pPr>
        <w:snapToGrid w:val="0"/>
        <w:spacing w:line="594" w:lineRule="exact"/>
        <w:jc w:val="center"/>
        <w:rPr>
          <w:rFonts w:hint="eastAsia" w:ascii="Times New Roman" w:hAnsi="Times New Roman" w:eastAsia="方正小标宋_GBK" w:cs="Times New Roman"/>
          <w:bCs/>
          <w:color w:val="FF0000"/>
          <w:sz w:val="44"/>
          <w:szCs w:val="44"/>
          <w:lang w:eastAsia="zh-CN"/>
        </w:rPr>
      </w:pPr>
    </w:p>
    <w:p>
      <w:pPr>
        <w:rPr>
          <w:rFonts w:ascii="Times New Roman" w:hAnsi="Times New Roman" w:eastAsia="方正黑体_GBK" w:cs="Times New Roman"/>
          <w:color w:val="FF0000"/>
          <w:sz w:val="32"/>
          <w:szCs w:val="32"/>
        </w:rPr>
      </w:pPr>
      <w:r>
        <w:rPr>
          <w:rFonts w:ascii="Times New Roman" w:hAnsi="Times New Roman" w:eastAsia="方正黑体_GBK" w:cs="Times New Roman"/>
          <w:color w:val="FF0000"/>
          <w:sz w:val="32"/>
          <w:szCs w:val="32"/>
        </w:rPr>
        <w:br w:type="page"/>
      </w:r>
    </w:p>
    <w:p>
      <w:pPr>
        <w:spacing w:line="594" w:lineRule="exact"/>
        <w:rPr>
          <w:rFonts w:hint="eastAsia" w:ascii="Times New Roman" w:hAnsi="Times New Roman" w:eastAsia="方正黑体_GBK" w:cs="Times New Roman"/>
          <w:color w:val="auto"/>
          <w:sz w:val="32"/>
          <w:szCs w:val="32"/>
          <w:lang w:val="en-US" w:eastAsia="zh-CN"/>
        </w:rPr>
      </w:pPr>
      <w:r>
        <w:rPr>
          <w:rFonts w:ascii="Times New Roman" w:hAnsi="Times New Roman" w:eastAsia="方正黑体_GBK" w:cs="Times New Roman"/>
          <w:color w:val="auto"/>
          <w:sz w:val="32"/>
          <w:szCs w:val="32"/>
        </w:rPr>
        <w:t>附件</w:t>
      </w:r>
      <w:r>
        <w:rPr>
          <w:rFonts w:hint="eastAsia" w:eastAsia="方正黑体_GBK" w:cs="Times New Roman"/>
          <w:color w:val="auto"/>
          <w:sz w:val="32"/>
          <w:szCs w:val="32"/>
          <w:lang w:val="en-US" w:eastAsia="zh-CN"/>
        </w:rPr>
        <w:t>2</w:t>
      </w:r>
    </w:p>
    <w:p>
      <w:pPr>
        <w:snapToGrid w:val="0"/>
        <w:spacing w:line="594" w:lineRule="exact"/>
        <w:jc w:val="center"/>
        <w:rPr>
          <w:rFonts w:hint="eastAsia" w:eastAsia="方正小标宋_GBK" w:cs="Times New Roman"/>
          <w:bCs/>
          <w:color w:val="auto"/>
          <w:sz w:val="44"/>
          <w:szCs w:val="44"/>
          <w:lang w:eastAsia="zh-CN"/>
        </w:rPr>
      </w:pPr>
    </w:p>
    <w:p>
      <w:pPr>
        <w:snapToGrid w:val="0"/>
        <w:spacing w:line="594" w:lineRule="exact"/>
        <w:jc w:val="center"/>
        <w:rPr>
          <w:rFonts w:hint="eastAsia" w:eastAsia="方正小标宋_GBK" w:cs="Times New Roman"/>
          <w:bCs/>
          <w:color w:val="auto"/>
          <w:sz w:val="44"/>
          <w:szCs w:val="44"/>
          <w:lang w:eastAsia="zh-CN"/>
        </w:rPr>
      </w:pPr>
      <w:r>
        <w:rPr>
          <w:rFonts w:hint="eastAsia" w:eastAsia="方正小标宋_GBK" w:cs="Times New Roman"/>
          <w:bCs/>
          <w:color w:val="auto"/>
          <w:sz w:val="44"/>
          <w:szCs w:val="44"/>
          <w:lang w:eastAsia="zh-CN"/>
        </w:rPr>
        <w:t>万州区万一中至驸马片区库岸及消落区</w:t>
      </w:r>
    </w:p>
    <w:p>
      <w:pPr>
        <w:snapToGrid w:val="0"/>
        <w:spacing w:line="594" w:lineRule="exact"/>
        <w:jc w:val="center"/>
        <w:rPr>
          <w:rFonts w:hint="eastAsia" w:eastAsia="方正小标宋_GBK" w:cs="Times New Roman"/>
          <w:bCs/>
          <w:color w:val="auto"/>
          <w:sz w:val="44"/>
          <w:szCs w:val="44"/>
          <w:lang w:eastAsia="zh-CN"/>
        </w:rPr>
      </w:pPr>
      <w:r>
        <w:rPr>
          <w:rFonts w:hint="eastAsia" w:eastAsia="方正小标宋_GBK" w:cs="Times New Roman"/>
          <w:bCs/>
          <w:color w:val="auto"/>
          <w:sz w:val="44"/>
          <w:szCs w:val="44"/>
          <w:lang w:eastAsia="zh-CN"/>
        </w:rPr>
        <w:t>综合整治工程（北滨大道延伸段道路工程）</w:t>
      </w:r>
    </w:p>
    <w:p>
      <w:pPr>
        <w:snapToGrid w:val="0"/>
        <w:spacing w:line="594" w:lineRule="exact"/>
        <w:jc w:val="center"/>
        <w:rPr>
          <w:rFonts w:ascii="Times New Roman" w:hAnsi="Times New Roman" w:eastAsia="方正小标宋_GBK" w:cs="Times New Roman"/>
          <w:color w:val="auto"/>
          <w:sz w:val="44"/>
          <w:szCs w:val="44"/>
        </w:rPr>
      </w:pPr>
      <w:r>
        <w:rPr>
          <w:rFonts w:ascii="Times New Roman" w:hAnsi="Times New Roman" w:eastAsia="方正小标宋_GBK" w:cs="Times New Roman"/>
          <w:color w:val="auto"/>
          <w:sz w:val="44"/>
          <w:szCs w:val="44"/>
        </w:rPr>
        <w:t>水土保持方案报告书专家评审意见</w:t>
      </w:r>
    </w:p>
    <w:p>
      <w:pPr>
        <w:spacing w:line="594" w:lineRule="exact"/>
        <w:jc w:val="center"/>
        <w:rPr>
          <w:rFonts w:ascii="Times New Roman" w:hAnsi="Times New Roman" w:eastAsia="方正小标宋_GBK" w:cs="Times New Roman"/>
          <w:color w:val="FF0000"/>
          <w:sz w:val="44"/>
          <w:szCs w:val="44"/>
        </w:rPr>
      </w:pPr>
    </w:p>
    <w:p>
      <w:pPr>
        <w:pageBreakBefore w:val="0"/>
        <w:kinsoku/>
        <w:wordWrap/>
        <w:overflowPunct/>
        <w:topLinePunct w:val="0"/>
        <w:bidi w:val="0"/>
        <w:spacing w:line="594" w:lineRule="exact"/>
        <w:ind w:left="0" w:leftChars="0" w:firstLine="640" w:firstLineChars="200"/>
        <w:textAlignment w:val="auto"/>
        <w:rPr>
          <w:rFonts w:hint="eastAsia" w:ascii="Times New Roman" w:hAnsi="Times New Roman" w:eastAsia="方正仿宋_GBK" w:cs="Times New Roman"/>
          <w:sz w:val="32"/>
          <w:szCs w:val="32"/>
          <w:lang w:bidi="ar"/>
        </w:rPr>
      </w:pPr>
      <w:r>
        <w:rPr>
          <w:rFonts w:hint="eastAsia" w:ascii="Times New Roman" w:hAnsi="Times New Roman" w:eastAsia="方正仿宋_GBK" w:cs="Times New Roman"/>
          <w:sz w:val="32"/>
          <w:szCs w:val="32"/>
          <w:lang w:bidi="ar"/>
        </w:rPr>
        <w:t>202</w:t>
      </w:r>
      <w:r>
        <w:rPr>
          <w:rFonts w:hint="eastAsia" w:ascii="Times New Roman" w:hAnsi="Times New Roman" w:eastAsia="方正仿宋_GBK" w:cs="Times New Roman"/>
          <w:sz w:val="32"/>
          <w:szCs w:val="32"/>
          <w:lang w:val="en-US" w:eastAsia="zh-CN" w:bidi="ar"/>
        </w:rPr>
        <w:t>4</w:t>
      </w:r>
      <w:r>
        <w:rPr>
          <w:rFonts w:hint="eastAsia" w:ascii="Times New Roman" w:hAnsi="Times New Roman" w:eastAsia="方正仿宋_GBK" w:cs="Times New Roman"/>
          <w:sz w:val="32"/>
          <w:szCs w:val="32"/>
          <w:lang w:bidi="ar"/>
        </w:rPr>
        <w:t>年</w:t>
      </w:r>
      <w:r>
        <w:rPr>
          <w:rFonts w:hint="eastAsia" w:ascii="Times New Roman" w:hAnsi="Times New Roman" w:eastAsia="方正仿宋_GBK" w:cs="Times New Roman"/>
          <w:sz w:val="32"/>
          <w:szCs w:val="32"/>
          <w:lang w:val="en-US" w:eastAsia="zh-CN" w:bidi="ar"/>
        </w:rPr>
        <w:t>1</w:t>
      </w:r>
      <w:r>
        <w:rPr>
          <w:rFonts w:hint="eastAsia" w:ascii="Times New Roman" w:hAnsi="Times New Roman" w:eastAsia="方正仿宋_GBK" w:cs="Times New Roman"/>
          <w:sz w:val="32"/>
          <w:szCs w:val="32"/>
          <w:lang w:bidi="ar"/>
        </w:rPr>
        <w:t>月</w:t>
      </w:r>
      <w:r>
        <w:rPr>
          <w:rFonts w:hint="eastAsia" w:ascii="Times New Roman" w:hAnsi="Times New Roman" w:eastAsia="方正仿宋_GBK" w:cs="Times New Roman"/>
          <w:sz w:val="32"/>
          <w:szCs w:val="32"/>
          <w:lang w:val="en-US" w:eastAsia="zh-CN" w:bidi="ar"/>
        </w:rPr>
        <w:t>18</w:t>
      </w:r>
      <w:r>
        <w:rPr>
          <w:rFonts w:hint="eastAsia" w:ascii="Times New Roman" w:hAnsi="Times New Roman" w:eastAsia="方正仿宋_GBK" w:cs="Times New Roman"/>
          <w:sz w:val="32"/>
          <w:szCs w:val="32"/>
          <w:lang w:bidi="ar"/>
        </w:rPr>
        <w:t>日，</w:t>
      </w:r>
      <w:r>
        <w:rPr>
          <w:rFonts w:ascii="Times New Roman" w:hAnsi="Times New Roman" w:eastAsia="方正仿宋_GBK" w:cs="Times New Roman"/>
          <w:sz w:val="32"/>
          <w:szCs w:val="32"/>
          <w:lang w:bidi="ar"/>
        </w:rPr>
        <w:t>重庆市水利局组织召开了《</w:t>
      </w:r>
      <w:r>
        <w:rPr>
          <w:rFonts w:hint="eastAsia" w:ascii="Times New Roman" w:hAnsi="Times New Roman" w:eastAsia="方正仿宋_GBK" w:cs="Times New Roman"/>
          <w:bCs/>
          <w:sz w:val="32"/>
          <w:szCs w:val="32"/>
          <w:lang w:bidi="ar"/>
        </w:rPr>
        <w:t>万州区万一中至驸马片区库岸及消落区综合整治工程（北滨大道延伸段道路工程）水土保持方案报告书</w:t>
      </w:r>
      <w:r>
        <w:rPr>
          <w:rFonts w:ascii="Times New Roman" w:hAnsi="Times New Roman" w:eastAsia="方正仿宋_GBK" w:cs="Times New Roman"/>
          <w:sz w:val="32"/>
          <w:szCs w:val="32"/>
          <w:lang w:bidi="ar"/>
        </w:rPr>
        <w:t>》（以下简称《水保方案》）专家评审会。</w:t>
      </w:r>
      <w:r>
        <w:rPr>
          <w:rFonts w:hint="eastAsia" w:ascii="Times New Roman" w:hAnsi="Times New Roman" w:eastAsia="方正仿宋_GBK" w:cs="Times New Roman"/>
          <w:sz w:val="32"/>
          <w:szCs w:val="32"/>
          <w:lang w:eastAsia="zh-CN" w:bidi="ar"/>
        </w:rPr>
        <w:t>万州区水利局、</w:t>
      </w:r>
      <w:r>
        <w:rPr>
          <w:rFonts w:hint="eastAsia" w:ascii="Times New Roman" w:hAnsi="Times New Roman" w:eastAsia="方正仿宋_GBK" w:cs="Times New Roman"/>
          <w:sz w:val="32"/>
          <w:szCs w:val="32"/>
          <w:lang w:bidi="ar"/>
        </w:rPr>
        <w:t>重庆市万州三峡平湖有限公司（以下简称项目法人）、重庆信博水利工程设计有限公司（以下简称报告编制单位）</w:t>
      </w:r>
      <w:r>
        <w:rPr>
          <w:rFonts w:ascii="Times New Roman" w:hAnsi="Times New Roman" w:eastAsia="方正仿宋_GBK" w:cs="Times New Roman"/>
          <w:sz w:val="32"/>
          <w:szCs w:val="32"/>
          <w:lang w:bidi="ar"/>
        </w:rPr>
        <w:t>的代表参加了会议。会议成立了专家组，专家组成员会前详细审阅了《水保方案》，与会人员会上认真听取了项目法人和报告编制单位的汇报，进行了深入讨论。根据</w:t>
      </w:r>
      <w:r>
        <w:rPr>
          <w:rFonts w:hint="eastAsia" w:ascii="Times New Roman" w:hAnsi="Times New Roman" w:eastAsia="方正仿宋_GBK" w:cs="Times New Roman"/>
          <w:sz w:val="32"/>
          <w:szCs w:val="32"/>
          <w:lang w:bidi="ar"/>
        </w:rPr>
        <w:t>“办水保〔2023〕177号”和“渝水〔2018〕267号”，</w:t>
      </w:r>
      <w:r>
        <w:rPr>
          <w:rFonts w:ascii="Times New Roman" w:hAnsi="Times New Roman" w:eastAsia="方正仿宋_GBK" w:cs="Times New Roman"/>
          <w:sz w:val="32"/>
          <w:szCs w:val="32"/>
          <w:lang w:bidi="ar"/>
        </w:rPr>
        <w:t>专家组对《水保方案》进行了质量评分，质量评定等级合格。报告编制单位会后对《水保方案》进行了修改完善，项目法人于202</w:t>
      </w:r>
      <w:r>
        <w:rPr>
          <w:rFonts w:hint="eastAsia" w:ascii="Times New Roman" w:hAnsi="Times New Roman" w:eastAsia="方正仿宋_GBK" w:cs="Times New Roman"/>
          <w:sz w:val="32"/>
          <w:szCs w:val="32"/>
          <w:lang w:val="en-US" w:eastAsia="zh-CN" w:bidi="ar"/>
        </w:rPr>
        <w:t>4</w:t>
      </w:r>
      <w:r>
        <w:rPr>
          <w:rFonts w:ascii="Times New Roman" w:hAnsi="Times New Roman" w:eastAsia="方正仿宋_GBK" w:cs="Times New Roman"/>
          <w:sz w:val="32"/>
          <w:szCs w:val="32"/>
          <w:lang w:bidi="ar"/>
        </w:rPr>
        <w:t>年</w:t>
      </w:r>
      <w:r>
        <w:rPr>
          <w:rFonts w:hint="eastAsia" w:ascii="Times New Roman" w:hAnsi="Times New Roman" w:eastAsia="方正仿宋_GBK" w:cs="Times New Roman"/>
          <w:sz w:val="32"/>
          <w:szCs w:val="32"/>
          <w:lang w:val="en-US" w:eastAsia="zh-CN" w:bidi="ar"/>
        </w:rPr>
        <w:t>3</w:t>
      </w:r>
      <w:r>
        <w:rPr>
          <w:rFonts w:ascii="Times New Roman" w:hAnsi="Times New Roman" w:eastAsia="方正仿宋_GBK" w:cs="Times New Roman"/>
          <w:sz w:val="32"/>
          <w:szCs w:val="32"/>
          <w:lang w:bidi="ar"/>
        </w:rPr>
        <w:t>月</w:t>
      </w:r>
      <w:r>
        <w:rPr>
          <w:rFonts w:hint="eastAsia" w:ascii="Times New Roman" w:hAnsi="Times New Roman" w:eastAsia="方正仿宋_GBK" w:cs="Times New Roman"/>
          <w:sz w:val="32"/>
          <w:szCs w:val="32"/>
          <w:lang w:val="en-US" w:eastAsia="zh-CN" w:bidi="ar"/>
        </w:rPr>
        <w:t>1</w:t>
      </w:r>
      <w:r>
        <w:rPr>
          <w:rFonts w:ascii="Times New Roman" w:hAnsi="Times New Roman" w:eastAsia="方正仿宋_GBK" w:cs="Times New Roman"/>
          <w:sz w:val="32"/>
          <w:szCs w:val="32"/>
          <w:lang w:bidi="ar"/>
        </w:rPr>
        <w:t>日</w:t>
      </w:r>
      <w:r>
        <w:rPr>
          <w:rFonts w:ascii="Times New Roman" w:hAnsi="Times New Roman" w:eastAsia="方正仿宋_GBK" w:cs="Times New Roman"/>
          <w:sz w:val="32"/>
          <w:szCs w:val="32"/>
        </w:rPr>
        <w:t>提交</w:t>
      </w:r>
      <w:r>
        <w:rPr>
          <w:rFonts w:ascii="Times New Roman" w:hAnsi="Times New Roman" w:eastAsia="方正仿宋_GBK" w:cs="Times New Roman"/>
          <w:sz w:val="32"/>
          <w:szCs w:val="32"/>
          <w:lang w:bidi="ar"/>
        </w:rPr>
        <w:t>了</w:t>
      </w:r>
      <w:r>
        <w:rPr>
          <w:rFonts w:ascii="Times New Roman" w:hAnsi="Times New Roman" w:eastAsia="方正仿宋_GBK" w:cs="Times New Roman"/>
          <w:bCs/>
          <w:sz w:val="32"/>
          <w:szCs w:val="32"/>
        </w:rPr>
        <w:t>《水保方案》</w:t>
      </w:r>
      <w:r>
        <w:rPr>
          <w:rFonts w:ascii="Times New Roman" w:hAnsi="Times New Roman" w:eastAsia="方正仿宋_GBK" w:cs="Times New Roman"/>
          <w:sz w:val="32"/>
          <w:szCs w:val="32"/>
          <w:lang w:bidi="ar"/>
        </w:rPr>
        <w:t>（报批稿）。经专家组复核，形成专家评审意见如下：</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方正黑体_GBK" w:hAnsi="Calibri" w:eastAsia="方正黑体_GBK" w:cs="Times New Roman"/>
          <w:snapToGrid w:val="0"/>
          <w:kern w:val="0"/>
          <w:sz w:val="32"/>
          <w:szCs w:val="32"/>
        </w:rPr>
      </w:pPr>
      <w:r>
        <w:rPr>
          <w:rFonts w:hint="eastAsia" w:ascii="方正黑体_GBK" w:hAnsi="Calibri" w:eastAsia="方正黑体_GBK" w:cs="Times New Roman"/>
          <w:snapToGrid w:val="0"/>
          <w:kern w:val="0"/>
          <w:sz w:val="32"/>
          <w:szCs w:val="32"/>
        </w:rPr>
        <w:t>一、综合说明</w:t>
      </w:r>
    </w:p>
    <w:p>
      <w:pPr>
        <w:pageBreakBefore w:val="0"/>
        <w:kinsoku/>
        <w:wordWrap/>
        <w:overflowPunct/>
        <w:topLinePunct w:val="0"/>
        <w:bidi w:val="0"/>
        <w:spacing w:line="594" w:lineRule="exact"/>
        <w:ind w:left="0" w:leftChars="0"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（一）方案编制依据的法律法规、部委规章、规范性文件、规范标准和技术文件及采用的资料基本正确。</w:t>
      </w:r>
    </w:p>
    <w:p>
      <w:pPr>
        <w:pageBreakBefore w:val="0"/>
        <w:kinsoku/>
        <w:wordWrap/>
        <w:overflowPunct/>
        <w:topLinePunct w:val="0"/>
        <w:bidi w:val="0"/>
        <w:spacing w:line="594" w:lineRule="exact"/>
        <w:ind w:left="0" w:leftChars="0"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（二）同意方案设计水平年为202</w:t>
      </w: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rPr>
        <w:t>年。</w:t>
      </w:r>
    </w:p>
    <w:p>
      <w:pPr>
        <w:pageBreakBefore w:val="0"/>
        <w:kinsoku/>
        <w:wordWrap/>
        <w:overflowPunct/>
        <w:topLinePunct w:val="0"/>
        <w:bidi w:val="0"/>
        <w:spacing w:line="594" w:lineRule="exact"/>
        <w:ind w:left="0" w:leftChars="0"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（三）同意水土流失防治责任范围界定，水土流失防治责任范围面积为</w:t>
      </w:r>
      <w:r>
        <w:rPr>
          <w:rFonts w:hint="eastAsia" w:ascii="Times New Roman" w:hAnsi="Times New Roman" w:eastAsia="方正仿宋_GBK" w:cs="Times New Roman"/>
          <w:sz w:val="32"/>
          <w:szCs w:val="32"/>
          <w:lang w:val="en-US" w:eastAsia="zh-CN"/>
        </w:rPr>
        <w:t>50.87</w:t>
      </w:r>
      <w:r>
        <w:rPr>
          <w:rFonts w:hint="eastAsia" w:ascii="Times New Roman" w:hAnsi="Times New Roman" w:eastAsia="方正仿宋_GBK" w:cs="Times New Roman"/>
          <w:sz w:val="32"/>
          <w:szCs w:val="32"/>
        </w:rPr>
        <w:t>hm</w:t>
      </w:r>
      <w:r>
        <w:rPr>
          <w:rFonts w:hint="eastAsia" w:ascii="Times New Roman" w:hAnsi="Times New Roman" w:eastAsia="方正仿宋_GBK" w:cs="Times New Roman"/>
          <w:sz w:val="32"/>
          <w:szCs w:val="32"/>
          <w:vertAlign w:val="superscript"/>
        </w:rPr>
        <w:t>2</w:t>
      </w:r>
      <w:r>
        <w:rPr>
          <w:rFonts w:hint="eastAsia" w:ascii="Times New Roman" w:hAnsi="Times New Roman" w:eastAsia="方正仿宋_GBK" w:cs="Times New Roman"/>
          <w:color w:val="auto"/>
          <w:sz w:val="32"/>
          <w:szCs w:val="32"/>
          <w:lang w:eastAsia="zh-CN"/>
        </w:rPr>
        <w:t>。</w:t>
      </w:r>
    </w:p>
    <w:p>
      <w:pPr>
        <w:pageBreakBefore w:val="0"/>
        <w:kinsoku/>
        <w:wordWrap/>
        <w:overflowPunct/>
        <w:topLinePunct w:val="0"/>
        <w:bidi w:val="0"/>
        <w:spacing w:line="594" w:lineRule="exact"/>
        <w:ind w:left="0" w:leftChars="0"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（四）同意项目水土流失防治标准等级执行西南紫色土区建设类项目一级标准。</w:t>
      </w:r>
    </w:p>
    <w:p>
      <w:pPr>
        <w:pageBreakBefore w:val="0"/>
        <w:kinsoku/>
        <w:wordWrap/>
        <w:overflowPunct/>
        <w:topLinePunct w:val="0"/>
        <w:bidi w:val="0"/>
        <w:spacing w:line="594" w:lineRule="exact"/>
        <w:ind w:left="0" w:leftChars="0" w:firstLine="640" w:firstLineChars="200"/>
        <w:textAlignment w:val="auto"/>
        <w:rPr>
          <w:rFonts w:ascii="方正仿宋_GBK" w:hAnsi="Calibri" w:eastAsia="方正仿宋_GBK" w:cs="Times New Roman"/>
          <w:bCs/>
          <w:snapToGrid w:val="0"/>
          <w:kern w:val="0"/>
          <w:sz w:val="32"/>
          <w:szCs w:val="32"/>
        </w:rPr>
      </w:pPr>
      <w:r>
        <w:rPr>
          <w:rFonts w:hint="eastAsia" w:ascii="Times New Roman" w:hAnsi="Times New Roman" w:eastAsia="方正仿宋_GBK" w:cs="Times New Roman"/>
          <w:sz w:val="32"/>
          <w:szCs w:val="32"/>
        </w:rPr>
        <w:t>（五）同意水土流失防治目标。其中：水土流失治理度97%，土壤流失控制比1.0，渣土防护率9</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%，表土保护率92%，林草植被恢复率97%，林草覆盖率2</w:t>
      </w: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rPr>
        <w:t>%</w:t>
      </w:r>
      <w:r>
        <w:rPr>
          <w:rFonts w:hint="eastAsia" w:ascii="方正仿宋_GBK" w:hAnsi="Calibri" w:eastAsia="方正仿宋_GBK" w:cs="Times New Roman"/>
          <w:bCs/>
          <w:snapToGrid w:val="0"/>
          <w:kern w:val="0"/>
          <w:sz w:val="32"/>
          <w:szCs w:val="32"/>
        </w:rPr>
        <w:t>。</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方正黑体_GBK" w:hAnsi="Calibri" w:eastAsia="方正黑体_GBK" w:cs="Times New Roman"/>
          <w:snapToGrid w:val="0"/>
          <w:kern w:val="0"/>
          <w:sz w:val="32"/>
          <w:szCs w:val="32"/>
        </w:rPr>
      </w:pPr>
      <w:r>
        <w:rPr>
          <w:rFonts w:hint="eastAsia" w:ascii="方正黑体_GBK" w:hAnsi="Calibri" w:eastAsia="方正黑体_GBK" w:cs="Times New Roman"/>
          <w:snapToGrid w:val="0"/>
          <w:kern w:val="0"/>
          <w:sz w:val="32"/>
          <w:szCs w:val="32"/>
        </w:rPr>
        <w:t>二、项目概况</w:t>
      </w:r>
    </w:p>
    <w:p>
      <w:pPr>
        <w:pageBreakBefore w:val="0"/>
        <w:kinsoku/>
        <w:wordWrap/>
        <w:overflowPunct/>
        <w:topLinePunct w:val="0"/>
        <w:bidi w:val="0"/>
        <w:spacing w:line="594" w:lineRule="exact"/>
        <w:ind w:left="0" w:leftChars="0"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（一）项目概况阐述较为清楚</w:t>
      </w:r>
    </w:p>
    <w:p>
      <w:pPr>
        <w:pageBreakBefore w:val="0"/>
        <w:kinsoku/>
        <w:wordWrap/>
        <w:overflowPunct/>
        <w:topLinePunct w:val="0"/>
        <w:bidi w:val="0"/>
        <w:spacing w:line="594" w:lineRule="exact"/>
        <w:ind w:left="0" w:leftChars="0"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万州区万一中至驸马片区库岸及消落区综合整治工程位于重庆市万州区钟鼓楼街道驸马村，为新建工程，建设内容包括库岸及消落区整治工程、滑坡治理工程和北滨大道延伸段道路工程三部分，本项目仅包括北滨大道延伸段道路工程。</w:t>
      </w:r>
    </w:p>
    <w:p>
      <w:pPr>
        <w:pageBreakBefore w:val="0"/>
        <w:kinsoku/>
        <w:wordWrap/>
        <w:overflowPunct/>
        <w:topLinePunct w:val="0"/>
        <w:bidi w:val="0"/>
        <w:spacing w:line="594" w:lineRule="exact"/>
        <w:ind w:left="0" w:leftChars="0"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道路工程全长5222m，属城市主干路，道路标准宽度为33m，布置双向六车道，道路标准断面为4.5m</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人行道，含1.5m绿化带</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+11.25m</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车行道</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+1.5m（中分带）+11.25m</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车行道</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+4.5m</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人行道，含1.5m绿化带</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，设计车速为60km/h。全线布设交叉口4处，均为T字路口。全线布设跨支（冲）沟桥梁4座，桥梁总长1452m。</w:t>
      </w:r>
    </w:p>
    <w:p>
      <w:pPr>
        <w:pageBreakBefore w:val="0"/>
        <w:kinsoku/>
        <w:wordWrap/>
        <w:overflowPunct/>
        <w:topLinePunct w:val="0"/>
        <w:bidi w:val="0"/>
        <w:spacing w:line="594" w:lineRule="exact"/>
        <w:ind w:left="0" w:leftChars="0"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本工程总占地50.87hm</w:t>
      </w:r>
      <w:r>
        <w:rPr>
          <w:rFonts w:hint="eastAsia" w:ascii="Times New Roman" w:hAnsi="Times New Roman" w:eastAsia="方正仿宋_GBK" w:cs="Times New Roman"/>
          <w:sz w:val="32"/>
          <w:szCs w:val="32"/>
          <w:vertAlign w:val="superscript"/>
        </w:rPr>
        <w:t>2</w:t>
      </w:r>
      <w:r>
        <w:rPr>
          <w:rFonts w:hint="eastAsia" w:ascii="Times New Roman" w:hAnsi="Times New Roman" w:eastAsia="方正仿宋_GBK" w:cs="Times New Roman"/>
          <w:sz w:val="32"/>
          <w:szCs w:val="32"/>
        </w:rPr>
        <w:t>，其中</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永久占地25.75hm</w:t>
      </w:r>
      <w:r>
        <w:rPr>
          <w:rFonts w:hint="eastAsia" w:ascii="Times New Roman" w:hAnsi="Times New Roman" w:eastAsia="方正仿宋_GBK" w:cs="Times New Roman"/>
          <w:sz w:val="32"/>
          <w:szCs w:val="32"/>
          <w:vertAlign w:val="superscript"/>
        </w:rPr>
        <w:t>2</w:t>
      </w:r>
      <w:r>
        <w:rPr>
          <w:rFonts w:hint="eastAsia" w:ascii="Times New Roman" w:hAnsi="Times New Roman" w:eastAsia="方正仿宋_GBK" w:cs="Times New Roman"/>
          <w:sz w:val="32"/>
          <w:szCs w:val="32"/>
        </w:rPr>
        <w:t>，临时占地25.12hm</w:t>
      </w:r>
      <w:r>
        <w:rPr>
          <w:rFonts w:hint="eastAsia" w:ascii="Times New Roman" w:hAnsi="Times New Roman" w:eastAsia="方正仿宋_GBK" w:cs="Times New Roman"/>
          <w:sz w:val="32"/>
          <w:szCs w:val="32"/>
          <w:vertAlign w:val="superscript"/>
        </w:rPr>
        <w:t>2</w:t>
      </w:r>
      <w:r>
        <w:rPr>
          <w:rFonts w:hint="eastAsia" w:ascii="Times New Roman" w:hAnsi="Times New Roman" w:eastAsia="方正仿宋_GBK" w:cs="Times New Roman"/>
          <w:sz w:val="32"/>
          <w:szCs w:val="32"/>
        </w:rPr>
        <w:t>。开挖土石方230.41万m</w:t>
      </w:r>
      <w:r>
        <w:rPr>
          <w:rFonts w:hint="eastAsia" w:ascii="Times New Roman" w:hAnsi="Times New Roman" w:eastAsia="方正仿宋_GBK" w:cs="Times New Roman"/>
          <w:sz w:val="32"/>
          <w:szCs w:val="32"/>
          <w:vertAlign w:val="superscript"/>
        </w:rPr>
        <w:t>3</w:t>
      </w:r>
      <w:r>
        <w:rPr>
          <w:rFonts w:hint="eastAsia" w:ascii="Times New Roman" w:hAnsi="Times New Roman" w:eastAsia="方正仿宋_GBK" w:cs="Times New Roman"/>
          <w:sz w:val="32"/>
          <w:szCs w:val="32"/>
        </w:rPr>
        <w:t>，回填土石方量27.23万m</w:t>
      </w:r>
      <w:r>
        <w:rPr>
          <w:rFonts w:hint="eastAsia" w:ascii="Times New Roman" w:hAnsi="Times New Roman" w:eastAsia="方正仿宋_GBK" w:cs="Times New Roman"/>
          <w:sz w:val="32"/>
          <w:szCs w:val="32"/>
          <w:vertAlign w:val="superscript"/>
        </w:rPr>
        <w:t>3</w:t>
      </w:r>
      <w:r>
        <w:rPr>
          <w:rFonts w:hint="eastAsia" w:ascii="Times New Roman" w:hAnsi="Times New Roman" w:eastAsia="方正仿宋_GBK" w:cs="Times New Roman"/>
          <w:sz w:val="32"/>
          <w:szCs w:val="32"/>
        </w:rPr>
        <w:t>，余方203.18万m</w:t>
      </w:r>
      <w:r>
        <w:rPr>
          <w:rFonts w:hint="eastAsia" w:ascii="Times New Roman" w:hAnsi="Times New Roman" w:eastAsia="方正仿宋_GBK" w:cs="Times New Roman"/>
          <w:sz w:val="32"/>
          <w:szCs w:val="32"/>
          <w:vertAlign w:val="superscript"/>
        </w:rPr>
        <w:t>3</w:t>
      </w:r>
      <w:r>
        <w:rPr>
          <w:rFonts w:hint="eastAsia" w:ascii="Times New Roman" w:hAnsi="Times New Roman" w:eastAsia="方正仿宋_GBK" w:cs="Times New Roman"/>
          <w:sz w:val="32"/>
          <w:szCs w:val="32"/>
        </w:rPr>
        <w:t>，其中96.87万m</w:t>
      </w:r>
      <w:r>
        <w:rPr>
          <w:rFonts w:hint="eastAsia" w:ascii="Times New Roman" w:hAnsi="Times New Roman" w:eastAsia="方正仿宋_GBK" w:cs="Times New Roman"/>
          <w:sz w:val="32"/>
          <w:szCs w:val="32"/>
          <w:vertAlign w:val="superscript"/>
        </w:rPr>
        <w:t>3</w:t>
      </w:r>
      <w:r>
        <w:rPr>
          <w:rFonts w:hint="eastAsia" w:ascii="Times New Roman" w:hAnsi="Times New Roman" w:eastAsia="方正仿宋_GBK" w:cs="Times New Roman"/>
          <w:sz w:val="32"/>
          <w:szCs w:val="32"/>
        </w:rPr>
        <w:t>余方运至万州区台观环境治理及附属工程回填利用，剩余的106.31万m</w:t>
      </w:r>
      <w:r>
        <w:rPr>
          <w:rFonts w:hint="eastAsia" w:ascii="Times New Roman" w:hAnsi="Times New Roman" w:eastAsia="方正仿宋_GBK" w:cs="Times New Roman"/>
          <w:sz w:val="32"/>
          <w:szCs w:val="32"/>
          <w:vertAlign w:val="superscript"/>
        </w:rPr>
        <w:t>3</w:t>
      </w:r>
      <w:r>
        <w:rPr>
          <w:rFonts w:hint="eastAsia" w:ascii="Times New Roman" w:hAnsi="Times New Roman" w:eastAsia="方正仿宋_GBK" w:cs="Times New Roman"/>
          <w:sz w:val="32"/>
          <w:szCs w:val="32"/>
        </w:rPr>
        <w:t>余方运至万州区银霄溪库岸安全防护工程回填利用。</w:t>
      </w:r>
    </w:p>
    <w:p>
      <w:pPr>
        <w:pageBreakBefore w:val="0"/>
        <w:kinsoku/>
        <w:wordWrap/>
        <w:overflowPunct/>
        <w:topLinePunct w:val="0"/>
        <w:bidi w:val="0"/>
        <w:spacing w:line="594" w:lineRule="exact"/>
        <w:ind w:left="0" w:leftChars="0"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本项目已于2021年4月开工，拟于2025年12月完工，工期57个月。目前施工生产生活设施、施工道路已建成；K0+500~K4+180土石方工程基本完成；双溪铺大桥已完成桥面铺装；恒太河大桥、驸马油库大桥穿古洞大桥桥墩以及桥梁主体已建成，正在进行桥梁主梁建设。本项目总投资为22.83亿元，其中土建投资为19.81亿元。资金来源为三峡后续工作专项资金和业主自筹。本工程拆迁安置采取货币安置，具体由重庆市渝东新区管理委员会负责实施。</w:t>
      </w:r>
    </w:p>
    <w:p>
      <w:pPr>
        <w:pageBreakBefore w:val="0"/>
        <w:kinsoku/>
        <w:wordWrap/>
        <w:overflowPunct/>
        <w:topLinePunct w:val="0"/>
        <w:bidi w:val="0"/>
        <w:spacing w:line="594" w:lineRule="exact"/>
        <w:ind w:left="0" w:leftChars="0" w:firstLine="640" w:firstLineChars="200"/>
        <w:textAlignment w:val="auto"/>
        <w:rPr>
          <w:rFonts w:hint="eastAsia" w:ascii="方正仿宋_GBK" w:hAnsi="Calibri" w:eastAsia="方正仿宋_GBK" w:cs="Times New Roman"/>
          <w:bCs/>
          <w:snapToGrid w:val="0"/>
          <w:kern w:val="0"/>
          <w:sz w:val="32"/>
          <w:szCs w:val="32"/>
        </w:rPr>
      </w:pPr>
      <w:r>
        <w:rPr>
          <w:rFonts w:hint="eastAsia" w:ascii="Times New Roman" w:hAnsi="Times New Roman" w:eastAsia="方正仿宋_GBK" w:cs="Times New Roman"/>
          <w:sz w:val="32"/>
          <w:szCs w:val="32"/>
        </w:rPr>
        <w:t>（二）项目区地形地貌、地质、土壤、植被、气象、水文等基本情况阐述较为清楚</w:t>
      </w:r>
      <w:r>
        <w:rPr>
          <w:rFonts w:ascii="方正仿宋_GBK" w:hAnsi="Calibri" w:eastAsia="方正仿宋_GBK" w:cs="Times New Roman"/>
          <w:bCs/>
          <w:snapToGrid w:val="0"/>
          <w:kern w:val="0"/>
          <w:sz w:val="32"/>
          <w:szCs w:val="32"/>
        </w:rPr>
        <w:t>。</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方正黑体_GBK" w:hAnsi="Calibri" w:eastAsia="方正黑体_GBK" w:cs="Times New Roman"/>
          <w:snapToGrid w:val="0"/>
          <w:kern w:val="0"/>
          <w:sz w:val="32"/>
          <w:szCs w:val="32"/>
        </w:rPr>
      </w:pPr>
      <w:r>
        <w:rPr>
          <w:rFonts w:hint="eastAsia" w:ascii="方正黑体_GBK" w:hAnsi="Calibri" w:eastAsia="方正黑体_GBK" w:cs="Times New Roman"/>
          <w:snapToGrid w:val="0"/>
          <w:kern w:val="0"/>
          <w:sz w:val="32"/>
          <w:szCs w:val="32"/>
        </w:rPr>
        <w:t>三、</w:t>
      </w:r>
      <w:r>
        <w:rPr>
          <w:rFonts w:hint="eastAsia" w:ascii="方正黑体_GBK" w:hAnsi="Calibri" w:eastAsia="方正黑体_GBK" w:cs="Times New Roman"/>
          <w:bCs/>
          <w:snapToGrid w:val="0"/>
          <w:kern w:val="0"/>
          <w:sz w:val="32"/>
          <w:szCs w:val="32"/>
        </w:rPr>
        <w:t>项目水土保持</w:t>
      </w:r>
      <w:r>
        <w:rPr>
          <w:rFonts w:ascii="方正黑体_GBK" w:hAnsi="Calibri" w:eastAsia="方正黑体_GBK" w:cs="Times New Roman"/>
          <w:bCs/>
          <w:snapToGrid w:val="0"/>
          <w:kern w:val="0"/>
          <w:sz w:val="32"/>
          <w:szCs w:val="32"/>
        </w:rPr>
        <w:t>评价</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（一）基本同意对主体工程选址（线）水土保持评价。</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（二）基本同意对项目建设方案与布局、工程占地、土石方平衡及施工工艺的水土保持评价。</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（三）基本同意对主体工程设计中水土保持措施界定。</w:t>
      </w:r>
    </w:p>
    <w:p>
      <w:pPr>
        <w:pageBreakBefore w:val="0"/>
        <w:kinsoku/>
        <w:wordWrap/>
        <w:overflowPunct/>
        <w:topLinePunct w:val="0"/>
        <w:bidi w:val="0"/>
        <w:snapToGrid w:val="0"/>
        <w:spacing w:line="594" w:lineRule="exact"/>
        <w:ind w:left="0" w:leftChars="0" w:firstLine="640" w:firstLineChars="200"/>
        <w:jc w:val="left"/>
        <w:textAlignment w:val="auto"/>
        <w:rPr>
          <w:rFonts w:ascii="方正黑体_GBK" w:hAnsi="Calibri" w:eastAsia="方正黑体_GBK" w:cs="Times New Roman"/>
          <w:snapToGrid w:val="0"/>
          <w:kern w:val="0"/>
          <w:sz w:val="32"/>
          <w:szCs w:val="32"/>
        </w:rPr>
      </w:pPr>
      <w:r>
        <w:rPr>
          <w:rFonts w:hint="eastAsia" w:ascii="方正黑体_GBK" w:hAnsi="Calibri" w:eastAsia="方正黑体_GBK" w:cs="Times New Roman"/>
          <w:snapToGrid w:val="0"/>
          <w:kern w:val="0"/>
          <w:sz w:val="32"/>
          <w:szCs w:val="32"/>
        </w:rPr>
        <w:t>四、</w:t>
      </w:r>
      <w:r>
        <w:rPr>
          <w:rFonts w:ascii="方正黑体_GBK" w:hAnsi="Calibri" w:eastAsia="方正黑体_GBK" w:cs="Times New Roman"/>
          <w:bCs/>
          <w:snapToGrid w:val="0"/>
          <w:kern w:val="0"/>
          <w:sz w:val="32"/>
          <w:szCs w:val="32"/>
        </w:rPr>
        <w:t>水土流失</w:t>
      </w:r>
      <w:r>
        <w:rPr>
          <w:rFonts w:hint="eastAsia" w:ascii="方正黑体_GBK" w:hAnsi="Calibri" w:eastAsia="方正黑体_GBK" w:cs="Times New Roman"/>
          <w:bCs/>
          <w:snapToGrid w:val="0"/>
          <w:kern w:val="0"/>
          <w:sz w:val="32"/>
          <w:szCs w:val="32"/>
        </w:rPr>
        <w:t>分析</w:t>
      </w:r>
      <w:r>
        <w:rPr>
          <w:rFonts w:ascii="方正黑体_GBK" w:hAnsi="Calibri" w:eastAsia="方正黑体_GBK" w:cs="Times New Roman"/>
          <w:bCs/>
          <w:snapToGrid w:val="0"/>
          <w:kern w:val="0"/>
          <w:sz w:val="32"/>
          <w:szCs w:val="32"/>
        </w:rPr>
        <w:t>与预测</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（一）基本同意对项目水土流失现状及影响分析。</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（二）基本同意项目建设扰动地表面积</w:t>
      </w:r>
      <w:r>
        <w:rPr>
          <w:rFonts w:hint="eastAsia" w:ascii="Times New Roman" w:hAnsi="Times New Roman" w:eastAsia="方正仿宋_GBK" w:cs="Times New Roman"/>
          <w:color w:val="auto"/>
          <w:sz w:val="32"/>
          <w:szCs w:val="32"/>
          <w:lang w:val="en-US" w:eastAsia="zh-CN"/>
        </w:rPr>
        <w:t>50.87</w:t>
      </w:r>
      <w:r>
        <w:rPr>
          <w:rFonts w:hint="eastAsia" w:ascii="Times New Roman" w:hAnsi="Times New Roman" w:eastAsia="方正仿宋_GBK" w:cs="Times New Roman"/>
          <w:sz w:val="32"/>
          <w:szCs w:val="32"/>
          <w:lang w:val="en-US" w:eastAsia="zh-CN"/>
        </w:rPr>
        <w:t>hm</w:t>
      </w:r>
      <w:r>
        <w:rPr>
          <w:rFonts w:hint="eastAsia" w:ascii="Times New Roman" w:hAnsi="Times New Roman" w:eastAsia="方正仿宋_GBK" w:cs="Times New Roman"/>
          <w:sz w:val="32"/>
          <w:szCs w:val="32"/>
          <w:vertAlign w:val="superscript"/>
          <w:lang w:val="en-US" w:eastAsia="zh-CN"/>
        </w:rPr>
        <w:t>2</w:t>
      </w:r>
      <w:r>
        <w:rPr>
          <w:rFonts w:hint="eastAsia" w:ascii="Times New Roman" w:hAnsi="Times New Roman" w:eastAsia="方正仿宋_GBK" w:cs="Times New Roman"/>
          <w:sz w:val="32"/>
          <w:szCs w:val="32"/>
          <w:lang w:eastAsia="zh-CN"/>
        </w:rPr>
        <w:t>，损毁植被面积</w:t>
      </w:r>
      <w:r>
        <w:rPr>
          <w:rFonts w:hint="eastAsia" w:ascii="Times New Roman" w:hAnsi="Times New Roman" w:eastAsia="方正仿宋_GBK" w:cs="Times New Roman"/>
          <w:color w:val="auto"/>
          <w:sz w:val="32"/>
          <w:szCs w:val="32"/>
          <w:lang w:val="en-US" w:eastAsia="zh-CN"/>
        </w:rPr>
        <w:t>12.52</w:t>
      </w:r>
      <w:r>
        <w:rPr>
          <w:rFonts w:hint="eastAsia" w:ascii="Times New Roman" w:hAnsi="Times New Roman" w:eastAsia="方正仿宋_GBK" w:cs="Times New Roman"/>
          <w:sz w:val="32"/>
          <w:szCs w:val="32"/>
          <w:lang w:eastAsia="zh-CN"/>
        </w:rPr>
        <w:t>hm</w:t>
      </w:r>
      <w:r>
        <w:rPr>
          <w:rFonts w:hint="eastAsia" w:ascii="Times New Roman" w:hAnsi="Times New Roman" w:eastAsia="方正仿宋_GBK" w:cs="Times New Roman"/>
          <w:sz w:val="32"/>
          <w:szCs w:val="32"/>
          <w:vertAlign w:val="superscript"/>
          <w:lang w:eastAsia="zh-CN"/>
        </w:rPr>
        <w:t>2</w:t>
      </w:r>
      <w:r>
        <w:rPr>
          <w:rFonts w:hint="eastAsia" w:ascii="Times New Roman" w:hAnsi="Times New Roman" w:eastAsia="方正仿宋_GBK" w:cs="Times New Roman"/>
          <w:sz w:val="32"/>
          <w:szCs w:val="32"/>
          <w:lang w:eastAsia="zh-CN"/>
        </w:rPr>
        <w:t>。</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（三）基本同意土壤流失量预测方法及结果，工程建设可能造成的土壤流失总量为</w:t>
      </w:r>
      <w:r>
        <w:rPr>
          <w:rFonts w:hint="eastAsia" w:ascii="Times New Roman" w:hAnsi="Times New Roman" w:eastAsia="方正仿宋_GBK" w:cs="Times New Roman"/>
          <w:color w:val="auto"/>
          <w:sz w:val="32"/>
          <w:szCs w:val="32"/>
          <w:lang w:val="en-US" w:eastAsia="zh-CN"/>
        </w:rPr>
        <w:t>11882t，</w:t>
      </w:r>
      <w:r>
        <w:rPr>
          <w:rFonts w:hint="eastAsia" w:ascii="Times New Roman" w:hAnsi="Times New Roman" w:eastAsia="方正仿宋_GBK" w:cs="Times New Roman"/>
          <w:sz w:val="32"/>
          <w:szCs w:val="32"/>
        </w:rPr>
        <w:t>新增土壤流失量为</w:t>
      </w:r>
      <w:r>
        <w:rPr>
          <w:rFonts w:hint="eastAsia" w:ascii="Times New Roman" w:hAnsi="Times New Roman" w:eastAsia="方正仿宋_GBK" w:cs="Times New Roman"/>
          <w:color w:val="auto"/>
          <w:sz w:val="32"/>
          <w:szCs w:val="32"/>
          <w:lang w:val="en-US" w:eastAsia="zh-CN"/>
        </w:rPr>
        <w:t>10370</w:t>
      </w:r>
      <w:r>
        <w:rPr>
          <w:rFonts w:hint="eastAsia" w:ascii="Times New Roman" w:hAnsi="Times New Roman" w:eastAsia="方正仿宋_GBK" w:cs="Times New Roman"/>
          <w:sz w:val="32"/>
          <w:szCs w:val="32"/>
        </w:rPr>
        <w:t>t。</w:t>
      </w:r>
    </w:p>
    <w:p>
      <w:pPr>
        <w:pageBreakBefore w:val="0"/>
        <w:kinsoku/>
        <w:wordWrap/>
        <w:overflowPunct/>
        <w:topLinePunct w:val="0"/>
        <w:bidi w:val="0"/>
        <w:snapToGrid w:val="0"/>
        <w:spacing w:line="594" w:lineRule="exact"/>
        <w:ind w:left="0" w:leftChars="0" w:firstLine="640" w:firstLineChars="200"/>
        <w:jc w:val="left"/>
        <w:textAlignment w:val="auto"/>
        <w:rPr>
          <w:rFonts w:ascii="方正仿宋_GBK" w:hAnsi="Calibri" w:eastAsia="方正仿宋_GBK" w:cs="Times New Roman"/>
          <w:bCs/>
          <w:snapToGrid w:val="0"/>
          <w:kern w:val="0"/>
          <w:sz w:val="32"/>
          <w:szCs w:val="32"/>
        </w:rPr>
      </w:pPr>
      <w:r>
        <w:rPr>
          <w:rFonts w:hint="eastAsia" w:ascii="Times New Roman" w:hAnsi="Times New Roman" w:eastAsia="方正仿宋_GBK" w:cs="Times New Roman"/>
          <w:sz w:val="32"/>
          <w:szCs w:val="32"/>
        </w:rPr>
        <w:t>（四）基本同意水土流失的危害分析和指导性意见</w:t>
      </w:r>
      <w:r>
        <w:rPr>
          <w:rFonts w:ascii="方正仿宋_GBK" w:hAnsi="Calibri" w:eastAsia="方正仿宋_GBK" w:cs="Times New Roman"/>
          <w:bCs/>
          <w:snapToGrid w:val="0"/>
          <w:kern w:val="0"/>
          <w:sz w:val="32"/>
          <w:szCs w:val="32"/>
        </w:rPr>
        <w:t>。</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方正黑体_GBK" w:hAnsi="Calibri" w:eastAsia="方正黑体_GBK" w:cs="Times New Roman"/>
          <w:snapToGrid w:val="0"/>
          <w:kern w:val="0"/>
          <w:sz w:val="32"/>
          <w:szCs w:val="32"/>
        </w:rPr>
      </w:pPr>
      <w:r>
        <w:rPr>
          <w:rFonts w:hint="eastAsia" w:ascii="方正黑体_GBK" w:hAnsi="Calibri" w:eastAsia="方正黑体_GBK" w:cs="Times New Roman"/>
          <w:snapToGrid w:val="0"/>
          <w:kern w:val="0"/>
          <w:sz w:val="32"/>
          <w:szCs w:val="32"/>
        </w:rPr>
        <w:t>五、</w:t>
      </w:r>
      <w:r>
        <w:rPr>
          <w:rFonts w:hint="eastAsia" w:ascii="方正黑体_GBK" w:hAnsi="Calibri" w:eastAsia="方正黑体_GBK" w:cs="Times New Roman"/>
          <w:bCs/>
          <w:snapToGrid w:val="0"/>
          <w:kern w:val="0"/>
          <w:sz w:val="32"/>
          <w:szCs w:val="32"/>
        </w:rPr>
        <w:t>水土保持措施</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（一）基本同意项目划分为道路工程、桥梁工程、施工生产生活区、施工道路4个水土流失防治区。</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（二）由主体工程设计中具有水保功能的措施和本方案新增的水土保持措施所组成的水土流失防治体系基本合理。</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（三）基本同意各防治区防治措施布局和新增水土保持措施典型设计</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道路工程防治区</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已在K2+677.032~K3+615左侧布设的坡顶截水沟和急流槽。及时采用防雨布对已形成的裸露土质边坡进行临时覆盖；沿道路已成填方边坡坡脚布设临时排水沟，在排水沟出口处布设临时沉</w:t>
      </w:r>
      <w:r>
        <w:rPr>
          <w:rFonts w:hint="eastAsia" w:ascii="Times New Roman" w:hAnsi="Times New Roman" w:eastAsia="方正仿宋_GBK" w:cs="Times New Roman"/>
          <w:sz w:val="32"/>
          <w:szCs w:val="32"/>
          <w:lang w:eastAsia="zh-CN"/>
        </w:rPr>
        <w:t>沙</w:t>
      </w:r>
      <w:r>
        <w:rPr>
          <w:rFonts w:hint="eastAsia" w:ascii="Times New Roman" w:hAnsi="Times New Roman" w:eastAsia="方正仿宋_GBK" w:cs="Times New Roman"/>
          <w:sz w:val="32"/>
          <w:szCs w:val="32"/>
        </w:rPr>
        <w:t>池后与已建排水箱涵相连；沿道路工程临江侧设置填土编织袋临时拦挡。未扰动地段后期施工前先剥离区内表土，集中堆放在K2+700~K3+480路基右侧；采用防雨布对临时堆土、裸露边坡进行覆盖；在挖方边坡坡顶、分级马道设置截水沟，并通过急流槽排入排水箱涵；沿道路工程临江侧设置填土编织袋临时拦挡，在临时拦挡外侧布设临时排水沟及沉</w:t>
      </w:r>
      <w:r>
        <w:rPr>
          <w:rFonts w:hint="eastAsia" w:ascii="Times New Roman" w:hAnsi="Times New Roman" w:eastAsia="方正仿宋_GBK" w:cs="Times New Roman"/>
          <w:sz w:val="32"/>
          <w:szCs w:val="32"/>
          <w:lang w:eastAsia="zh-CN"/>
        </w:rPr>
        <w:t>沙</w:t>
      </w:r>
      <w:r>
        <w:rPr>
          <w:rFonts w:hint="eastAsia" w:ascii="Times New Roman" w:hAnsi="Times New Roman" w:eastAsia="方正仿宋_GBK" w:cs="Times New Roman"/>
          <w:sz w:val="32"/>
          <w:szCs w:val="32"/>
        </w:rPr>
        <w:t>池。后续施工过程中，对道路土质挖方边坡采用拱形骨架植草护坡；对道路岩质边坡或者岩土混合边坡采用锚杆框格植草袋护坡；在人行道外侧设置排水盖板沟；人行道下敷设雨水管网，路面铺设生态透水砖。施工后期，对可绿化区域进行覆土绿化。</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桥梁工程防治区</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桥梁工程桥面排水设施已完成。后续及时采用防雨布对桥下消落区堆放的临时堆料进行覆盖；对桥下可绿化区域采用撒播草籽临时绿化。桥梁施工完成后</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建设单位应及时按照消落带整治方案进行消落带治理。</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施工生产生活防治区</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该区已设置了排水暗沟、景观湖、景观绿化等措施。后续及时采用防雨布对场内临时堆料进行覆盖。场地使用结束后，拆除材料加工区，并进行土地整治和撒播草籽绿化。</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4.施工道路防治区</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施工道路两侧已设置排水沟。施工道路使用完毕后进行拆除，经土地整治后进行撒播草籽绿化。</w:t>
      </w:r>
    </w:p>
    <w:p>
      <w:pPr>
        <w:pageBreakBefore w:val="0"/>
        <w:kinsoku/>
        <w:wordWrap/>
        <w:overflowPunct/>
        <w:topLinePunct w:val="0"/>
        <w:bidi w:val="0"/>
        <w:snapToGrid w:val="0"/>
        <w:spacing w:line="594" w:lineRule="exact"/>
        <w:ind w:left="0" w:leftChars="0" w:firstLine="640" w:firstLineChars="200"/>
        <w:jc w:val="left"/>
        <w:textAlignment w:val="auto"/>
        <w:rPr>
          <w:rFonts w:ascii="方正仿宋_GBK" w:hAnsi="Times New Roman" w:eastAsia="方正仿宋_GBK" w:cs="Times New Roman"/>
          <w:bCs/>
          <w:snapToGrid w:val="0"/>
          <w:kern w:val="0"/>
          <w:sz w:val="32"/>
          <w:szCs w:val="32"/>
        </w:rPr>
      </w:pPr>
      <w:r>
        <w:rPr>
          <w:rFonts w:hint="eastAsia" w:ascii="Times New Roman" w:hAnsi="Times New Roman" w:eastAsia="方正仿宋_GBK" w:cs="Times New Roman"/>
          <w:sz w:val="32"/>
          <w:szCs w:val="32"/>
        </w:rPr>
        <w:t>（四）基本同意水土保持施工组织设计及施工时间安排</w:t>
      </w:r>
      <w:r>
        <w:rPr>
          <w:rFonts w:ascii="方正仿宋_GBK" w:hAnsi="Times New Roman" w:eastAsia="方正仿宋_GBK" w:cs="Times New Roman"/>
          <w:bCs/>
          <w:snapToGrid w:val="0"/>
          <w:kern w:val="0"/>
          <w:sz w:val="32"/>
          <w:szCs w:val="32"/>
        </w:rPr>
        <w:t>。</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方正黑体_GBK" w:hAnsi="Calibri" w:eastAsia="方正黑体_GBK" w:cs="Times New Roman"/>
          <w:bCs/>
          <w:snapToGrid w:val="0"/>
          <w:kern w:val="0"/>
          <w:sz w:val="32"/>
          <w:szCs w:val="32"/>
        </w:rPr>
      </w:pPr>
      <w:r>
        <w:rPr>
          <w:rFonts w:hint="eastAsia" w:ascii="方正黑体_GBK" w:hAnsi="Calibri" w:eastAsia="方正黑体_GBK" w:cs="Times New Roman"/>
          <w:bCs/>
          <w:snapToGrid w:val="0"/>
          <w:kern w:val="0"/>
          <w:sz w:val="32"/>
          <w:szCs w:val="32"/>
        </w:rPr>
        <w:t>六</w:t>
      </w:r>
      <w:r>
        <w:rPr>
          <w:rFonts w:ascii="方正黑体_GBK" w:hAnsi="Calibri" w:eastAsia="方正黑体_GBK" w:cs="Times New Roman"/>
          <w:bCs/>
          <w:snapToGrid w:val="0"/>
          <w:kern w:val="0"/>
          <w:sz w:val="32"/>
          <w:szCs w:val="32"/>
        </w:rPr>
        <w:t>、</w:t>
      </w:r>
      <w:r>
        <w:rPr>
          <w:rFonts w:hint="eastAsia" w:ascii="方正黑体_GBK" w:hAnsi="Calibri" w:eastAsia="方正黑体_GBK" w:cs="Times New Roman"/>
          <w:bCs/>
          <w:snapToGrid w:val="0"/>
          <w:kern w:val="0"/>
          <w:sz w:val="32"/>
          <w:szCs w:val="32"/>
        </w:rPr>
        <w:t>水土保持监测</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方正仿宋_GBK" w:hAnsi="Calibri" w:eastAsia="方正仿宋_GBK" w:cs="Times New Roman"/>
          <w:bCs/>
          <w:snapToGrid w:val="0"/>
          <w:color w:val="000000"/>
          <w:kern w:val="0"/>
          <w:sz w:val="32"/>
          <w:szCs w:val="32"/>
        </w:rPr>
      </w:pPr>
      <w:r>
        <w:rPr>
          <w:rFonts w:ascii="方正仿宋_GBK" w:hAnsi="Calibri" w:eastAsia="方正仿宋_GBK" w:cs="Times New Roman"/>
          <w:bCs/>
          <w:snapToGrid w:val="0"/>
          <w:color w:val="000000"/>
          <w:kern w:val="0"/>
          <w:sz w:val="32"/>
          <w:szCs w:val="32"/>
        </w:rPr>
        <w:t>基本同意水土保持监测方案。</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方正黑体_GBK" w:hAnsi="Calibri" w:eastAsia="方正黑体_GBK" w:cs="Times New Roman"/>
          <w:bCs/>
          <w:snapToGrid w:val="0"/>
          <w:kern w:val="0"/>
          <w:sz w:val="32"/>
          <w:szCs w:val="32"/>
        </w:rPr>
      </w:pPr>
      <w:r>
        <w:rPr>
          <w:rFonts w:hint="eastAsia" w:ascii="方正黑体_GBK" w:hAnsi="Calibri" w:eastAsia="方正黑体_GBK" w:cs="Times New Roman"/>
          <w:bCs/>
          <w:snapToGrid w:val="0"/>
          <w:kern w:val="0"/>
          <w:sz w:val="32"/>
          <w:szCs w:val="32"/>
        </w:rPr>
        <w:t>七、水土保持投资</w:t>
      </w:r>
      <w:r>
        <w:rPr>
          <w:rFonts w:ascii="方正黑体_GBK" w:hAnsi="Calibri" w:eastAsia="方正黑体_GBK" w:cs="Times New Roman"/>
          <w:bCs/>
          <w:snapToGrid w:val="0"/>
          <w:kern w:val="0"/>
          <w:sz w:val="32"/>
          <w:szCs w:val="32"/>
        </w:rPr>
        <w:t>估算及效益分析</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方正仿宋_GBK" w:hAnsi="Calibri" w:eastAsia="方正仿宋_GBK" w:cs="Times New Roman"/>
          <w:bCs/>
          <w:snapToGrid w:val="0"/>
          <w:color w:val="000000"/>
          <w:kern w:val="0"/>
          <w:sz w:val="32"/>
          <w:szCs w:val="32"/>
        </w:rPr>
      </w:pPr>
      <w:r>
        <w:rPr>
          <w:rFonts w:hint="eastAsia" w:ascii="方正仿宋_GBK" w:hAnsi="Calibri" w:eastAsia="方正仿宋_GBK" w:cs="Times New Roman"/>
          <w:bCs/>
          <w:snapToGrid w:val="0"/>
          <w:color w:val="000000"/>
          <w:kern w:val="0"/>
          <w:sz w:val="32"/>
          <w:szCs w:val="32"/>
        </w:rPr>
        <w:t>（一）投资估算编制依据正确，费用及定额选择基本合理，编制深度基本满足规范要求。</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方正仿宋_GBK" w:hAnsi="Calibri" w:eastAsia="方正仿宋_GBK" w:cs="Times New Roman"/>
          <w:bCs/>
          <w:snapToGrid w:val="0"/>
          <w:color w:val="000000"/>
          <w:kern w:val="0"/>
          <w:sz w:val="32"/>
          <w:szCs w:val="32"/>
        </w:rPr>
      </w:pPr>
      <w:r>
        <w:rPr>
          <w:rFonts w:hint="eastAsia" w:ascii="方正仿宋_GBK" w:hAnsi="Calibri" w:eastAsia="方正仿宋_GBK" w:cs="Times New Roman"/>
          <w:bCs/>
          <w:snapToGrid w:val="0"/>
          <w:color w:val="000000"/>
          <w:kern w:val="0"/>
          <w:sz w:val="32"/>
          <w:szCs w:val="32"/>
        </w:rPr>
        <w:t>（二）</w:t>
      </w:r>
      <w:r>
        <w:rPr>
          <w:rFonts w:ascii="方正仿宋_GBK" w:hAnsi="Calibri" w:eastAsia="方正仿宋_GBK" w:cs="Times New Roman"/>
          <w:bCs/>
          <w:snapToGrid w:val="0"/>
          <w:color w:val="000000"/>
          <w:kern w:val="0"/>
          <w:sz w:val="32"/>
          <w:szCs w:val="32"/>
        </w:rPr>
        <w:t>经审核，</w:t>
      </w:r>
      <w:r>
        <w:rPr>
          <w:rFonts w:hint="eastAsia" w:ascii="Times New Roman" w:hAnsi="Times New Roman" w:eastAsia="方正仿宋_GBK" w:cs="Times New Roman"/>
          <w:sz w:val="32"/>
          <w:szCs w:val="32"/>
        </w:rPr>
        <w:t>水土保持方案工程静态总投资5613.57万元，其中</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主体已列5171.73万元，方案新增441.84万元（其中：工程措施95.05万元，植物措施0.92万元，监测措施47.55万元，</w:t>
      </w:r>
      <w:r>
        <w:rPr>
          <w:rFonts w:hint="eastAsia" w:ascii="Times New Roman" w:hAnsi="Times New Roman" w:eastAsia="方正仿宋_GBK" w:cs="Times New Roman"/>
          <w:sz w:val="32"/>
          <w:szCs w:val="32"/>
          <w:lang w:eastAsia="zh-CN"/>
        </w:rPr>
        <w:t>施工</w:t>
      </w:r>
      <w:r>
        <w:rPr>
          <w:rFonts w:hint="eastAsia" w:ascii="Times New Roman" w:hAnsi="Times New Roman" w:eastAsia="方正仿宋_GBK" w:cs="Times New Roman"/>
          <w:sz w:val="32"/>
          <w:szCs w:val="32"/>
        </w:rPr>
        <w:t>临时措施154.11万元，独立费用64.20万元，基本预备费17.86万元，水土保持补偿费62.15</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rPr>
        <w:t>万元）</w:t>
      </w:r>
      <w:r>
        <w:rPr>
          <w:rFonts w:hint="eastAsia" w:ascii="方正仿宋_GBK" w:hAnsi="Calibri" w:eastAsia="方正仿宋_GBK" w:cs="Times New Roman"/>
          <w:bCs/>
          <w:snapToGrid w:val="0"/>
          <w:color w:val="000000"/>
          <w:kern w:val="0"/>
          <w:sz w:val="32"/>
          <w:szCs w:val="32"/>
        </w:rPr>
        <w:t>。</w:t>
      </w:r>
    </w:p>
    <w:p>
      <w:pPr>
        <w:pageBreakBefore w:val="0"/>
        <w:kinsoku/>
        <w:wordWrap/>
        <w:overflowPunct/>
        <w:topLinePunct w:val="0"/>
        <w:bidi w:val="0"/>
        <w:snapToGrid w:val="0"/>
        <w:spacing w:line="594" w:lineRule="exact"/>
        <w:ind w:left="0" w:leftChars="0" w:firstLine="640" w:firstLineChars="200"/>
        <w:jc w:val="left"/>
        <w:textAlignment w:val="auto"/>
        <w:rPr>
          <w:rFonts w:ascii="方正仿宋_GBK" w:hAnsi="Calibri" w:eastAsia="方正仿宋_GBK" w:cs="Times New Roman"/>
          <w:bCs/>
          <w:snapToGrid w:val="0"/>
          <w:color w:val="000000"/>
          <w:kern w:val="0"/>
          <w:sz w:val="32"/>
          <w:szCs w:val="32"/>
        </w:rPr>
      </w:pPr>
      <w:r>
        <w:rPr>
          <w:rFonts w:ascii="方正仿宋_GBK" w:hAnsi="Calibri" w:eastAsia="方正仿宋_GBK" w:cs="Times New Roman"/>
          <w:bCs/>
          <w:snapToGrid w:val="0"/>
          <w:color w:val="000000"/>
          <w:kern w:val="0"/>
          <w:sz w:val="32"/>
          <w:szCs w:val="32"/>
        </w:rPr>
        <w:t>（三）效益分析方法正确，分析结果基本合理。</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方正黑体_GBK" w:hAnsi="Calibri" w:eastAsia="方正黑体_GBK" w:cs="Times New Roman"/>
          <w:bCs/>
          <w:snapToGrid w:val="0"/>
          <w:kern w:val="0"/>
          <w:sz w:val="32"/>
          <w:szCs w:val="32"/>
        </w:rPr>
      </w:pPr>
      <w:r>
        <w:rPr>
          <w:rFonts w:hint="eastAsia" w:ascii="方正黑体_GBK" w:hAnsi="Calibri" w:eastAsia="方正黑体_GBK" w:cs="Times New Roman"/>
          <w:bCs/>
          <w:snapToGrid w:val="0"/>
          <w:kern w:val="0"/>
          <w:sz w:val="32"/>
          <w:szCs w:val="32"/>
        </w:rPr>
        <w:t>八</w:t>
      </w:r>
      <w:r>
        <w:rPr>
          <w:rFonts w:ascii="方正黑体_GBK" w:hAnsi="Calibri" w:eastAsia="方正黑体_GBK" w:cs="Times New Roman"/>
          <w:bCs/>
          <w:snapToGrid w:val="0"/>
          <w:kern w:val="0"/>
          <w:sz w:val="32"/>
          <w:szCs w:val="32"/>
        </w:rPr>
        <w:t>、水土保持管理</w:t>
      </w:r>
    </w:p>
    <w:p>
      <w:pPr>
        <w:pageBreakBefore w:val="0"/>
        <w:kinsoku/>
        <w:wordWrap/>
        <w:overflowPunct/>
        <w:topLinePunct w:val="0"/>
        <w:bidi w:val="0"/>
        <w:snapToGrid w:val="0"/>
        <w:spacing w:line="594" w:lineRule="exact"/>
        <w:ind w:left="0" w:leftChars="0" w:firstLine="640" w:firstLineChars="200"/>
        <w:jc w:val="left"/>
        <w:textAlignment w:val="auto"/>
        <w:rPr>
          <w:rFonts w:hint="eastAsia" w:ascii="方正仿宋_GBK" w:hAnsi="Calibri" w:eastAsia="方正仿宋_GBK" w:cs="Times New Roman"/>
          <w:bCs/>
          <w:snapToGrid w:val="0"/>
          <w:color w:val="000000"/>
          <w:kern w:val="0"/>
          <w:sz w:val="32"/>
          <w:szCs w:val="32"/>
        </w:rPr>
      </w:pPr>
      <w:r>
        <w:rPr>
          <w:rFonts w:hint="eastAsia" w:ascii="方正仿宋_GBK" w:hAnsi="Calibri" w:eastAsia="方正仿宋_GBK" w:cs="Times New Roman"/>
          <w:bCs/>
          <w:snapToGrid w:val="0"/>
          <w:color w:val="000000"/>
          <w:kern w:val="0"/>
          <w:sz w:val="32"/>
          <w:szCs w:val="32"/>
        </w:rPr>
        <w:t>基本同意方案中提出的组织管理、水土保持监测、水土保持监理、水土保持施工、水土保持设施验收等水土保持管理要求。</w:t>
      </w:r>
    </w:p>
    <w:p>
      <w:pPr>
        <w:keepNext/>
        <w:keepLines/>
        <w:widowControl/>
        <w:adjustRightInd w:val="0"/>
        <w:snapToGrid w:val="0"/>
        <w:spacing w:before="120" w:beforeLines="0" w:after="120" w:afterLines="0" w:line="460" w:lineRule="atLeast"/>
        <w:jc w:val="left"/>
        <w:outlineLvl w:val="2"/>
        <w:rPr>
          <w:rFonts w:hint="eastAsia" w:ascii="宋体" w:hAnsi="宋体" w:eastAsia="宋体" w:cs="Times New Roman"/>
          <w:b/>
          <w:kern w:val="2"/>
          <w:sz w:val="24"/>
          <w:szCs w:val="20"/>
          <w:lang w:val="en-US" w:eastAsia="zh-CN" w:bidi="ar-SA"/>
        </w:rPr>
      </w:pPr>
    </w:p>
    <w:p>
      <w:pPr>
        <w:keepNext w:val="0"/>
        <w:keepLines w:val="0"/>
        <w:pageBreakBefore w:val="0"/>
        <w:widowControl/>
        <w:kinsoku/>
        <w:wordWrap/>
        <w:overflowPunct/>
        <w:topLinePunct w:val="0"/>
        <w:autoSpaceDE/>
        <w:autoSpaceDN/>
        <w:bidi w:val="0"/>
        <w:adjustRightInd/>
        <w:snapToGrid/>
        <w:spacing w:line="594" w:lineRule="exact"/>
        <w:ind w:left="1598" w:leftChars="228" w:hanging="960" w:hangingChars="300"/>
        <w:textAlignment w:val="auto"/>
        <w:rPr>
          <w:rFonts w:hint="eastAsia" w:ascii="Times New Roman" w:hAnsi="Times New Roman" w:eastAsia="方正仿宋_GBK" w:cs="Times New Roman"/>
          <w:bCs/>
          <w:sz w:val="32"/>
          <w:szCs w:val="32"/>
        </w:rPr>
      </w:pPr>
      <w:r>
        <w:rPr>
          <w:rFonts w:ascii="Times New Roman" w:hAnsi="Times New Roman" w:eastAsia="方正仿宋_GBK" w:cs="Times New Roman"/>
          <w:sz w:val="32"/>
          <w:szCs w:val="32"/>
        </w:rPr>
        <w:t>附</w:t>
      </w:r>
      <w:r>
        <w:rPr>
          <w:rFonts w:hint="eastAsia" w:ascii="Times New Roman" w:hAnsi="Times New Roman" w:eastAsia="方正仿宋_GBK" w:cs="Times New Roman"/>
          <w:sz w:val="32"/>
          <w:szCs w:val="32"/>
        </w:rPr>
        <w:t>件</w:t>
      </w:r>
      <w:r>
        <w:rPr>
          <w:rFonts w:ascii="Times New Roman" w:hAnsi="Times New Roman" w:eastAsia="方正仿宋_GBK" w:cs="Times New Roman"/>
          <w:sz w:val="32"/>
          <w:szCs w:val="32"/>
        </w:rPr>
        <w:t>：</w:t>
      </w:r>
      <w:r>
        <w:rPr>
          <w:rFonts w:hint="eastAsia" w:ascii="Times New Roman" w:hAnsi="Times New Roman" w:eastAsia="方正仿宋_GBK" w:cs="Times New Roman"/>
          <w:bCs/>
          <w:sz w:val="32"/>
          <w:szCs w:val="32"/>
        </w:rPr>
        <w:t>万州区万一中至驸马片区库岸及消落区综合整治工程（北滨大道延伸段道路工程）水土保持方案投资估算审核表</w:t>
      </w:r>
    </w:p>
    <w:p>
      <w:pPr>
        <w:pageBreakBefore w:val="0"/>
        <w:kinsoku/>
        <w:wordWrap/>
        <w:overflowPunct/>
        <w:topLinePunct w:val="0"/>
        <w:bidi w:val="0"/>
        <w:spacing w:line="594" w:lineRule="exact"/>
        <w:ind w:left="0" w:leftChars="0" w:firstLine="4160" w:firstLineChars="1300"/>
        <w:textAlignment w:val="auto"/>
        <w:rPr>
          <w:rFonts w:hint="eastAsia" w:ascii="Times New Roman" w:hAnsi="Times New Roman" w:eastAsia="方正仿宋_GBK" w:cs="Times New Roman"/>
          <w:sz w:val="32"/>
          <w:szCs w:val="32"/>
        </w:rPr>
      </w:pPr>
    </w:p>
    <w:p>
      <w:pPr>
        <w:pStyle w:val="79"/>
        <w:pageBreakBefore w:val="0"/>
        <w:kinsoku/>
        <w:wordWrap/>
        <w:overflowPunct/>
        <w:topLinePunct w:val="0"/>
        <w:bidi w:val="0"/>
        <w:spacing w:line="594" w:lineRule="exact"/>
        <w:ind w:left="0" w:leftChars="0"/>
        <w:textAlignment w:val="auto"/>
        <w:rPr>
          <w:rFonts w:hint="eastAsia"/>
        </w:rPr>
      </w:pPr>
      <w:r>
        <w:rPr>
          <w:rFonts w:hint="eastAsia" w:ascii="方正仿宋_GBK" w:eastAsia="方正仿宋_GBK"/>
          <w:bCs/>
          <w:color w:val="auto"/>
          <w:sz w:val="32"/>
          <w:szCs w:val="32"/>
          <w:lang w:eastAsia="zh-CN"/>
        </w:rPr>
        <w:drawing>
          <wp:anchor distT="0" distB="0" distL="114300" distR="114300" simplePos="0" relativeHeight="251659264" behindDoc="0" locked="0" layoutInCell="1" allowOverlap="1">
            <wp:simplePos x="0" y="0"/>
            <wp:positionH relativeFrom="column">
              <wp:posOffset>4488815</wp:posOffset>
            </wp:positionH>
            <wp:positionV relativeFrom="paragraph">
              <wp:posOffset>91440</wp:posOffset>
            </wp:positionV>
            <wp:extent cx="619760" cy="949960"/>
            <wp:effectExtent l="0" t="0" r="2540" b="8890"/>
            <wp:wrapNone/>
            <wp:docPr id="1" name="图片 2" descr="签名 Model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descr="签名 Model (2)"/>
                    <pic:cNvPicPr>
                      <a:picLocks noChangeAspect="true"/>
                    </pic:cNvPicPr>
                  </pic:nvPicPr>
                  <pic:blipFill>
                    <a:blip r:embed="rId7"/>
                    <a:stretch>
                      <a:fillRect/>
                    </a:stretch>
                  </pic:blipFill>
                  <pic:spPr>
                    <a:xfrm rot="-5400000">
                      <a:off x="0" y="0"/>
                      <a:ext cx="619760" cy="949960"/>
                    </a:xfrm>
                    <a:prstGeom prst="rect">
                      <a:avLst/>
                    </a:prstGeom>
                    <a:noFill/>
                    <a:ln>
                      <a:noFill/>
                    </a:ln>
                  </pic:spPr>
                </pic:pic>
              </a:graphicData>
            </a:graphic>
          </wp:anchor>
        </w:drawing>
      </w:r>
    </w:p>
    <w:p>
      <w:pPr>
        <w:pageBreakBefore w:val="0"/>
        <w:kinsoku/>
        <w:wordWrap/>
        <w:overflowPunct/>
        <w:topLinePunct w:val="0"/>
        <w:bidi w:val="0"/>
        <w:spacing w:line="594" w:lineRule="exact"/>
        <w:ind w:left="0" w:leftChars="0" w:firstLine="4800" w:firstLineChars="15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 xml:space="preserve">专家组组长： </w:t>
      </w:r>
    </w:p>
    <w:p>
      <w:pPr>
        <w:pageBreakBefore w:val="0"/>
        <w:kinsoku/>
        <w:wordWrap/>
        <w:overflowPunct/>
        <w:topLinePunct w:val="0"/>
        <w:bidi w:val="0"/>
        <w:spacing w:line="594" w:lineRule="exact"/>
        <w:ind w:left="0" w:leftChars="0" w:firstLine="5440" w:firstLineChars="1700"/>
        <w:textAlignment w:val="auto"/>
        <w:rPr>
          <w:rFonts w:hint="eastAsia" w:eastAsia="方正仿宋_GBK"/>
          <w:sz w:val="32"/>
          <w:szCs w:val="32"/>
        </w:rPr>
        <w:sectPr>
          <w:footerReference r:id="rId3" w:type="default"/>
          <w:footerReference r:id="rId4" w:type="even"/>
          <w:pgSz w:w="11906" w:h="16838"/>
          <w:pgMar w:top="1985" w:right="1446" w:bottom="1684" w:left="1446" w:header="851" w:footer="992" w:gutter="0"/>
          <w:cols w:space="720" w:num="1"/>
          <w:docGrid w:linePitch="381" w:charSpace="0"/>
        </w:sect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en-US" w:eastAsia="zh-CN"/>
        </w:rPr>
        <w:t>024</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日</w:t>
      </w:r>
    </w:p>
    <w:p>
      <w:pPr>
        <w:spacing w:line="400" w:lineRule="exact"/>
        <w:rPr>
          <w:rFonts w:ascii="方正黑体_GBK" w:hAnsi="Times New Roman" w:eastAsia="方正黑体_GBK" w:cs="Times New Roman"/>
          <w:kern w:val="0"/>
          <w:sz w:val="32"/>
          <w:szCs w:val="32"/>
        </w:rPr>
      </w:pPr>
      <w:r>
        <w:rPr>
          <w:rFonts w:hint="eastAsia" w:ascii="方正黑体_GBK" w:hAnsi="Times New Roman" w:eastAsia="方正黑体_GBK" w:cs="Times New Roman"/>
          <w:sz w:val="32"/>
          <w:szCs w:val="32"/>
        </w:rPr>
        <w:t>附件</w:t>
      </w:r>
    </w:p>
    <w:p>
      <w:pPr>
        <w:spacing w:line="400" w:lineRule="exact"/>
        <w:jc w:val="center"/>
        <w:rPr>
          <w:rFonts w:hint="default" w:ascii="Times New Roman" w:hAnsi="Times New Roman" w:eastAsia="方正小标宋_GBK" w:cs="Times New Roman"/>
          <w:bCs/>
          <w:sz w:val="32"/>
          <w:szCs w:val="32"/>
        </w:rPr>
      </w:pPr>
      <w:r>
        <w:rPr>
          <w:rFonts w:hint="default" w:ascii="Times New Roman" w:hAnsi="Times New Roman" w:eastAsia="方正小标宋_GBK" w:cs="Times New Roman"/>
          <w:bCs/>
          <w:sz w:val="32"/>
          <w:szCs w:val="32"/>
        </w:rPr>
        <w:t>万州区万一中至驸马片区库岸及消落区综合整治工程（北滨</w:t>
      </w:r>
    </w:p>
    <w:p>
      <w:pPr>
        <w:spacing w:line="400" w:lineRule="exact"/>
        <w:jc w:val="center"/>
        <w:rPr>
          <w:rFonts w:hint="default" w:ascii="Times New Roman" w:hAnsi="Times New Roman" w:eastAsia="方正黑体_GBK" w:cs="Times New Roman"/>
          <w:kern w:val="0"/>
          <w:sz w:val="32"/>
          <w:szCs w:val="32"/>
        </w:rPr>
      </w:pPr>
      <w:r>
        <w:rPr>
          <w:rFonts w:hint="default" w:ascii="Times New Roman" w:hAnsi="Times New Roman" w:eastAsia="方正小标宋_GBK" w:cs="Times New Roman"/>
          <w:bCs/>
          <w:sz w:val="32"/>
          <w:szCs w:val="32"/>
        </w:rPr>
        <w:t>大道延伸段道路工程）水土保持方案投资估算审核表</w:t>
      </w:r>
    </w:p>
    <w:p>
      <w:pPr>
        <w:spacing w:line="400" w:lineRule="exact"/>
        <w:jc w:val="right"/>
        <w:rPr>
          <w:rFonts w:ascii="Times New Roman" w:hAnsi="Times New Roman" w:cs="Times New Roman"/>
          <w:kern w:val="0"/>
          <w:sz w:val="16"/>
          <w:szCs w:val="16"/>
          <w:lang w:bidi="ar"/>
        </w:rPr>
      </w:pPr>
      <w:r>
        <w:rPr>
          <w:rFonts w:hint="eastAsia" w:ascii="Times New Roman" w:hAnsi="Times New Roman" w:cs="Times New Roman"/>
          <w:kern w:val="0"/>
          <w:sz w:val="16"/>
          <w:szCs w:val="16"/>
          <w:lang w:val="en-US" w:eastAsia="zh-CN" w:bidi="ar"/>
        </w:rPr>
        <w:t xml:space="preserve"> </w:t>
      </w:r>
      <w:r>
        <w:rPr>
          <w:rFonts w:hint="eastAsia" w:ascii="Times New Roman" w:hAnsi="Times New Roman" w:cs="Times New Roman"/>
          <w:kern w:val="0"/>
          <w:sz w:val="16"/>
          <w:szCs w:val="16"/>
          <w:lang w:bidi="ar"/>
        </w:rPr>
        <w:t>单位</w:t>
      </w:r>
      <w:r>
        <w:rPr>
          <w:rFonts w:ascii="Times New Roman" w:hAnsi="Times New Roman" w:cs="Times New Roman"/>
          <w:kern w:val="0"/>
          <w:sz w:val="16"/>
          <w:szCs w:val="16"/>
          <w:lang w:bidi="ar"/>
        </w:rPr>
        <w:t>：万元</w:t>
      </w:r>
    </w:p>
    <w:tbl>
      <w:tblPr>
        <w:tblStyle w:val="17"/>
        <w:tblW w:w="97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4"/>
        <w:gridCol w:w="1836"/>
        <w:gridCol w:w="985"/>
        <w:gridCol w:w="1008"/>
        <w:gridCol w:w="1008"/>
        <w:gridCol w:w="985"/>
        <w:gridCol w:w="1008"/>
        <w:gridCol w:w="1008"/>
        <w:gridCol w:w="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9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color w:val="000000"/>
                <w:sz w:val="18"/>
                <w:szCs w:val="18"/>
                <w:u w:val="none"/>
                <w:lang w:val="en-US" w:eastAsia="zh-CN" w:bidi="ar"/>
              </w:rPr>
              <w:t>序号</w:t>
            </w:r>
          </w:p>
        </w:tc>
        <w:tc>
          <w:tcPr>
            <w:tcW w:w="18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color w:val="000000"/>
                <w:sz w:val="18"/>
                <w:szCs w:val="18"/>
                <w:u w:val="none"/>
                <w:lang w:val="en-US" w:eastAsia="zh-CN" w:bidi="ar"/>
              </w:rPr>
              <w:t>工程或费用名称</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设计投资</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审核投资</w:t>
            </w:r>
          </w:p>
        </w:tc>
        <w:tc>
          <w:tcPr>
            <w:tcW w:w="9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color w:val="000000"/>
                <w:sz w:val="18"/>
                <w:szCs w:val="18"/>
                <w:u w:val="none"/>
                <w:lang w:val="en-US" w:eastAsia="zh-CN" w:bidi="ar"/>
              </w:rPr>
              <w:t>核增、减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90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18"/>
                <w:szCs w:val="18"/>
                <w:u w:val="none"/>
              </w:rPr>
            </w:pPr>
          </w:p>
        </w:tc>
        <w:tc>
          <w:tcPr>
            <w:tcW w:w="18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18"/>
                <w:szCs w:val="18"/>
                <w:u w:val="none"/>
              </w:rPr>
            </w:pP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方案新增</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主体已列</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小计</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方案新增</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主体已列</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小计</w:t>
            </w:r>
          </w:p>
        </w:tc>
        <w:tc>
          <w:tcPr>
            <w:tcW w:w="97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exact"/>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color w:val="000000"/>
                <w:sz w:val="18"/>
                <w:szCs w:val="18"/>
                <w:u w:val="none"/>
                <w:lang w:val="en-US" w:eastAsia="zh-CN" w:bidi="ar"/>
              </w:rPr>
              <w:t>第一部分：工程措施</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95.05</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1361.49</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1456.54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95.05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1361.49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1456.54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exact"/>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eastAsia" w:ascii="Times New Roman" w:hAnsi="Times New Roman" w:eastAsia="宋体" w:cs="Times New Roman"/>
                <w:i w:val="0"/>
                <w:iCs w:val="0"/>
                <w:color w:val="000000"/>
                <w:kern w:val="0"/>
                <w:sz w:val="18"/>
                <w:szCs w:val="18"/>
                <w:u w:val="none"/>
                <w:lang w:val="en-US" w:eastAsia="zh-CN" w:bidi="ar"/>
              </w:rPr>
              <w:t>1</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color w:val="000000"/>
                <w:sz w:val="18"/>
                <w:szCs w:val="18"/>
                <w:u w:val="none"/>
                <w:lang w:val="en-US" w:eastAsia="zh-CN" w:bidi="ar"/>
              </w:rPr>
              <w:t>道路工程防治区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94.95</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1115.11</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1210.06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94.95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1115.11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1210.06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exact"/>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eastAsia" w:ascii="Times New Roman" w:hAnsi="Times New Roman" w:eastAsia="宋体" w:cs="Times New Roman"/>
                <w:i w:val="0"/>
                <w:iCs w:val="0"/>
                <w:color w:val="000000"/>
                <w:kern w:val="0"/>
                <w:sz w:val="18"/>
                <w:szCs w:val="18"/>
                <w:u w:val="none"/>
                <w:lang w:val="en-US" w:eastAsia="zh-CN" w:bidi="ar"/>
              </w:rPr>
              <w:t>2</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color w:val="000000"/>
                <w:sz w:val="18"/>
                <w:szCs w:val="18"/>
                <w:u w:val="none"/>
                <w:lang w:val="en-US" w:eastAsia="zh-CN" w:bidi="ar"/>
              </w:rPr>
              <w:t>桥梁工程防治区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72.52</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72.52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72.52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72.52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exact"/>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eastAsia" w:ascii="Times New Roman" w:hAnsi="Times New Roman" w:eastAsia="宋体" w:cs="Times New Roman"/>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color w:val="000000"/>
                <w:sz w:val="18"/>
                <w:szCs w:val="18"/>
                <w:u w:val="none"/>
                <w:lang w:val="en-US" w:eastAsia="zh-CN" w:bidi="ar"/>
              </w:rPr>
              <w:t>施工生产生活防治区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167.36</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167.43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167.36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167.43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exact"/>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eastAsia" w:ascii="Times New Roman" w:hAnsi="Times New Roman" w:eastAsia="宋体" w:cs="Times New Roman"/>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color w:val="000000"/>
                <w:sz w:val="18"/>
                <w:szCs w:val="18"/>
                <w:u w:val="none"/>
                <w:lang w:val="en-US" w:eastAsia="zh-CN" w:bidi="ar"/>
              </w:rPr>
              <w:t>施工道路防治区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6.5</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6.53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6.53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exact"/>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color w:val="000000"/>
                <w:sz w:val="18"/>
                <w:szCs w:val="18"/>
                <w:u w:val="none"/>
                <w:lang w:val="en-US" w:eastAsia="zh-CN" w:bidi="ar"/>
              </w:rPr>
              <w:t>第二部分：植物措施</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0.92</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3810.24</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3811.16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0.92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3810.24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3811.16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eastAsia" w:ascii="Times New Roman" w:hAnsi="Times New Roman" w:eastAsia="宋体" w:cs="Times New Roman"/>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color w:val="000000"/>
                <w:sz w:val="18"/>
                <w:szCs w:val="18"/>
                <w:u w:val="none"/>
                <w:lang w:val="en-US" w:eastAsia="zh-CN" w:bidi="ar"/>
              </w:rPr>
              <w:t>道路工程防治区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3755.85</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3755.85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3755.85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3755.85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eastAsia" w:ascii="Times New Roman" w:hAnsi="Times New Roman" w:eastAsia="宋体" w:cs="Times New Roman"/>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color w:val="000000"/>
                <w:sz w:val="18"/>
                <w:szCs w:val="18"/>
                <w:u w:val="none"/>
                <w:lang w:val="en-US" w:eastAsia="zh-CN" w:bidi="ar"/>
              </w:rPr>
              <w:t>桥梁工程防治区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0.58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0.58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0.58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0.58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eastAsia" w:ascii="Times New Roman" w:hAnsi="Times New Roman" w:eastAsia="宋体" w:cs="Times New Roman"/>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color w:val="000000"/>
                <w:sz w:val="18"/>
                <w:szCs w:val="18"/>
                <w:u w:val="none"/>
                <w:lang w:val="en-US" w:eastAsia="zh-CN" w:bidi="ar"/>
              </w:rPr>
              <w:t>施工生产生活防治区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54.39</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54.64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54.39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54.64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eastAsia" w:ascii="Times New Roman" w:hAnsi="Times New Roman" w:eastAsia="宋体" w:cs="Times New Roman"/>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color w:val="000000"/>
                <w:sz w:val="18"/>
                <w:szCs w:val="18"/>
                <w:u w:val="none"/>
                <w:lang w:val="en-US" w:eastAsia="zh-CN" w:bidi="ar"/>
              </w:rPr>
              <w:t>施工道路防治区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exact"/>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color w:val="000000"/>
                <w:sz w:val="18"/>
                <w:szCs w:val="18"/>
                <w:u w:val="none"/>
                <w:lang w:val="en-US" w:eastAsia="zh-CN" w:bidi="ar"/>
              </w:rPr>
              <w:t>第三部分：监测措施</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47.55</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47.55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47.55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47.55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exact"/>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color w:val="000000"/>
                <w:sz w:val="18"/>
                <w:szCs w:val="18"/>
                <w:u w:val="none"/>
                <w:lang w:val="en-US" w:eastAsia="zh-CN" w:bidi="ar"/>
              </w:rPr>
              <w:t>第四部分：施工临时措施</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154.11</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154.11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154.11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154.11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exact"/>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eastAsia" w:ascii="Times New Roman" w:hAnsi="Times New Roman" w:eastAsia="宋体" w:cs="Times New Roman"/>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color w:val="000000"/>
                <w:sz w:val="18"/>
                <w:szCs w:val="18"/>
                <w:u w:val="none"/>
                <w:lang w:val="en-US" w:eastAsia="zh-CN" w:bidi="ar"/>
              </w:rPr>
              <w:t>道路工程防治区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148.84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148.84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148.84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148.84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exact"/>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eastAsia" w:ascii="Times New Roman" w:hAnsi="Times New Roman" w:eastAsia="宋体" w:cs="Times New Roman"/>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color w:val="000000"/>
                <w:sz w:val="18"/>
                <w:szCs w:val="18"/>
                <w:u w:val="none"/>
                <w:lang w:val="en-US" w:eastAsia="zh-CN" w:bidi="ar"/>
              </w:rPr>
              <w:t>桥梁工程防治区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exact"/>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eastAsia" w:ascii="Times New Roman" w:hAnsi="Times New Roman" w:eastAsia="宋体" w:cs="Times New Roman"/>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color w:val="000000"/>
                <w:sz w:val="18"/>
                <w:szCs w:val="18"/>
                <w:u w:val="none"/>
                <w:lang w:val="en-US" w:eastAsia="zh-CN" w:bidi="ar"/>
              </w:rPr>
              <w:t>施工生产生活防治区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exac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eastAsia" w:ascii="Times New Roman" w:hAnsi="Times New Roman" w:eastAsia="宋体" w:cs="Times New Roman"/>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color w:val="000000"/>
                <w:sz w:val="18"/>
                <w:szCs w:val="18"/>
                <w:u w:val="none"/>
                <w:lang w:val="en-US" w:eastAsia="zh-CN" w:bidi="ar"/>
              </w:rPr>
              <w:t>其他临时工程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exact"/>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color w:val="000000"/>
                <w:sz w:val="18"/>
                <w:szCs w:val="18"/>
                <w:u w:val="none"/>
                <w:lang w:val="en-US" w:eastAsia="zh-CN" w:bidi="ar"/>
              </w:rPr>
              <w:t>第五部分：独立费用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64.2</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64.2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64.2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64.2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exact"/>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eastAsia" w:ascii="Times New Roman" w:hAnsi="Times New Roman" w:eastAsia="宋体" w:cs="Times New Roman"/>
                <w:i w:val="0"/>
                <w:iCs w:val="0"/>
                <w:color w:val="000000"/>
                <w:kern w:val="0"/>
                <w:sz w:val="18"/>
                <w:szCs w:val="18"/>
                <w:u w:val="none"/>
                <w:lang w:val="en-US" w:eastAsia="zh-CN" w:bidi="ar"/>
              </w:rPr>
              <w:t>1</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color w:val="000000"/>
                <w:sz w:val="18"/>
                <w:szCs w:val="18"/>
                <w:u w:val="none"/>
                <w:lang w:val="en-US" w:eastAsia="zh-CN" w:bidi="ar"/>
              </w:rPr>
              <w:t>水土保持方案编制费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22.6</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22.6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exact"/>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eastAsia" w:ascii="Times New Roman" w:hAnsi="Times New Roman" w:eastAsia="宋体" w:cs="Times New Roman"/>
                <w:i w:val="0"/>
                <w:iCs w:val="0"/>
                <w:color w:val="000000"/>
                <w:kern w:val="0"/>
                <w:sz w:val="18"/>
                <w:szCs w:val="18"/>
                <w:u w:val="none"/>
                <w:lang w:val="en-US" w:eastAsia="zh-CN" w:bidi="ar"/>
              </w:rPr>
              <w:t>2</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color w:val="000000"/>
                <w:sz w:val="18"/>
                <w:szCs w:val="18"/>
                <w:u w:val="none"/>
                <w:lang w:val="en-US" w:eastAsia="zh-CN" w:bidi="ar"/>
              </w:rPr>
              <w:t>水土保持设施验收报告编制费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35.65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35.65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35.65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35.65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exact"/>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eastAsia" w:ascii="Times New Roman" w:hAnsi="Times New Roman" w:eastAsia="宋体" w:cs="Times New Roman"/>
                <w:i w:val="0"/>
                <w:iCs w:val="0"/>
                <w:color w:val="000000"/>
                <w:kern w:val="0"/>
                <w:sz w:val="18"/>
                <w:szCs w:val="18"/>
                <w:u w:val="none"/>
                <w:lang w:val="en-US" w:eastAsia="zh-CN" w:bidi="ar"/>
              </w:rPr>
              <w:t>3</w:t>
            </w: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color w:val="000000"/>
                <w:sz w:val="18"/>
                <w:szCs w:val="18"/>
                <w:u w:val="none"/>
                <w:lang w:val="en-US" w:eastAsia="zh-CN" w:bidi="ar"/>
              </w:rPr>
              <w:t>建设管理费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5.95</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5.95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5.95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5.95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exact"/>
          <w:jc w:val="center"/>
        </w:trPr>
        <w:tc>
          <w:tcPr>
            <w:tcW w:w="27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color w:val="000000"/>
                <w:sz w:val="18"/>
                <w:szCs w:val="18"/>
                <w:u w:val="none"/>
                <w:lang w:val="en-US" w:eastAsia="zh-CN" w:bidi="ar"/>
              </w:rPr>
              <w:t>一至五部分合计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361.83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5171.73</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5533.56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361.83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5171.73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5533.56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exact"/>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color w:val="000000"/>
                <w:sz w:val="18"/>
                <w:szCs w:val="18"/>
                <w:u w:val="none"/>
                <w:lang w:val="en-US" w:eastAsia="zh-CN" w:bidi="ar"/>
              </w:rPr>
              <w:t>基本预备费</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17.86</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17.86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17.86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17.86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exact"/>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color w:val="000000"/>
                <w:sz w:val="18"/>
                <w:szCs w:val="18"/>
                <w:u w:val="none"/>
                <w:lang w:val="en-US" w:eastAsia="zh-CN" w:bidi="ar"/>
              </w:rPr>
              <w:t>水土保持补偿费</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62.15</w:t>
            </w:r>
            <w:r>
              <w:rPr>
                <w:rFonts w:hint="eastAsia" w:ascii="Times New Roman" w:hAnsi="Times New Roman" w:eastAsia="宋体" w:cs="Times New Roman"/>
                <w:i w:val="0"/>
                <w:iCs w:val="0"/>
                <w:color w:val="000000"/>
                <w:kern w:val="0"/>
                <w:sz w:val="18"/>
                <w:szCs w:val="18"/>
                <w:u w:val="none"/>
                <w:lang w:val="en-US" w:eastAsia="zh-CN" w:bidi="ar"/>
              </w:rPr>
              <w:t>0</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18"/>
                <w:szCs w:val="18"/>
                <w:u w:val="none"/>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62.15</w:t>
            </w:r>
            <w:r>
              <w:rPr>
                <w:rFonts w:hint="eastAsia" w:ascii="Times New Roman" w:hAnsi="Times New Roman" w:eastAsia="宋体" w:cs="Times New Roman"/>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62.15</w:t>
            </w:r>
            <w:r>
              <w:rPr>
                <w:rFonts w:hint="eastAsia" w:ascii="Times New Roman" w:hAnsi="Times New Roman" w:eastAsia="宋体" w:cs="Times New Roman"/>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62.15</w:t>
            </w:r>
            <w:r>
              <w:rPr>
                <w:rFonts w:hint="eastAsia" w:ascii="Times New Roman" w:hAnsi="Times New Roman" w:eastAsia="宋体" w:cs="Times New Roman"/>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exact"/>
          <w:jc w:val="center"/>
        </w:trPr>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p>
        </w:tc>
        <w:tc>
          <w:tcPr>
            <w:tcW w:w="18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color w:val="000000"/>
                <w:sz w:val="18"/>
                <w:szCs w:val="18"/>
                <w:u w:val="none"/>
                <w:lang w:val="en-US" w:eastAsia="zh-CN" w:bidi="ar"/>
              </w:rPr>
              <w:t>静态总投资</w:t>
            </w:r>
          </w:p>
        </w:tc>
        <w:tc>
          <w:tcPr>
            <w:tcW w:w="9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441.84</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5171.73</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5613.57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441.84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5171.73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5613.57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0.0</w:t>
            </w:r>
          </w:p>
        </w:tc>
      </w:tr>
    </w:tbl>
    <w:p>
      <w:pPr>
        <w:pStyle w:val="2"/>
        <w:rPr>
          <w:rFonts w:hint="eastAsia"/>
          <w:lang w:val="en-US" w:eastAsia="zh-CN"/>
        </w:rPr>
      </w:pPr>
    </w:p>
    <w:sectPr>
      <w:footerReference r:id="rId5" w:type="default"/>
      <w:pgSz w:w="11906" w:h="16838"/>
      <w:pgMar w:top="1985" w:right="1446" w:bottom="1644" w:left="1446" w:header="851" w:footer="1474" w:gutter="0"/>
      <w:pgBorders>
        <w:top w:val="none" w:sz="0" w:space="0"/>
        <w:left w:val="none" w:sz="0" w:space="0"/>
        <w:bottom w:val="none" w:sz="0" w:space="0"/>
        <w:right w:val="none" w:sz="0" w:space="0"/>
      </w:pgBorders>
      <w:pgNumType w:fmt="decimal"/>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AFF" w:usb1="C000247B" w:usb2="00000009" w:usb3="00000000" w:csb0="200001FF" w:csb1="00000000"/>
  </w:font>
  <w:font w:name="Swis721 BT">
    <w:panose1 w:val="020B0504020202020204"/>
    <w:charset w:val="00"/>
    <w:family w:val="swiss"/>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仿宋">
    <w:altName w:val="方正仿宋_GBK"/>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snapToGrid w:val="0"/>
      <w:jc w:val="left"/>
      <w:rPr>
        <w:rStyle w:val="19"/>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Style w:val="19"/>
        <w:rFonts w:ascii="Times New Roman" w:hAnsi="Times New Roman" w:eastAsia="宋体" w:cs="Times New Roman"/>
        <w:kern w:val="2"/>
        <w:sz w:val="18"/>
        <w:szCs w:val="18"/>
        <w:lang w:val="en-US" w:eastAsia="zh-CN" w:bidi="ar-SA"/>
      </w:rPr>
      <w:instrText xml:space="preserve">PAGE  </w:instrText>
    </w:r>
    <w:r>
      <w:rPr>
        <w:rFonts w:ascii="Times New Roman" w:hAnsi="Times New Roman" w:eastAsia="宋体" w:cs="Times New Roman"/>
        <w:kern w:val="2"/>
        <w:sz w:val="18"/>
        <w:szCs w:val="18"/>
        <w:lang w:val="en-US" w:eastAsia="zh-CN" w:bidi="ar-SA"/>
      </w:rPr>
      <w:fldChar w:fldCharType="separate"/>
    </w:r>
    <w:r>
      <w:rPr>
        <w:rStyle w:val="19"/>
        <w:rFonts w:ascii="Times New Roman" w:hAnsi="Times New Roman" w:eastAsia="宋体" w:cs="Times New Roman"/>
        <w:kern w:val="2"/>
        <w:sz w:val="18"/>
        <w:szCs w:val="18"/>
        <w:lang w:val="en-US" w:eastAsia="zh-CN" w:bidi="ar-SA"/>
      </w:rPr>
      <w:t>10</w:t>
    </w:r>
    <w:r>
      <w:rPr>
        <w:rFonts w:ascii="Times New Roman" w:hAnsi="Times New Roman" w:eastAsia="宋体" w:cs="Times New Roman"/>
        <w:kern w:val="2"/>
        <w:sz w:val="18"/>
        <w:szCs w:val="18"/>
        <w:lang w:val="en-US" w:eastAsia="zh-CN" w:bidi="ar-SA"/>
      </w:rPr>
      <w:fldChar w:fldCharType="end"/>
    </w:r>
  </w:p>
  <w:p>
    <w:pPr>
      <w:widowControl w:val="0"/>
      <w:snapToGrid w:val="0"/>
      <w:jc w:val="left"/>
      <w:rPr>
        <w:rFonts w:hint="eastAsia" w:ascii="Times New Roman" w:hAnsi="Times New Roman"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snapToGrid w:val="0"/>
      <w:jc w:val="left"/>
      <w:rPr>
        <w:rStyle w:val="19"/>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Style w:val="19"/>
        <w:rFonts w:ascii="Times New Roman" w:hAnsi="Times New Roman" w:eastAsia="宋体" w:cs="Times New Roman"/>
        <w:kern w:val="2"/>
        <w:sz w:val="18"/>
        <w:szCs w:val="18"/>
        <w:lang w:val="en-US" w:eastAsia="zh-CN" w:bidi="ar-SA"/>
      </w:rPr>
      <w:instrText xml:space="preserve">PAGE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fldChar w:fldCharType="end"/>
    </w:r>
  </w:p>
  <w:p>
    <w:pPr>
      <w:widowControl w:val="0"/>
      <w:snapToGrid w:val="0"/>
      <w:jc w:val="left"/>
      <w:rPr>
        <w:rFonts w:ascii="Times New Roman" w:hAnsi="Times New Roman" w:eastAsia="宋体"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13"/>
                            <w:rPr>
                              <w:rStyle w:val="19"/>
                              <w:rFonts w:hint="eastAsia" w:asciiTheme="minorEastAsia" w:hAnsiTheme="minorEastAsia" w:eastAsiaTheme="minorEastAsia" w:cstheme="minorEastAsia"/>
                              <w:sz w:val="28"/>
                              <w:szCs w:val="28"/>
                            </w:rPr>
                          </w:pPr>
                          <w:r>
                            <w:rPr>
                              <w:rStyle w:val="19"/>
                              <w:rFonts w:hint="eastAsia" w:asciiTheme="minorEastAsia" w:hAnsiTheme="minorEastAsia" w:eastAsiaTheme="minorEastAsia" w:cstheme="minorEastAsia"/>
                              <w:sz w:val="28"/>
                              <w:szCs w:val="28"/>
                            </w:rPr>
                            <w:t xml:space="preserve">— </w:t>
                          </w:r>
                          <w:r>
                            <w:rPr>
                              <w:rStyle w:val="19"/>
                              <w:rFonts w:hint="eastAsia" w:asciiTheme="minorEastAsia" w:hAnsiTheme="minorEastAsia" w:eastAsiaTheme="minorEastAsia" w:cstheme="minorEastAsia"/>
                              <w:sz w:val="28"/>
                              <w:szCs w:val="28"/>
                            </w:rPr>
                            <w:fldChar w:fldCharType="begin"/>
                          </w:r>
                          <w:r>
                            <w:rPr>
                              <w:rStyle w:val="19"/>
                              <w:rFonts w:hint="eastAsia" w:asciiTheme="minorEastAsia" w:hAnsiTheme="minorEastAsia" w:eastAsiaTheme="minorEastAsia" w:cstheme="minorEastAsia"/>
                              <w:sz w:val="28"/>
                              <w:szCs w:val="28"/>
                            </w:rPr>
                            <w:instrText xml:space="preserve"> PAGE  \* MERGEFORMAT </w:instrText>
                          </w:r>
                          <w:r>
                            <w:rPr>
                              <w:rStyle w:val="19"/>
                              <w:rFonts w:hint="eastAsia" w:asciiTheme="minorEastAsia" w:hAnsiTheme="minorEastAsia" w:eastAsiaTheme="minorEastAsia" w:cstheme="minorEastAsia"/>
                              <w:sz w:val="28"/>
                              <w:szCs w:val="28"/>
                            </w:rPr>
                            <w:fldChar w:fldCharType="separate"/>
                          </w:r>
                          <w:r>
                            <w:rPr>
                              <w:rStyle w:val="19"/>
                              <w:rFonts w:hint="eastAsia" w:asciiTheme="minorEastAsia" w:hAnsiTheme="minorEastAsia" w:eastAsiaTheme="minorEastAsia" w:cstheme="minorEastAsia"/>
                              <w:sz w:val="28"/>
                              <w:szCs w:val="28"/>
                            </w:rPr>
                            <w:t>18</w:t>
                          </w:r>
                          <w:r>
                            <w:rPr>
                              <w:rStyle w:val="19"/>
                              <w:rFonts w:hint="eastAsia" w:asciiTheme="minorEastAsia" w:hAnsiTheme="minorEastAsia" w:eastAsiaTheme="minorEastAsia" w:cstheme="minorEastAsia"/>
                              <w:sz w:val="28"/>
                              <w:szCs w:val="28"/>
                            </w:rPr>
                            <w:fldChar w:fldCharType="end"/>
                          </w:r>
                          <w:r>
                            <w:rPr>
                              <w:rStyle w:val="19"/>
                              <w:rFonts w:hint="eastAsia" w:asciiTheme="minorEastAsia" w:hAnsiTheme="minorEastAsia" w:eastAsiaTheme="minorEastAsia" w:cstheme="minorEastAsia"/>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aGmCS9MAAAAF&#10;AQAADwAAAAAAAAABACAAAAA4AAAAZHJzL2Rvd25yZXYueG1sUEsBAhQAFAAAAAgAh07iQAVVTinS&#10;AQAAhQMAAA4AAAAAAAAAAQAgAAAAOAEAAGRycy9lMm9Eb2MueG1sUEsFBgAAAAAGAAYAWQEAAHwF&#10;AAAAAA==&#10;">
              <v:fill on="f" focussize="0,0"/>
              <v:stroke on="f" weight="1.25pt"/>
              <v:imagedata o:title=""/>
              <o:lock v:ext="edit" aspectratio="f"/>
              <v:textbox inset="0mm,0mm,0mm,0mm" style="mso-fit-shape-to-text:t;">
                <w:txbxContent>
                  <w:p>
                    <w:pPr>
                      <w:pStyle w:val="13"/>
                      <w:rPr>
                        <w:rStyle w:val="19"/>
                        <w:rFonts w:hint="eastAsia" w:asciiTheme="minorEastAsia" w:hAnsiTheme="minorEastAsia" w:eastAsiaTheme="minorEastAsia" w:cstheme="minorEastAsia"/>
                        <w:sz w:val="28"/>
                        <w:szCs w:val="28"/>
                      </w:rPr>
                    </w:pPr>
                    <w:r>
                      <w:rPr>
                        <w:rStyle w:val="19"/>
                        <w:rFonts w:hint="eastAsia" w:asciiTheme="minorEastAsia" w:hAnsiTheme="minorEastAsia" w:eastAsiaTheme="minorEastAsia" w:cstheme="minorEastAsia"/>
                        <w:sz w:val="28"/>
                        <w:szCs w:val="28"/>
                      </w:rPr>
                      <w:t xml:space="preserve">— </w:t>
                    </w:r>
                    <w:r>
                      <w:rPr>
                        <w:rStyle w:val="19"/>
                        <w:rFonts w:hint="eastAsia" w:asciiTheme="minorEastAsia" w:hAnsiTheme="minorEastAsia" w:eastAsiaTheme="minorEastAsia" w:cstheme="minorEastAsia"/>
                        <w:sz w:val="28"/>
                        <w:szCs w:val="28"/>
                      </w:rPr>
                      <w:fldChar w:fldCharType="begin"/>
                    </w:r>
                    <w:r>
                      <w:rPr>
                        <w:rStyle w:val="19"/>
                        <w:rFonts w:hint="eastAsia" w:asciiTheme="minorEastAsia" w:hAnsiTheme="minorEastAsia" w:eastAsiaTheme="minorEastAsia" w:cstheme="minorEastAsia"/>
                        <w:sz w:val="28"/>
                        <w:szCs w:val="28"/>
                      </w:rPr>
                      <w:instrText xml:space="preserve"> PAGE  \* MERGEFORMAT </w:instrText>
                    </w:r>
                    <w:r>
                      <w:rPr>
                        <w:rStyle w:val="19"/>
                        <w:rFonts w:hint="eastAsia" w:asciiTheme="minorEastAsia" w:hAnsiTheme="minorEastAsia" w:eastAsiaTheme="minorEastAsia" w:cstheme="minorEastAsia"/>
                        <w:sz w:val="28"/>
                        <w:szCs w:val="28"/>
                      </w:rPr>
                      <w:fldChar w:fldCharType="separate"/>
                    </w:r>
                    <w:r>
                      <w:rPr>
                        <w:rStyle w:val="19"/>
                        <w:rFonts w:hint="eastAsia" w:asciiTheme="minorEastAsia" w:hAnsiTheme="minorEastAsia" w:eastAsiaTheme="minorEastAsia" w:cstheme="minorEastAsia"/>
                        <w:sz w:val="28"/>
                        <w:szCs w:val="28"/>
                      </w:rPr>
                      <w:t>18</w:t>
                    </w:r>
                    <w:r>
                      <w:rPr>
                        <w:rStyle w:val="19"/>
                        <w:rFonts w:hint="eastAsia" w:asciiTheme="minorEastAsia" w:hAnsiTheme="minorEastAsia" w:eastAsiaTheme="minorEastAsia" w:cstheme="minorEastAsia"/>
                        <w:sz w:val="28"/>
                        <w:szCs w:val="28"/>
                      </w:rPr>
                      <w:fldChar w:fldCharType="end"/>
                    </w:r>
                    <w:r>
                      <w:rPr>
                        <w:rStyle w:val="19"/>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trackedChanges" w:enforcement="0"/>
  <w:defaultTabStop w:val="420"/>
  <w:hyphenationZone w:val="360"/>
  <w:drawingGridVerticalSpacing w:val="156"/>
  <w:displayHorizontalDrawingGridEvery w:val="1"/>
  <w:displayVerticalDrawingGridEvery w:val="1"/>
  <w:noPunctuationKerning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DB"/>
    <w:rsid w:val="0000400D"/>
    <w:rsid w:val="0001360F"/>
    <w:rsid w:val="00013DC7"/>
    <w:rsid w:val="00030673"/>
    <w:rsid w:val="00033909"/>
    <w:rsid w:val="00037512"/>
    <w:rsid w:val="000407F0"/>
    <w:rsid w:val="000523B1"/>
    <w:rsid w:val="000555E9"/>
    <w:rsid w:val="000568AA"/>
    <w:rsid w:val="00061B2E"/>
    <w:rsid w:val="00062293"/>
    <w:rsid w:val="00062D2C"/>
    <w:rsid w:val="00063B50"/>
    <w:rsid w:val="00065DBF"/>
    <w:rsid w:val="000766E7"/>
    <w:rsid w:val="00092431"/>
    <w:rsid w:val="000A5496"/>
    <w:rsid w:val="000A5C46"/>
    <w:rsid w:val="000B4ADE"/>
    <w:rsid w:val="000B5CD7"/>
    <w:rsid w:val="000B5F67"/>
    <w:rsid w:val="000C0B1D"/>
    <w:rsid w:val="000C0CA4"/>
    <w:rsid w:val="000E013A"/>
    <w:rsid w:val="000E6F54"/>
    <w:rsid w:val="000E7136"/>
    <w:rsid w:val="000F1818"/>
    <w:rsid w:val="000F36A3"/>
    <w:rsid w:val="0010191B"/>
    <w:rsid w:val="00104BDA"/>
    <w:rsid w:val="00106CEA"/>
    <w:rsid w:val="00112AF1"/>
    <w:rsid w:val="00115A0D"/>
    <w:rsid w:val="00120D21"/>
    <w:rsid w:val="001226FF"/>
    <w:rsid w:val="00127815"/>
    <w:rsid w:val="001308FC"/>
    <w:rsid w:val="00132F0D"/>
    <w:rsid w:val="001341DF"/>
    <w:rsid w:val="001406E7"/>
    <w:rsid w:val="00151460"/>
    <w:rsid w:val="00157513"/>
    <w:rsid w:val="00160893"/>
    <w:rsid w:val="00165DF4"/>
    <w:rsid w:val="00166002"/>
    <w:rsid w:val="00175A39"/>
    <w:rsid w:val="00183AE1"/>
    <w:rsid w:val="001903CD"/>
    <w:rsid w:val="001930D3"/>
    <w:rsid w:val="001932A2"/>
    <w:rsid w:val="00196EFA"/>
    <w:rsid w:val="001A51C7"/>
    <w:rsid w:val="001B217D"/>
    <w:rsid w:val="001C0A6F"/>
    <w:rsid w:val="001D062B"/>
    <w:rsid w:val="001F3035"/>
    <w:rsid w:val="001F34AB"/>
    <w:rsid w:val="001F5AB0"/>
    <w:rsid w:val="00205E64"/>
    <w:rsid w:val="00206494"/>
    <w:rsid w:val="00213017"/>
    <w:rsid w:val="00215D0D"/>
    <w:rsid w:val="0021642A"/>
    <w:rsid w:val="0022295E"/>
    <w:rsid w:val="00234598"/>
    <w:rsid w:val="00235A74"/>
    <w:rsid w:val="00235AA8"/>
    <w:rsid w:val="00237ECB"/>
    <w:rsid w:val="00241B99"/>
    <w:rsid w:val="0024677B"/>
    <w:rsid w:val="00254D2B"/>
    <w:rsid w:val="00255C32"/>
    <w:rsid w:val="00260628"/>
    <w:rsid w:val="002618BB"/>
    <w:rsid w:val="002677DD"/>
    <w:rsid w:val="00274C14"/>
    <w:rsid w:val="00284091"/>
    <w:rsid w:val="00285603"/>
    <w:rsid w:val="00295BFD"/>
    <w:rsid w:val="002A2424"/>
    <w:rsid w:val="002A33A6"/>
    <w:rsid w:val="002B497B"/>
    <w:rsid w:val="002B6B43"/>
    <w:rsid w:val="002B7B01"/>
    <w:rsid w:val="002C04D3"/>
    <w:rsid w:val="002D45CC"/>
    <w:rsid w:val="002D55BB"/>
    <w:rsid w:val="002D70D3"/>
    <w:rsid w:val="002D7205"/>
    <w:rsid w:val="002E5667"/>
    <w:rsid w:val="002E6C6F"/>
    <w:rsid w:val="002F7738"/>
    <w:rsid w:val="002F7A4F"/>
    <w:rsid w:val="0030765D"/>
    <w:rsid w:val="00310A7F"/>
    <w:rsid w:val="003119F3"/>
    <w:rsid w:val="00315A19"/>
    <w:rsid w:val="00316AB1"/>
    <w:rsid w:val="00321AE7"/>
    <w:rsid w:val="00340609"/>
    <w:rsid w:val="00342062"/>
    <w:rsid w:val="00351FF2"/>
    <w:rsid w:val="0035241F"/>
    <w:rsid w:val="00352952"/>
    <w:rsid w:val="00354055"/>
    <w:rsid w:val="00357672"/>
    <w:rsid w:val="0037216D"/>
    <w:rsid w:val="0038087C"/>
    <w:rsid w:val="00397F9F"/>
    <w:rsid w:val="003A2C4B"/>
    <w:rsid w:val="003A6141"/>
    <w:rsid w:val="003B545E"/>
    <w:rsid w:val="003C3BBF"/>
    <w:rsid w:val="003C5CAA"/>
    <w:rsid w:val="003E623A"/>
    <w:rsid w:val="003F0E48"/>
    <w:rsid w:val="003F259B"/>
    <w:rsid w:val="003F3155"/>
    <w:rsid w:val="003F3CCA"/>
    <w:rsid w:val="003F6AD1"/>
    <w:rsid w:val="00402683"/>
    <w:rsid w:val="004046C2"/>
    <w:rsid w:val="0043029A"/>
    <w:rsid w:val="004312D6"/>
    <w:rsid w:val="00431BB7"/>
    <w:rsid w:val="00436E7E"/>
    <w:rsid w:val="0043754E"/>
    <w:rsid w:val="00437D48"/>
    <w:rsid w:val="00440E38"/>
    <w:rsid w:val="004445C8"/>
    <w:rsid w:val="004515D0"/>
    <w:rsid w:val="0045241E"/>
    <w:rsid w:val="0045392E"/>
    <w:rsid w:val="004617F0"/>
    <w:rsid w:val="004621ED"/>
    <w:rsid w:val="004653E3"/>
    <w:rsid w:val="00474F83"/>
    <w:rsid w:val="004759F5"/>
    <w:rsid w:val="00483C2E"/>
    <w:rsid w:val="004A36B8"/>
    <w:rsid w:val="004B124C"/>
    <w:rsid w:val="004B167F"/>
    <w:rsid w:val="004B5008"/>
    <w:rsid w:val="004C0513"/>
    <w:rsid w:val="004C3E7F"/>
    <w:rsid w:val="004C6217"/>
    <w:rsid w:val="004C7B88"/>
    <w:rsid w:val="004D5DFA"/>
    <w:rsid w:val="004E0116"/>
    <w:rsid w:val="004E0A81"/>
    <w:rsid w:val="004E5C09"/>
    <w:rsid w:val="004F06AF"/>
    <w:rsid w:val="004F3A18"/>
    <w:rsid w:val="004F5077"/>
    <w:rsid w:val="005115C4"/>
    <w:rsid w:val="005139F5"/>
    <w:rsid w:val="00514647"/>
    <w:rsid w:val="00520CF7"/>
    <w:rsid w:val="00524443"/>
    <w:rsid w:val="00524DD2"/>
    <w:rsid w:val="00535712"/>
    <w:rsid w:val="00560578"/>
    <w:rsid w:val="0056487A"/>
    <w:rsid w:val="00571068"/>
    <w:rsid w:val="005752D3"/>
    <w:rsid w:val="0057599A"/>
    <w:rsid w:val="00575A67"/>
    <w:rsid w:val="005822B6"/>
    <w:rsid w:val="00582D98"/>
    <w:rsid w:val="005837BA"/>
    <w:rsid w:val="0058427A"/>
    <w:rsid w:val="0058610A"/>
    <w:rsid w:val="00594D43"/>
    <w:rsid w:val="005A0A69"/>
    <w:rsid w:val="005A18E7"/>
    <w:rsid w:val="005A4BAB"/>
    <w:rsid w:val="005A6E19"/>
    <w:rsid w:val="005A7156"/>
    <w:rsid w:val="005B0C9E"/>
    <w:rsid w:val="005B0D68"/>
    <w:rsid w:val="005B2FF4"/>
    <w:rsid w:val="005C0CCE"/>
    <w:rsid w:val="005C1D60"/>
    <w:rsid w:val="005C334A"/>
    <w:rsid w:val="005C6C4A"/>
    <w:rsid w:val="005D6A26"/>
    <w:rsid w:val="005D6FAE"/>
    <w:rsid w:val="005F0F49"/>
    <w:rsid w:val="00602204"/>
    <w:rsid w:val="00603CA3"/>
    <w:rsid w:val="00607864"/>
    <w:rsid w:val="00624B36"/>
    <w:rsid w:val="006533BD"/>
    <w:rsid w:val="00654F91"/>
    <w:rsid w:val="00655A47"/>
    <w:rsid w:val="00656B0C"/>
    <w:rsid w:val="006571D7"/>
    <w:rsid w:val="0067235F"/>
    <w:rsid w:val="0069564E"/>
    <w:rsid w:val="006A3AA2"/>
    <w:rsid w:val="006B110A"/>
    <w:rsid w:val="006B1DE4"/>
    <w:rsid w:val="006B63D8"/>
    <w:rsid w:val="006D159B"/>
    <w:rsid w:val="006D4B21"/>
    <w:rsid w:val="006D4C7B"/>
    <w:rsid w:val="006D6CC7"/>
    <w:rsid w:val="006D74D2"/>
    <w:rsid w:val="006E1444"/>
    <w:rsid w:val="006F479E"/>
    <w:rsid w:val="006F48FE"/>
    <w:rsid w:val="006F6EB3"/>
    <w:rsid w:val="006F6FB4"/>
    <w:rsid w:val="007034D0"/>
    <w:rsid w:val="007038C8"/>
    <w:rsid w:val="00706EE8"/>
    <w:rsid w:val="007108F5"/>
    <w:rsid w:val="00713BC0"/>
    <w:rsid w:val="0072265A"/>
    <w:rsid w:val="007230EE"/>
    <w:rsid w:val="007406AC"/>
    <w:rsid w:val="00741D91"/>
    <w:rsid w:val="007452C5"/>
    <w:rsid w:val="00750073"/>
    <w:rsid w:val="0076107D"/>
    <w:rsid w:val="0076527A"/>
    <w:rsid w:val="00773E09"/>
    <w:rsid w:val="00775EB0"/>
    <w:rsid w:val="007821DE"/>
    <w:rsid w:val="00782676"/>
    <w:rsid w:val="00784393"/>
    <w:rsid w:val="00787FC0"/>
    <w:rsid w:val="00797906"/>
    <w:rsid w:val="007A529C"/>
    <w:rsid w:val="007A7FD2"/>
    <w:rsid w:val="007B00B6"/>
    <w:rsid w:val="007B3307"/>
    <w:rsid w:val="007B7093"/>
    <w:rsid w:val="007B73DB"/>
    <w:rsid w:val="007C02B9"/>
    <w:rsid w:val="007C4701"/>
    <w:rsid w:val="007C4AF1"/>
    <w:rsid w:val="007C6BDE"/>
    <w:rsid w:val="007C7CC0"/>
    <w:rsid w:val="007D3412"/>
    <w:rsid w:val="007E5D34"/>
    <w:rsid w:val="007F0F80"/>
    <w:rsid w:val="007F4723"/>
    <w:rsid w:val="00801A99"/>
    <w:rsid w:val="00803DD8"/>
    <w:rsid w:val="00810362"/>
    <w:rsid w:val="008170EF"/>
    <w:rsid w:val="008174D5"/>
    <w:rsid w:val="00823F6A"/>
    <w:rsid w:val="00843B99"/>
    <w:rsid w:val="00846224"/>
    <w:rsid w:val="00853163"/>
    <w:rsid w:val="0085340B"/>
    <w:rsid w:val="00857647"/>
    <w:rsid w:val="00860D33"/>
    <w:rsid w:val="00867E7F"/>
    <w:rsid w:val="00871FA8"/>
    <w:rsid w:val="00874A6A"/>
    <w:rsid w:val="008771E0"/>
    <w:rsid w:val="0087747E"/>
    <w:rsid w:val="00883B07"/>
    <w:rsid w:val="00884BB2"/>
    <w:rsid w:val="00886249"/>
    <w:rsid w:val="0089351B"/>
    <w:rsid w:val="00895DB9"/>
    <w:rsid w:val="00897175"/>
    <w:rsid w:val="008A1DB3"/>
    <w:rsid w:val="008A2D9C"/>
    <w:rsid w:val="008A6A44"/>
    <w:rsid w:val="008A7146"/>
    <w:rsid w:val="008A78A9"/>
    <w:rsid w:val="008B1D58"/>
    <w:rsid w:val="008B3171"/>
    <w:rsid w:val="008B3303"/>
    <w:rsid w:val="008B3C73"/>
    <w:rsid w:val="008B40AF"/>
    <w:rsid w:val="008C37AC"/>
    <w:rsid w:val="008C48FE"/>
    <w:rsid w:val="008C699F"/>
    <w:rsid w:val="008D03FF"/>
    <w:rsid w:val="008D1156"/>
    <w:rsid w:val="008E237C"/>
    <w:rsid w:val="008E4B6D"/>
    <w:rsid w:val="008E6BE6"/>
    <w:rsid w:val="008F27F1"/>
    <w:rsid w:val="009052B5"/>
    <w:rsid w:val="00905994"/>
    <w:rsid w:val="00907BE2"/>
    <w:rsid w:val="0091382C"/>
    <w:rsid w:val="00913F36"/>
    <w:rsid w:val="00924678"/>
    <w:rsid w:val="00934C04"/>
    <w:rsid w:val="009439C9"/>
    <w:rsid w:val="00943F6D"/>
    <w:rsid w:val="00945285"/>
    <w:rsid w:val="00945B73"/>
    <w:rsid w:val="0094698B"/>
    <w:rsid w:val="00947985"/>
    <w:rsid w:val="00950B4F"/>
    <w:rsid w:val="00953230"/>
    <w:rsid w:val="00962090"/>
    <w:rsid w:val="00971427"/>
    <w:rsid w:val="00983119"/>
    <w:rsid w:val="00991445"/>
    <w:rsid w:val="00992768"/>
    <w:rsid w:val="00993BBF"/>
    <w:rsid w:val="009B0EA6"/>
    <w:rsid w:val="009B4011"/>
    <w:rsid w:val="009B7763"/>
    <w:rsid w:val="009C35E1"/>
    <w:rsid w:val="009D56D9"/>
    <w:rsid w:val="009E11E8"/>
    <w:rsid w:val="009F4C11"/>
    <w:rsid w:val="00A00200"/>
    <w:rsid w:val="00A048F3"/>
    <w:rsid w:val="00A17B1B"/>
    <w:rsid w:val="00A23010"/>
    <w:rsid w:val="00A2448D"/>
    <w:rsid w:val="00A2654D"/>
    <w:rsid w:val="00A30896"/>
    <w:rsid w:val="00A34111"/>
    <w:rsid w:val="00A37551"/>
    <w:rsid w:val="00A410D0"/>
    <w:rsid w:val="00A50D9F"/>
    <w:rsid w:val="00A60805"/>
    <w:rsid w:val="00A61854"/>
    <w:rsid w:val="00A63A0D"/>
    <w:rsid w:val="00A65741"/>
    <w:rsid w:val="00A66E46"/>
    <w:rsid w:val="00A67B4D"/>
    <w:rsid w:val="00A72322"/>
    <w:rsid w:val="00A7391C"/>
    <w:rsid w:val="00A74139"/>
    <w:rsid w:val="00A80FC5"/>
    <w:rsid w:val="00A90F78"/>
    <w:rsid w:val="00A96445"/>
    <w:rsid w:val="00A97CFE"/>
    <w:rsid w:val="00AA08A6"/>
    <w:rsid w:val="00AA25AC"/>
    <w:rsid w:val="00AA3C5C"/>
    <w:rsid w:val="00AA4199"/>
    <w:rsid w:val="00AA4410"/>
    <w:rsid w:val="00AA47EB"/>
    <w:rsid w:val="00AA5136"/>
    <w:rsid w:val="00AB0D0D"/>
    <w:rsid w:val="00AC5C20"/>
    <w:rsid w:val="00AC6FD2"/>
    <w:rsid w:val="00AD47C3"/>
    <w:rsid w:val="00AD552A"/>
    <w:rsid w:val="00AE2C56"/>
    <w:rsid w:val="00AE317C"/>
    <w:rsid w:val="00AE4DEE"/>
    <w:rsid w:val="00AE54DD"/>
    <w:rsid w:val="00AE675A"/>
    <w:rsid w:val="00AE7973"/>
    <w:rsid w:val="00AF2088"/>
    <w:rsid w:val="00AF4D93"/>
    <w:rsid w:val="00AF65D5"/>
    <w:rsid w:val="00B01E33"/>
    <w:rsid w:val="00B0754C"/>
    <w:rsid w:val="00B11B53"/>
    <w:rsid w:val="00B17D1E"/>
    <w:rsid w:val="00B207DD"/>
    <w:rsid w:val="00B216EC"/>
    <w:rsid w:val="00B3113A"/>
    <w:rsid w:val="00B32F7D"/>
    <w:rsid w:val="00B36599"/>
    <w:rsid w:val="00B37BB4"/>
    <w:rsid w:val="00B41EF0"/>
    <w:rsid w:val="00B42430"/>
    <w:rsid w:val="00B512EA"/>
    <w:rsid w:val="00B52E37"/>
    <w:rsid w:val="00B537BC"/>
    <w:rsid w:val="00B53D78"/>
    <w:rsid w:val="00B55E69"/>
    <w:rsid w:val="00B57E3E"/>
    <w:rsid w:val="00B60C2F"/>
    <w:rsid w:val="00B63E41"/>
    <w:rsid w:val="00B65646"/>
    <w:rsid w:val="00B67ABB"/>
    <w:rsid w:val="00B77FAF"/>
    <w:rsid w:val="00B81A16"/>
    <w:rsid w:val="00B82421"/>
    <w:rsid w:val="00B8744A"/>
    <w:rsid w:val="00B92E95"/>
    <w:rsid w:val="00B96529"/>
    <w:rsid w:val="00B978A1"/>
    <w:rsid w:val="00BA2992"/>
    <w:rsid w:val="00BA447A"/>
    <w:rsid w:val="00BA4620"/>
    <w:rsid w:val="00BA4905"/>
    <w:rsid w:val="00BB189A"/>
    <w:rsid w:val="00BB2DF2"/>
    <w:rsid w:val="00BB6E6D"/>
    <w:rsid w:val="00BC05B3"/>
    <w:rsid w:val="00BC1430"/>
    <w:rsid w:val="00BD11FE"/>
    <w:rsid w:val="00BD417A"/>
    <w:rsid w:val="00BD5D11"/>
    <w:rsid w:val="00BD7B5B"/>
    <w:rsid w:val="00BE69AE"/>
    <w:rsid w:val="00BF0D55"/>
    <w:rsid w:val="00BF3540"/>
    <w:rsid w:val="00C058C5"/>
    <w:rsid w:val="00C15791"/>
    <w:rsid w:val="00C16AB5"/>
    <w:rsid w:val="00C23D8F"/>
    <w:rsid w:val="00C247D0"/>
    <w:rsid w:val="00C2558A"/>
    <w:rsid w:val="00C25652"/>
    <w:rsid w:val="00C27A4E"/>
    <w:rsid w:val="00C31A10"/>
    <w:rsid w:val="00C3695A"/>
    <w:rsid w:val="00C530BD"/>
    <w:rsid w:val="00C553B5"/>
    <w:rsid w:val="00C573D0"/>
    <w:rsid w:val="00C736FC"/>
    <w:rsid w:val="00C77DEA"/>
    <w:rsid w:val="00C80122"/>
    <w:rsid w:val="00C80BC2"/>
    <w:rsid w:val="00C847F7"/>
    <w:rsid w:val="00C87E84"/>
    <w:rsid w:val="00C97820"/>
    <w:rsid w:val="00CA33D9"/>
    <w:rsid w:val="00CA3DCF"/>
    <w:rsid w:val="00CB3875"/>
    <w:rsid w:val="00CB5333"/>
    <w:rsid w:val="00CC1130"/>
    <w:rsid w:val="00CC47A6"/>
    <w:rsid w:val="00CD1138"/>
    <w:rsid w:val="00CD283B"/>
    <w:rsid w:val="00CD65F8"/>
    <w:rsid w:val="00CE1208"/>
    <w:rsid w:val="00CF0686"/>
    <w:rsid w:val="00CF3A6D"/>
    <w:rsid w:val="00CF5E70"/>
    <w:rsid w:val="00D06A08"/>
    <w:rsid w:val="00D2019C"/>
    <w:rsid w:val="00D232D4"/>
    <w:rsid w:val="00D271CA"/>
    <w:rsid w:val="00D27F26"/>
    <w:rsid w:val="00D308FB"/>
    <w:rsid w:val="00D35A9A"/>
    <w:rsid w:val="00D47EAA"/>
    <w:rsid w:val="00D62263"/>
    <w:rsid w:val="00D64280"/>
    <w:rsid w:val="00D65450"/>
    <w:rsid w:val="00D67AD5"/>
    <w:rsid w:val="00D67D3C"/>
    <w:rsid w:val="00D741FA"/>
    <w:rsid w:val="00D74F20"/>
    <w:rsid w:val="00D76099"/>
    <w:rsid w:val="00D8442B"/>
    <w:rsid w:val="00D93BAF"/>
    <w:rsid w:val="00D93F10"/>
    <w:rsid w:val="00D952D7"/>
    <w:rsid w:val="00DA1312"/>
    <w:rsid w:val="00DB2FF3"/>
    <w:rsid w:val="00DC0DF9"/>
    <w:rsid w:val="00DC1913"/>
    <w:rsid w:val="00DC3CDF"/>
    <w:rsid w:val="00DC727C"/>
    <w:rsid w:val="00DD5257"/>
    <w:rsid w:val="00DD5FA2"/>
    <w:rsid w:val="00DF3456"/>
    <w:rsid w:val="00E00306"/>
    <w:rsid w:val="00E01FC4"/>
    <w:rsid w:val="00E025F1"/>
    <w:rsid w:val="00E0291F"/>
    <w:rsid w:val="00E11285"/>
    <w:rsid w:val="00E11BB0"/>
    <w:rsid w:val="00E132A3"/>
    <w:rsid w:val="00E16C41"/>
    <w:rsid w:val="00E20AED"/>
    <w:rsid w:val="00E23D57"/>
    <w:rsid w:val="00E306E0"/>
    <w:rsid w:val="00E31E93"/>
    <w:rsid w:val="00E32469"/>
    <w:rsid w:val="00E368CB"/>
    <w:rsid w:val="00E52155"/>
    <w:rsid w:val="00E52175"/>
    <w:rsid w:val="00E560F3"/>
    <w:rsid w:val="00E61BFE"/>
    <w:rsid w:val="00E65AD7"/>
    <w:rsid w:val="00E66531"/>
    <w:rsid w:val="00E67252"/>
    <w:rsid w:val="00E7051E"/>
    <w:rsid w:val="00E727CE"/>
    <w:rsid w:val="00E72A27"/>
    <w:rsid w:val="00E764EC"/>
    <w:rsid w:val="00E87ED3"/>
    <w:rsid w:val="00E92DB0"/>
    <w:rsid w:val="00E95561"/>
    <w:rsid w:val="00E9698C"/>
    <w:rsid w:val="00E978C2"/>
    <w:rsid w:val="00EA08C5"/>
    <w:rsid w:val="00EA33B0"/>
    <w:rsid w:val="00EB5991"/>
    <w:rsid w:val="00EC07EE"/>
    <w:rsid w:val="00EC7F30"/>
    <w:rsid w:val="00ED1C88"/>
    <w:rsid w:val="00EE0FAA"/>
    <w:rsid w:val="00EE20D2"/>
    <w:rsid w:val="00EF2BD0"/>
    <w:rsid w:val="00F00652"/>
    <w:rsid w:val="00F015C1"/>
    <w:rsid w:val="00F1001E"/>
    <w:rsid w:val="00F227CF"/>
    <w:rsid w:val="00F23015"/>
    <w:rsid w:val="00F3450D"/>
    <w:rsid w:val="00F35816"/>
    <w:rsid w:val="00F37419"/>
    <w:rsid w:val="00F400FE"/>
    <w:rsid w:val="00F407ED"/>
    <w:rsid w:val="00F4330D"/>
    <w:rsid w:val="00F5171F"/>
    <w:rsid w:val="00F524B1"/>
    <w:rsid w:val="00F52F56"/>
    <w:rsid w:val="00F55267"/>
    <w:rsid w:val="00F56A1C"/>
    <w:rsid w:val="00F574B8"/>
    <w:rsid w:val="00F60ECA"/>
    <w:rsid w:val="00F620F3"/>
    <w:rsid w:val="00F67722"/>
    <w:rsid w:val="00F7012C"/>
    <w:rsid w:val="00F72BBF"/>
    <w:rsid w:val="00F74B5B"/>
    <w:rsid w:val="00F757A6"/>
    <w:rsid w:val="00F77D2E"/>
    <w:rsid w:val="00F8027A"/>
    <w:rsid w:val="00F91499"/>
    <w:rsid w:val="00F94FBA"/>
    <w:rsid w:val="00F952C5"/>
    <w:rsid w:val="00FA0D4B"/>
    <w:rsid w:val="00FA1A6E"/>
    <w:rsid w:val="00FA6622"/>
    <w:rsid w:val="00FB007C"/>
    <w:rsid w:val="00FB512A"/>
    <w:rsid w:val="00FB5B96"/>
    <w:rsid w:val="00FB71A5"/>
    <w:rsid w:val="00FB731C"/>
    <w:rsid w:val="00FC08B0"/>
    <w:rsid w:val="00FC0DF0"/>
    <w:rsid w:val="00FC4344"/>
    <w:rsid w:val="00FD08F3"/>
    <w:rsid w:val="00FD6A6A"/>
    <w:rsid w:val="00FE6FDC"/>
    <w:rsid w:val="00FE7579"/>
    <w:rsid w:val="02B50089"/>
    <w:rsid w:val="03195D34"/>
    <w:rsid w:val="0348073F"/>
    <w:rsid w:val="04206CAA"/>
    <w:rsid w:val="055361AC"/>
    <w:rsid w:val="056E1929"/>
    <w:rsid w:val="05CD41A8"/>
    <w:rsid w:val="06562393"/>
    <w:rsid w:val="06EE7132"/>
    <w:rsid w:val="07187328"/>
    <w:rsid w:val="07641C80"/>
    <w:rsid w:val="07BB4394"/>
    <w:rsid w:val="08FA494B"/>
    <w:rsid w:val="095D6CE1"/>
    <w:rsid w:val="0AAD4C53"/>
    <w:rsid w:val="0B731774"/>
    <w:rsid w:val="0B890510"/>
    <w:rsid w:val="0BD43311"/>
    <w:rsid w:val="0C175830"/>
    <w:rsid w:val="0C77F289"/>
    <w:rsid w:val="0CCD0FDB"/>
    <w:rsid w:val="0D041DC3"/>
    <w:rsid w:val="0E215FED"/>
    <w:rsid w:val="0E2E77FB"/>
    <w:rsid w:val="0EAD22B1"/>
    <w:rsid w:val="0EF94AD2"/>
    <w:rsid w:val="0F736B0C"/>
    <w:rsid w:val="0F7830AF"/>
    <w:rsid w:val="0FEB31A3"/>
    <w:rsid w:val="10C6291E"/>
    <w:rsid w:val="12207CB7"/>
    <w:rsid w:val="136638AB"/>
    <w:rsid w:val="13763A43"/>
    <w:rsid w:val="14706153"/>
    <w:rsid w:val="15D50686"/>
    <w:rsid w:val="17AD1515"/>
    <w:rsid w:val="191F2D4F"/>
    <w:rsid w:val="19E63E0C"/>
    <w:rsid w:val="1AA11BA9"/>
    <w:rsid w:val="1C690C00"/>
    <w:rsid w:val="1D2C5FE8"/>
    <w:rsid w:val="1DFB7D1C"/>
    <w:rsid w:val="1E69485B"/>
    <w:rsid w:val="1E9C00A0"/>
    <w:rsid w:val="1F3B6715"/>
    <w:rsid w:val="1F5CA05E"/>
    <w:rsid w:val="1F6F63CD"/>
    <w:rsid w:val="1FFD4D5A"/>
    <w:rsid w:val="219C1C67"/>
    <w:rsid w:val="21A73E45"/>
    <w:rsid w:val="220F0EDB"/>
    <w:rsid w:val="23CC7B8D"/>
    <w:rsid w:val="24432410"/>
    <w:rsid w:val="24D523AF"/>
    <w:rsid w:val="25C83420"/>
    <w:rsid w:val="275C69CE"/>
    <w:rsid w:val="290A7315"/>
    <w:rsid w:val="29C10E64"/>
    <w:rsid w:val="2A341411"/>
    <w:rsid w:val="2B1706DC"/>
    <w:rsid w:val="2B17EBFE"/>
    <w:rsid w:val="2CBE2431"/>
    <w:rsid w:val="2ECB239C"/>
    <w:rsid w:val="2FEB4B9F"/>
    <w:rsid w:val="2FEB6799"/>
    <w:rsid w:val="30914434"/>
    <w:rsid w:val="31D921A4"/>
    <w:rsid w:val="32BF7018"/>
    <w:rsid w:val="33AFCDDC"/>
    <w:rsid w:val="34581908"/>
    <w:rsid w:val="35020712"/>
    <w:rsid w:val="35065A3A"/>
    <w:rsid w:val="35D5328C"/>
    <w:rsid w:val="367AF856"/>
    <w:rsid w:val="370D16B3"/>
    <w:rsid w:val="37C51145"/>
    <w:rsid w:val="37D34713"/>
    <w:rsid w:val="37FFA73D"/>
    <w:rsid w:val="386510FC"/>
    <w:rsid w:val="39BA7744"/>
    <w:rsid w:val="3AB853C8"/>
    <w:rsid w:val="3B9F2014"/>
    <w:rsid w:val="3BA26649"/>
    <w:rsid w:val="3BEB2DD8"/>
    <w:rsid w:val="3BEFAF9D"/>
    <w:rsid w:val="3C9A35A3"/>
    <w:rsid w:val="3D7F5882"/>
    <w:rsid w:val="3DBB3E02"/>
    <w:rsid w:val="3DD030B8"/>
    <w:rsid w:val="3DDE5100"/>
    <w:rsid w:val="3E63500C"/>
    <w:rsid w:val="3E81138A"/>
    <w:rsid w:val="3EFE8C2A"/>
    <w:rsid w:val="3F7F5A6A"/>
    <w:rsid w:val="3FA43F19"/>
    <w:rsid w:val="3FDF6E79"/>
    <w:rsid w:val="41285076"/>
    <w:rsid w:val="42AD5BED"/>
    <w:rsid w:val="43396CC2"/>
    <w:rsid w:val="43723646"/>
    <w:rsid w:val="439D17F4"/>
    <w:rsid w:val="46BF18E1"/>
    <w:rsid w:val="46E66BFD"/>
    <w:rsid w:val="473E4D14"/>
    <w:rsid w:val="489A0AE6"/>
    <w:rsid w:val="4A9317A2"/>
    <w:rsid w:val="4B4D65A7"/>
    <w:rsid w:val="4BDFD1EE"/>
    <w:rsid w:val="4D2370E7"/>
    <w:rsid w:val="4DECC0FF"/>
    <w:rsid w:val="4E7647D3"/>
    <w:rsid w:val="4E8C447A"/>
    <w:rsid w:val="4F502494"/>
    <w:rsid w:val="4FBEF9B5"/>
    <w:rsid w:val="4FC55E23"/>
    <w:rsid w:val="5023392E"/>
    <w:rsid w:val="509A7964"/>
    <w:rsid w:val="53D72F5A"/>
    <w:rsid w:val="53FDACB5"/>
    <w:rsid w:val="54510FE5"/>
    <w:rsid w:val="56020BB4"/>
    <w:rsid w:val="571E02A3"/>
    <w:rsid w:val="57FD7E1B"/>
    <w:rsid w:val="584843AC"/>
    <w:rsid w:val="5ADF6823"/>
    <w:rsid w:val="5B175D16"/>
    <w:rsid w:val="5B1A0782"/>
    <w:rsid w:val="5C624A97"/>
    <w:rsid w:val="5DDA3951"/>
    <w:rsid w:val="5E5AF9EE"/>
    <w:rsid w:val="5FA95F49"/>
    <w:rsid w:val="5FBF8763"/>
    <w:rsid w:val="61CB412D"/>
    <w:rsid w:val="61E274FB"/>
    <w:rsid w:val="63270190"/>
    <w:rsid w:val="63C07097"/>
    <w:rsid w:val="63F6BC28"/>
    <w:rsid w:val="6460399A"/>
    <w:rsid w:val="651117FC"/>
    <w:rsid w:val="654340E7"/>
    <w:rsid w:val="6601756D"/>
    <w:rsid w:val="664F3B20"/>
    <w:rsid w:val="675B5FBD"/>
    <w:rsid w:val="6788382C"/>
    <w:rsid w:val="6826391B"/>
    <w:rsid w:val="6867608D"/>
    <w:rsid w:val="68EF42C4"/>
    <w:rsid w:val="6A7FB000"/>
    <w:rsid w:val="6A956400"/>
    <w:rsid w:val="6ABF5399"/>
    <w:rsid w:val="6B6E072A"/>
    <w:rsid w:val="6BBB6541"/>
    <w:rsid w:val="6C67536A"/>
    <w:rsid w:val="6CFD72DC"/>
    <w:rsid w:val="6D4D31CC"/>
    <w:rsid w:val="6E504A7B"/>
    <w:rsid w:val="6EFE9375"/>
    <w:rsid w:val="6F5A0D30"/>
    <w:rsid w:val="6F5A677D"/>
    <w:rsid w:val="6F9F2C42"/>
    <w:rsid w:val="6FDB23B1"/>
    <w:rsid w:val="6FE6DE43"/>
    <w:rsid w:val="6FFF2707"/>
    <w:rsid w:val="700A63FA"/>
    <w:rsid w:val="71180D83"/>
    <w:rsid w:val="71F95C1E"/>
    <w:rsid w:val="72836946"/>
    <w:rsid w:val="728B5B6F"/>
    <w:rsid w:val="72C3149E"/>
    <w:rsid w:val="73661CF5"/>
    <w:rsid w:val="73AC6CAF"/>
    <w:rsid w:val="73DC4B44"/>
    <w:rsid w:val="743E4BED"/>
    <w:rsid w:val="744A0831"/>
    <w:rsid w:val="746DE58C"/>
    <w:rsid w:val="75DFB322"/>
    <w:rsid w:val="75FF1D72"/>
    <w:rsid w:val="76862FBE"/>
    <w:rsid w:val="76AE5741"/>
    <w:rsid w:val="77052688"/>
    <w:rsid w:val="774E327C"/>
    <w:rsid w:val="776EA226"/>
    <w:rsid w:val="779FFD24"/>
    <w:rsid w:val="77BE3158"/>
    <w:rsid w:val="77D116E6"/>
    <w:rsid w:val="77F6D61D"/>
    <w:rsid w:val="788619C9"/>
    <w:rsid w:val="78D4654C"/>
    <w:rsid w:val="78EAEFA1"/>
    <w:rsid w:val="797DEB38"/>
    <w:rsid w:val="79AE4707"/>
    <w:rsid w:val="7AFB0652"/>
    <w:rsid w:val="7B56DDA2"/>
    <w:rsid w:val="7B5C206A"/>
    <w:rsid w:val="7B5F60E6"/>
    <w:rsid w:val="7BDD098F"/>
    <w:rsid w:val="7BEBF7D2"/>
    <w:rsid w:val="7BF66A1A"/>
    <w:rsid w:val="7BF7DAD7"/>
    <w:rsid w:val="7CAF6D1A"/>
    <w:rsid w:val="7CB461A6"/>
    <w:rsid w:val="7CBFDCC7"/>
    <w:rsid w:val="7CCFA97A"/>
    <w:rsid w:val="7CDEF532"/>
    <w:rsid w:val="7CFF3EF3"/>
    <w:rsid w:val="7D7563CA"/>
    <w:rsid w:val="7DFE6EC0"/>
    <w:rsid w:val="7E3FE452"/>
    <w:rsid w:val="7EBCA161"/>
    <w:rsid w:val="7EF7C809"/>
    <w:rsid w:val="7EFB34CC"/>
    <w:rsid w:val="7EFCDBE3"/>
    <w:rsid w:val="7EFDE791"/>
    <w:rsid w:val="7F7583FE"/>
    <w:rsid w:val="7FBB89BF"/>
    <w:rsid w:val="7FBF3A79"/>
    <w:rsid w:val="7FEEDE92"/>
    <w:rsid w:val="7FEFABF9"/>
    <w:rsid w:val="7FF2B72A"/>
    <w:rsid w:val="7FF878E2"/>
    <w:rsid w:val="7FFB35A7"/>
    <w:rsid w:val="7FFD9F55"/>
    <w:rsid w:val="9D5E0256"/>
    <w:rsid w:val="9DFF8143"/>
    <w:rsid w:val="9EDFA34A"/>
    <w:rsid w:val="A4A9E009"/>
    <w:rsid w:val="AEDCFD40"/>
    <w:rsid w:val="B5C121B5"/>
    <w:rsid w:val="B5DE0672"/>
    <w:rsid w:val="B5EE9E49"/>
    <w:rsid w:val="B5F7B175"/>
    <w:rsid w:val="B97F7191"/>
    <w:rsid w:val="BBFF5877"/>
    <w:rsid w:val="BBFF66F1"/>
    <w:rsid w:val="BD7CAE0B"/>
    <w:rsid w:val="BDFBD4BA"/>
    <w:rsid w:val="BDFF872F"/>
    <w:rsid w:val="BEBB3247"/>
    <w:rsid w:val="BF6E9522"/>
    <w:rsid w:val="BFDF0CA2"/>
    <w:rsid w:val="BFF597B2"/>
    <w:rsid w:val="BFF7D093"/>
    <w:rsid w:val="BFFD2A76"/>
    <w:rsid w:val="BFFE1C57"/>
    <w:rsid w:val="CE6F6407"/>
    <w:rsid w:val="CFDEA72F"/>
    <w:rsid w:val="D6F795FC"/>
    <w:rsid w:val="D6FD671B"/>
    <w:rsid w:val="D7D7DDCC"/>
    <w:rsid w:val="D8DCEDE1"/>
    <w:rsid w:val="DAFBCEB0"/>
    <w:rsid w:val="DB726C3A"/>
    <w:rsid w:val="DBF76714"/>
    <w:rsid w:val="DDA208C1"/>
    <w:rsid w:val="DDEEB41F"/>
    <w:rsid w:val="DF6A0073"/>
    <w:rsid w:val="DF780174"/>
    <w:rsid w:val="DFCBC77F"/>
    <w:rsid w:val="DFD77326"/>
    <w:rsid w:val="DFDD30F9"/>
    <w:rsid w:val="DFF5A64B"/>
    <w:rsid w:val="DFFFB97E"/>
    <w:rsid w:val="E1AFD9A2"/>
    <w:rsid w:val="E3DFABFC"/>
    <w:rsid w:val="E7E2616F"/>
    <w:rsid w:val="E7FF481B"/>
    <w:rsid w:val="EABFCD06"/>
    <w:rsid w:val="EAFB0206"/>
    <w:rsid w:val="ED7CB6BF"/>
    <w:rsid w:val="EDEF26D7"/>
    <w:rsid w:val="EE369E02"/>
    <w:rsid w:val="EEBF9E77"/>
    <w:rsid w:val="EF779F32"/>
    <w:rsid w:val="EF9EF7A3"/>
    <w:rsid w:val="EFBBA1E8"/>
    <w:rsid w:val="EFDF6BD5"/>
    <w:rsid w:val="EFEFCEF3"/>
    <w:rsid w:val="EFFD85C2"/>
    <w:rsid w:val="EFFE7920"/>
    <w:rsid w:val="EFFF2025"/>
    <w:rsid w:val="EFFF494D"/>
    <w:rsid w:val="F277D181"/>
    <w:rsid w:val="F4C9127B"/>
    <w:rsid w:val="F67188B8"/>
    <w:rsid w:val="F6FC2EBA"/>
    <w:rsid w:val="F6FD84FB"/>
    <w:rsid w:val="F71C4126"/>
    <w:rsid w:val="F72F39FB"/>
    <w:rsid w:val="F7FF3781"/>
    <w:rsid w:val="F9631D36"/>
    <w:rsid w:val="F9AFB6F0"/>
    <w:rsid w:val="FA576F15"/>
    <w:rsid w:val="FADC04E4"/>
    <w:rsid w:val="FB6E0296"/>
    <w:rsid w:val="FBAD5CE8"/>
    <w:rsid w:val="FBBD53BA"/>
    <w:rsid w:val="FBDF2122"/>
    <w:rsid w:val="FBEE1844"/>
    <w:rsid w:val="FBEF2C87"/>
    <w:rsid w:val="FBF76626"/>
    <w:rsid w:val="FBFF379E"/>
    <w:rsid w:val="FCBF7CA7"/>
    <w:rsid w:val="FCDB6888"/>
    <w:rsid w:val="FDBFFB3F"/>
    <w:rsid w:val="FDEDFE4B"/>
    <w:rsid w:val="FDF51AF1"/>
    <w:rsid w:val="FDF531D4"/>
    <w:rsid w:val="FF5EF1C1"/>
    <w:rsid w:val="FFBE6292"/>
    <w:rsid w:val="FFDB89D3"/>
    <w:rsid w:val="FFF9D88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1"/>
    <w:link w:val="22"/>
    <w:qFormat/>
    <w:uiPriority w:val="0"/>
    <w:pPr>
      <w:keepNext/>
      <w:keepLines/>
      <w:widowControl/>
      <w:adjustRightInd w:val="0"/>
      <w:snapToGrid w:val="0"/>
      <w:spacing w:before="120" w:beforeLines="0" w:after="120" w:afterLines="0" w:line="460" w:lineRule="atLeast"/>
      <w:jc w:val="left"/>
      <w:outlineLvl w:val="2"/>
    </w:pPr>
    <w:rPr>
      <w:rFonts w:ascii="宋体" w:hAnsi="宋体"/>
      <w:b/>
      <w:sz w:val="24"/>
      <w:szCs w:val="20"/>
    </w:rPr>
  </w:style>
  <w:style w:type="paragraph" w:styleId="5">
    <w:name w:val="heading 4"/>
    <w:basedOn w:val="1"/>
    <w:next w:val="1"/>
    <w:qFormat/>
    <w:uiPriority w:val="0"/>
    <w:pPr>
      <w:keepNext/>
      <w:keepLines/>
      <w:spacing w:before="280" w:beforeLines="0" w:after="290" w:afterLines="0" w:line="376" w:lineRule="auto"/>
      <w:outlineLvl w:val="3"/>
    </w:pPr>
    <w:rPr>
      <w:rFonts w:ascii="Arial" w:hAnsi="Arial" w:eastAsia="黑体"/>
      <w:b/>
      <w:bCs/>
      <w:szCs w:val="28"/>
    </w:rPr>
  </w:style>
  <w:style w:type="character" w:default="1" w:styleId="18">
    <w:name w:val="Default Paragraph Font"/>
    <w:qFormat/>
    <w:uiPriority w:val="0"/>
  </w:style>
  <w:style w:type="table" w:default="1" w:styleId="17">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next w:val="1"/>
    <w:link w:val="26"/>
    <w:qFormat/>
    <w:uiPriority w:val="0"/>
    <w:pPr>
      <w:spacing w:after="120" w:afterLines="0"/>
    </w:pPr>
    <w:rPr>
      <w:sz w:val="21"/>
    </w:rPr>
  </w:style>
  <w:style w:type="paragraph" w:styleId="6">
    <w:name w:val="table of authorities"/>
    <w:basedOn w:val="1"/>
    <w:next w:val="1"/>
    <w:qFormat/>
    <w:uiPriority w:val="0"/>
    <w:pPr>
      <w:ind w:left="420" w:leftChars="200"/>
    </w:pPr>
    <w:rPr>
      <w:sz w:val="21"/>
      <w:szCs w:val="24"/>
    </w:rPr>
  </w:style>
  <w:style w:type="paragraph" w:styleId="7">
    <w:name w:val="Normal Indent"/>
    <w:basedOn w:val="1"/>
    <w:next w:val="1"/>
    <w:link w:val="23"/>
    <w:qFormat/>
    <w:uiPriority w:val="0"/>
    <w:pPr>
      <w:ind w:firstLine="420"/>
    </w:pPr>
    <w:rPr>
      <w:rFonts w:ascii="宋体"/>
      <w:szCs w:val="20"/>
    </w:rPr>
  </w:style>
  <w:style w:type="paragraph" w:styleId="8">
    <w:name w:val="Document Map"/>
    <w:basedOn w:val="1"/>
    <w:link w:val="24"/>
    <w:qFormat/>
    <w:uiPriority w:val="0"/>
    <w:pPr>
      <w:shd w:val="clear" w:color="auto" w:fill="000080"/>
    </w:pPr>
  </w:style>
  <w:style w:type="paragraph" w:styleId="9">
    <w:name w:val="annotation text"/>
    <w:basedOn w:val="1"/>
    <w:link w:val="25"/>
    <w:qFormat/>
    <w:uiPriority w:val="0"/>
    <w:pPr>
      <w:widowControl/>
      <w:jc w:val="left"/>
    </w:pPr>
    <w:rPr>
      <w:rFonts w:ascii="宋体" w:hAnsi="宋体" w:cs="宋体"/>
      <w:kern w:val="0"/>
      <w:sz w:val="24"/>
    </w:rPr>
  </w:style>
  <w:style w:type="paragraph" w:styleId="10">
    <w:name w:val="Body Text Indent"/>
    <w:basedOn w:val="1"/>
    <w:semiHidden/>
    <w:unhideWhenUsed/>
    <w:qFormat/>
    <w:uiPriority w:val="99"/>
    <w:pPr>
      <w:spacing w:after="120"/>
      <w:ind w:left="420" w:leftChars="200"/>
    </w:pPr>
  </w:style>
  <w:style w:type="paragraph" w:styleId="11">
    <w:name w:val="Body Text Indent 2"/>
    <w:basedOn w:val="1"/>
    <w:qFormat/>
    <w:uiPriority w:val="0"/>
    <w:pPr>
      <w:spacing w:after="120" w:afterLines="0" w:line="480" w:lineRule="auto"/>
      <w:ind w:left="420" w:leftChars="200"/>
    </w:pPr>
    <w:rPr>
      <w:sz w:val="21"/>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annotation subject"/>
    <w:basedOn w:val="9"/>
    <w:next w:val="9"/>
    <w:semiHidden/>
    <w:qFormat/>
    <w:uiPriority w:val="0"/>
    <w:pPr>
      <w:widowControl w:val="0"/>
    </w:pPr>
    <w:rPr>
      <w:rFonts w:ascii="Times New Roman" w:hAnsi="Times New Roman" w:cs="Times New Roman"/>
      <w:b/>
      <w:bCs/>
      <w:kern w:val="2"/>
      <w:sz w:val="28"/>
    </w:rPr>
  </w:style>
  <w:style w:type="paragraph" w:styleId="16">
    <w:name w:val="Body Text First Indent"/>
    <w:qFormat/>
    <w:uiPriority w:val="99"/>
    <w:pPr>
      <w:widowControl w:val="0"/>
      <w:spacing w:after="120"/>
      <w:ind w:firstLine="420" w:firstLineChars="100"/>
      <w:jc w:val="both"/>
    </w:pPr>
    <w:rPr>
      <w:rFonts w:ascii="Times New Roman" w:hAnsi="Times New Roman" w:eastAsia="宋体" w:cs="Times New Roman"/>
      <w:kern w:val="2"/>
      <w:sz w:val="21"/>
      <w:szCs w:val="24"/>
      <w:lang w:val="en-US" w:eastAsia="zh-CN" w:bidi="ar-SA"/>
    </w:rPr>
  </w:style>
  <w:style w:type="character" w:styleId="19">
    <w:name w:val="page number"/>
    <w:qFormat/>
    <w:uiPriority w:val="0"/>
  </w:style>
  <w:style w:type="character" w:styleId="20">
    <w:name w:val="Hyperlink"/>
    <w:qFormat/>
    <w:uiPriority w:val="0"/>
    <w:rPr>
      <w:color w:val="0000FF"/>
      <w:u w:val="single"/>
    </w:rPr>
  </w:style>
  <w:style w:type="character" w:styleId="21">
    <w:name w:val="annotation reference"/>
    <w:qFormat/>
    <w:uiPriority w:val="0"/>
    <w:rPr>
      <w:sz w:val="21"/>
      <w:szCs w:val="21"/>
    </w:rPr>
  </w:style>
  <w:style w:type="character" w:customStyle="1" w:styleId="22">
    <w:name w:val="标题 3 字符"/>
    <w:link w:val="4"/>
    <w:qFormat/>
    <w:uiPriority w:val="0"/>
    <w:rPr>
      <w:rFonts w:ascii="宋体" w:hAnsi="宋体" w:eastAsia="宋体"/>
      <w:b/>
      <w:kern w:val="2"/>
      <w:sz w:val="24"/>
      <w:lang w:val="en-US" w:eastAsia="zh-CN" w:bidi="ar-SA"/>
    </w:rPr>
  </w:style>
  <w:style w:type="character" w:customStyle="1" w:styleId="23">
    <w:name w:val="正文缩进 字符"/>
    <w:link w:val="7"/>
    <w:qFormat/>
    <w:uiPriority w:val="0"/>
    <w:rPr>
      <w:rFonts w:ascii="宋体" w:eastAsia="宋体"/>
      <w:kern w:val="2"/>
      <w:sz w:val="28"/>
      <w:lang w:val="en-US" w:eastAsia="zh-CN" w:bidi="ar-SA"/>
    </w:rPr>
  </w:style>
  <w:style w:type="character" w:customStyle="1" w:styleId="24">
    <w:name w:val="文档结构图 字符"/>
    <w:link w:val="8"/>
    <w:qFormat/>
    <w:uiPriority w:val="0"/>
    <w:rPr>
      <w:rFonts w:eastAsia="宋体"/>
      <w:kern w:val="2"/>
      <w:sz w:val="28"/>
      <w:szCs w:val="24"/>
      <w:lang w:val="en-US" w:eastAsia="zh-CN" w:bidi="ar-SA"/>
    </w:rPr>
  </w:style>
  <w:style w:type="character" w:customStyle="1" w:styleId="25">
    <w:name w:val="批注文字 字符"/>
    <w:link w:val="9"/>
    <w:qFormat/>
    <w:uiPriority w:val="0"/>
    <w:rPr>
      <w:rFonts w:ascii="宋体" w:hAnsi="宋体" w:eastAsia="宋体" w:cs="宋体"/>
      <w:sz w:val="24"/>
      <w:szCs w:val="24"/>
      <w:lang w:val="en-US" w:eastAsia="zh-CN" w:bidi="ar-SA"/>
    </w:rPr>
  </w:style>
  <w:style w:type="character" w:customStyle="1" w:styleId="26">
    <w:name w:val="正文文本 字符"/>
    <w:link w:val="2"/>
    <w:qFormat/>
    <w:uiPriority w:val="0"/>
    <w:rPr>
      <w:rFonts w:eastAsia="宋体"/>
      <w:kern w:val="2"/>
      <w:sz w:val="21"/>
      <w:szCs w:val="24"/>
      <w:lang w:val="en-US" w:eastAsia="zh-CN" w:bidi="ar-SA"/>
    </w:rPr>
  </w:style>
  <w:style w:type="character" w:customStyle="1" w:styleId="27">
    <w:name w:val="报告文本 Char"/>
    <w:link w:val="28"/>
    <w:qFormat/>
    <w:uiPriority w:val="0"/>
    <w:rPr>
      <w:kern w:val="24"/>
      <w:sz w:val="24"/>
      <w:szCs w:val="22"/>
    </w:rPr>
  </w:style>
  <w:style w:type="paragraph" w:customStyle="1" w:styleId="28">
    <w:name w:val="报告文本"/>
    <w:basedOn w:val="1"/>
    <w:link w:val="27"/>
    <w:qFormat/>
    <w:uiPriority w:val="0"/>
    <w:pPr>
      <w:spacing w:line="500" w:lineRule="exact"/>
      <w:ind w:firstLine="200" w:firstLineChars="200"/>
    </w:pPr>
    <w:rPr>
      <w:kern w:val="24"/>
      <w:sz w:val="24"/>
      <w:szCs w:val="22"/>
    </w:rPr>
  </w:style>
  <w:style w:type="character" w:customStyle="1" w:styleId="29">
    <w:name w:val="样式12 Char Char"/>
    <w:link w:val="30"/>
    <w:qFormat/>
    <w:uiPriority w:val="0"/>
    <w:rPr>
      <w:rFonts w:ascii="Swis721 BT" w:hAnsi="Swis721 BT" w:eastAsia="黑体"/>
      <w:color w:val="000000"/>
      <w:kern w:val="2"/>
      <w:sz w:val="28"/>
      <w:szCs w:val="28"/>
      <w:lang w:val="en-US" w:eastAsia="zh-CN" w:bidi="ar-SA"/>
    </w:rPr>
  </w:style>
  <w:style w:type="paragraph" w:customStyle="1" w:styleId="30">
    <w:name w:val="样式12"/>
    <w:basedOn w:val="1"/>
    <w:link w:val="29"/>
    <w:qFormat/>
    <w:uiPriority w:val="0"/>
    <w:pPr>
      <w:spacing w:before="93" w:beforeLines="30" w:after="93" w:afterLines="30" w:line="355" w:lineRule="auto"/>
      <w:outlineLvl w:val="2"/>
    </w:pPr>
    <w:rPr>
      <w:rFonts w:ascii="Swis721 BT" w:hAnsi="Swis721 BT" w:eastAsia="黑体"/>
      <w:color w:val="000000"/>
      <w:szCs w:val="28"/>
    </w:rPr>
  </w:style>
  <w:style w:type="character" w:customStyle="1" w:styleId="31">
    <w:name w:val="样式25 Char Char"/>
    <w:link w:val="32"/>
    <w:qFormat/>
    <w:uiPriority w:val="0"/>
    <w:rPr>
      <w:kern w:val="2"/>
      <w:sz w:val="26"/>
      <w:szCs w:val="22"/>
    </w:rPr>
  </w:style>
  <w:style w:type="paragraph" w:customStyle="1" w:styleId="32">
    <w:name w:val="样式25"/>
    <w:basedOn w:val="1"/>
    <w:link w:val="31"/>
    <w:qFormat/>
    <w:uiPriority w:val="0"/>
    <w:pPr>
      <w:spacing w:line="480" w:lineRule="exact"/>
      <w:ind w:firstLine="520" w:firstLineChars="200"/>
    </w:pPr>
    <w:rPr>
      <w:sz w:val="26"/>
      <w:szCs w:val="22"/>
    </w:rPr>
  </w:style>
  <w:style w:type="character" w:customStyle="1" w:styleId="33">
    <w:name w:val="都福路文本"/>
    <w:qFormat/>
    <w:uiPriority w:val="0"/>
    <w:rPr>
      <w:rFonts w:ascii="宋体" w:hAnsi="宋体" w:eastAsia="宋体"/>
      <w:color w:val="0000FF"/>
      <w:kern w:val="0"/>
      <w:sz w:val="24"/>
      <w:lang w:val="en-US" w:eastAsia="zh-CN"/>
    </w:rPr>
  </w:style>
  <w:style w:type="character" w:customStyle="1" w:styleId="34">
    <w:name w:val=" Char Char25"/>
    <w:qFormat/>
    <w:uiPriority w:val="0"/>
    <w:rPr>
      <w:rFonts w:eastAsia="宋体"/>
      <w:kern w:val="2"/>
      <w:sz w:val="21"/>
      <w:szCs w:val="24"/>
      <w:lang w:val="en-US" w:eastAsia="zh-CN" w:bidi="ar-SA"/>
    </w:rPr>
  </w:style>
  <w:style w:type="character" w:customStyle="1" w:styleId="35">
    <w:name w:val="font91"/>
    <w:qFormat/>
    <w:uiPriority w:val="0"/>
    <w:rPr>
      <w:rFonts w:hint="eastAsia" w:ascii="宋体" w:hAnsi="宋体" w:eastAsia="宋体" w:cs="宋体"/>
      <w:color w:val="000000"/>
      <w:sz w:val="20"/>
      <w:szCs w:val="20"/>
      <w:u w:val="none"/>
    </w:rPr>
  </w:style>
  <w:style w:type="character" w:customStyle="1" w:styleId="36">
    <w:name w:val="正文2"/>
    <w:qFormat/>
    <w:uiPriority w:val="0"/>
    <w:rPr>
      <w:rFonts w:eastAsia="宋体"/>
      <w:color w:val="0000FF"/>
    </w:rPr>
  </w:style>
  <w:style w:type="character" w:customStyle="1" w:styleId="37">
    <w:name w:val="font101"/>
    <w:qFormat/>
    <w:uiPriority w:val="0"/>
    <w:rPr>
      <w:rFonts w:hint="eastAsia" w:ascii="宋体" w:hAnsi="宋体" w:eastAsia="宋体" w:cs="宋体"/>
      <w:color w:val="000000"/>
      <w:sz w:val="20"/>
      <w:szCs w:val="20"/>
      <w:u w:val="none"/>
    </w:rPr>
  </w:style>
  <w:style w:type="character" w:customStyle="1" w:styleId="38">
    <w:name w:val="font51"/>
    <w:basedOn w:val="18"/>
    <w:qFormat/>
    <w:uiPriority w:val="0"/>
    <w:rPr>
      <w:rFonts w:hint="default" w:ascii="Times New Roman" w:hAnsi="Times New Roman" w:cs="Times New Roman"/>
      <w:b/>
      <w:bCs/>
      <w:color w:val="000000"/>
      <w:sz w:val="18"/>
      <w:szCs w:val="18"/>
      <w:u w:val="none"/>
    </w:rPr>
  </w:style>
  <w:style w:type="character" w:customStyle="1" w:styleId="39">
    <w:name w:val="文本条款 Char"/>
    <w:qFormat/>
    <w:uiPriority w:val="0"/>
    <w:rPr>
      <w:kern w:val="2"/>
      <w:sz w:val="21"/>
    </w:rPr>
  </w:style>
  <w:style w:type="character" w:customStyle="1" w:styleId="40">
    <w:name w:val="font81"/>
    <w:qFormat/>
    <w:uiPriority w:val="0"/>
    <w:rPr>
      <w:rFonts w:hint="default" w:ascii="Times New Roman" w:hAnsi="Times New Roman" w:cs="Times New Roman"/>
      <w:color w:val="000000"/>
      <w:sz w:val="20"/>
      <w:szCs w:val="20"/>
      <w:u w:val="none"/>
    </w:rPr>
  </w:style>
  <w:style w:type="character" w:customStyle="1" w:styleId="41">
    <w:name w:val="font71"/>
    <w:basedOn w:val="18"/>
    <w:qFormat/>
    <w:uiPriority w:val="0"/>
    <w:rPr>
      <w:rFonts w:hint="default" w:ascii="Times New Roman" w:hAnsi="Times New Roman" w:cs="Times New Roman"/>
      <w:color w:val="000000"/>
      <w:sz w:val="20"/>
      <w:szCs w:val="20"/>
      <w:u w:val="none"/>
    </w:rPr>
  </w:style>
  <w:style w:type="character" w:customStyle="1" w:styleId="42">
    <w:name w:val="样式4 Char Char"/>
    <w:link w:val="43"/>
    <w:qFormat/>
    <w:uiPriority w:val="0"/>
    <w:rPr>
      <w:rFonts w:ascii="宋体" w:hAnsi="宋体" w:eastAsia="仿宋_GB2312"/>
      <w:kern w:val="2"/>
      <w:sz w:val="28"/>
      <w:szCs w:val="28"/>
      <w:lang w:val="en-US" w:eastAsia="zh-CN" w:bidi="ar-SA"/>
    </w:rPr>
  </w:style>
  <w:style w:type="paragraph" w:customStyle="1" w:styleId="43">
    <w:name w:val="样式4"/>
    <w:basedOn w:val="1"/>
    <w:link w:val="42"/>
    <w:qFormat/>
    <w:uiPriority w:val="0"/>
    <w:pPr>
      <w:adjustRightInd w:val="0"/>
      <w:snapToGrid w:val="0"/>
      <w:spacing w:line="355" w:lineRule="auto"/>
      <w:ind w:firstLine="560" w:firstLineChars="200"/>
    </w:pPr>
    <w:rPr>
      <w:rFonts w:ascii="宋体" w:hAnsi="宋体" w:eastAsia="仿宋_GB2312"/>
      <w:szCs w:val="28"/>
    </w:rPr>
  </w:style>
  <w:style w:type="character" w:customStyle="1" w:styleId="44">
    <w:name w:val="样式1 Char Char"/>
    <w:link w:val="45"/>
    <w:qFormat/>
    <w:uiPriority w:val="0"/>
    <w:rPr>
      <w:rFonts w:eastAsia="宋体"/>
      <w:color w:val="000000"/>
      <w:sz w:val="21"/>
      <w:szCs w:val="21"/>
      <w:lang w:val="en-US" w:eastAsia="zh-CN" w:bidi="ar-SA"/>
    </w:rPr>
  </w:style>
  <w:style w:type="paragraph" w:customStyle="1" w:styleId="45">
    <w:name w:val="样式1"/>
    <w:basedOn w:val="1"/>
    <w:link w:val="44"/>
    <w:qFormat/>
    <w:uiPriority w:val="0"/>
    <w:pPr>
      <w:autoSpaceDE w:val="0"/>
      <w:autoSpaceDN w:val="0"/>
      <w:adjustRightInd w:val="0"/>
      <w:spacing w:before="40" w:beforeLines="0" w:after="40" w:afterLines="0"/>
      <w:jc w:val="center"/>
    </w:pPr>
    <w:rPr>
      <w:color w:val="000000"/>
      <w:kern w:val="0"/>
      <w:sz w:val="21"/>
      <w:szCs w:val="21"/>
    </w:rPr>
  </w:style>
  <w:style w:type="character" w:customStyle="1" w:styleId="46">
    <w:name w:val="font31"/>
    <w:qFormat/>
    <w:uiPriority w:val="0"/>
    <w:rPr>
      <w:rFonts w:hint="default" w:ascii="Times New Roman" w:hAnsi="Times New Roman" w:cs="Times New Roman"/>
      <w:color w:val="000000"/>
      <w:sz w:val="16"/>
      <w:szCs w:val="16"/>
      <w:u w:val="none"/>
    </w:rPr>
  </w:style>
  <w:style w:type="character" w:customStyle="1" w:styleId="47">
    <w:name w:val="样式 样式 样式 正文首行缩进 + 首行缩进:  1 字符 + 宋体 + 自动设置 Char Char"/>
    <w:link w:val="48"/>
    <w:qFormat/>
    <w:uiPriority w:val="0"/>
    <w:rPr>
      <w:rFonts w:ascii="宋体" w:hAnsi="宋体" w:eastAsia="宋体"/>
      <w:kern w:val="2"/>
      <w:sz w:val="24"/>
      <w:lang w:val="en-US" w:eastAsia="zh-CN" w:bidi="ar-SA"/>
    </w:rPr>
  </w:style>
  <w:style w:type="paragraph" w:customStyle="1" w:styleId="48">
    <w:name w:val="样式 样式 样式 正文首行缩进 + 首行缩进:  1 字符 + 宋体 + 自动设置"/>
    <w:basedOn w:val="1"/>
    <w:link w:val="47"/>
    <w:qFormat/>
    <w:uiPriority w:val="0"/>
    <w:pPr>
      <w:spacing w:line="460" w:lineRule="exact"/>
      <w:ind w:firstLine="480" w:firstLineChars="200"/>
      <w:jc w:val="left"/>
    </w:pPr>
    <w:rPr>
      <w:rFonts w:ascii="宋体" w:hAnsi="宋体"/>
      <w:sz w:val="24"/>
      <w:szCs w:val="20"/>
    </w:rPr>
  </w:style>
  <w:style w:type="character" w:customStyle="1" w:styleId="49">
    <w:name w:val="font11"/>
    <w:basedOn w:val="18"/>
    <w:qFormat/>
    <w:uiPriority w:val="0"/>
    <w:rPr>
      <w:rFonts w:hint="default" w:ascii="楷体_GB2312" w:eastAsia="楷体_GB2312" w:cs="楷体_GB2312"/>
      <w:b/>
      <w:bCs/>
      <w:color w:val="000000"/>
      <w:sz w:val="18"/>
      <w:szCs w:val="18"/>
      <w:u w:val="none"/>
    </w:rPr>
  </w:style>
  <w:style w:type="character" w:customStyle="1" w:styleId="50">
    <w:name w:val="font61"/>
    <w:qFormat/>
    <w:uiPriority w:val="0"/>
    <w:rPr>
      <w:rFonts w:ascii="黑体" w:hAnsi="宋体" w:eastAsia="黑体" w:cs="黑体"/>
      <w:color w:val="000000"/>
      <w:sz w:val="28"/>
      <w:szCs w:val="28"/>
      <w:u w:val="none"/>
    </w:rPr>
  </w:style>
  <w:style w:type="character" w:customStyle="1" w:styleId="51">
    <w:name w:val="A正文 Char Char"/>
    <w:link w:val="52"/>
    <w:qFormat/>
    <w:uiPriority w:val="0"/>
    <w:rPr>
      <w:rFonts w:eastAsia="宋体"/>
      <w:kern w:val="2"/>
      <w:sz w:val="24"/>
      <w:szCs w:val="24"/>
      <w:lang w:val="en-US" w:eastAsia="zh-CN" w:bidi="ar-SA"/>
    </w:rPr>
  </w:style>
  <w:style w:type="paragraph" w:customStyle="1" w:styleId="52">
    <w:name w:val="A正文"/>
    <w:basedOn w:val="1"/>
    <w:link w:val="51"/>
    <w:qFormat/>
    <w:uiPriority w:val="0"/>
    <w:pPr>
      <w:widowControl/>
      <w:spacing w:line="360" w:lineRule="auto"/>
      <w:ind w:firstLine="200" w:firstLineChars="200"/>
      <w:jc w:val="left"/>
    </w:pPr>
    <w:rPr>
      <w:sz w:val="24"/>
    </w:rPr>
  </w:style>
  <w:style w:type="paragraph" w:customStyle="1" w:styleId="53">
    <w:name w:val=" Char2 Char Char Char Char Char Char Char Char"/>
    <w:basedOn w:val="1"/>
    <w:qFormat/>
    <w:uiPriority w:val="0"/>
    <w:rPr>
      <w:sz w:val="21"/>
      <w:szCs w:val="20"/>
    </w:rPr>
  </w:style>
  <w:style w:type="paragraph" w:customStyle="1" w:styleId="54">
    <w:name w:val="xc----正文"/>
    <w:basedOn w:val="55"/>
    <w:qFormat/>
    <w:uiPriority w:val="0"/>
    <w:rPr>
      <w:rFonts w:ascii="仿宋_GB2312"/>
      <w:spacing w:val="-4"/>
    </w:rPr>
  </w:style>
  <w:style w:type="paragraph" w:customStyle="1" w:styleId="55">
    <w:name w:val="样式 样式 公正文样式 + 三号 + 红色 首行缩进:  0 字符"/>
    <w:basedOn w:val="1"/>
    <w:qFormat/>
    <w:uiPriority w:val="0"/>
    <w:pPr>
      <w:spacing w:line="460" w:lineRule="exact"/>
      <w:ind w:firstLine="200" w:firstLineChars="200"/>
    </w:pPr>
    <w:rPr>
      <w:rFonts w:ascii="Times New Roman" w:hAnsi="Times New Roman" w:eastAsia="仿宋_GB2312" w:cs="宋体"/>
      <w:kern w:val="0"/>
      <w:sz w:val="24"/>
      <w:szCs w:val="20"/>
    </w:rPr>
  </w:style>
  <w:style w:type="paragraph" w:customStyle="1" w:styleId="56">
    <w:name w:val="p0"/>
    <w:basedOn w:val="1"/>
    <w:qFormat/>
    <w:uiPriority w:val="0"/>
    <w:pPr>
      <w:widowControl/>
    </w:pPr>
    <w:rPr>
      <w:kern w:val="0"/>
      <w:sz w:val="21"/>
      <w:szCs w:val="20"/>
    </w:rPr>
  </w:style>
  <w:style w:type="paragraph" w:customStyle="1" w:styleId="57">
    <w:name w:val=" Char Char Char Char"/>
    <w:basedOn w:val="1"/>
    <w:qFormat/>
    <w:uiPriority w:val="0"/>
    <w:pPr>
      <w:widowControl/>
      <w:spacing w:after="160" w:afterLines="0" w:line="240" w:lineRule="exact"/>
      <w:jc w:val="left"/>
    </w:pPr>
    <w:rPr>
      <w:rFonts w:ascii="宋体" w:hAnsi="宋体"/>
      <w:b/>
      <w:kern w:val="0"/>
      <w:sz w:val="44"/>
      <w:szCs w:val="44"/>
      <w:lang w:eastAsia="en-US"/>
    </w:rPr>
  </w:style>
  <w:style w:type="paragraph" w:customStyle="1" w:styleId="58">
    <w:name w:val="文章"/>
    <w:qFormat/>
    <w:uiPriority w:val="0"/>
    <w:pPr>
      <w:spacing w:line="360" w:lineRule="auto"/>
      <w:ind w:firstLine="200" w:firstLineChars="200"/>
      <w:jc w:val="both"/>
    </w:pPr>
    <w:rPr>
      <w:rFonts w:ascii="Century Gothic" w:hAnsi="Century Gothic" w:eastAsia="宋体" w:cs="Times New Roman"/>
      <w:kern w:val="2"/>
      <w:sz w:val="26"/>
      <w:szCs w:val="26"/>
      <w:lang w:val="en-US" w:eastAsia="zh-CN" w:bidi="ar-SA"/>
    </w:rPr>
  </w:style>
  <w:style w:type="paragraph" w:customStyle="1" w:styleId="59">
    <w:name w:val="Char Char1 Char Char Char Char Char Char Char"/>
    <w:basedOn w:val="1"/>
    <w:qFormat/>
    <w:uiPriority w:val="0"/>
    <w:pPr>
      <w:pageBreakBefore/>
      <w:spacing w:line="480" w:lineRule="auto"/>
      <w:ind w:firstLine="200" w:firstLineChars="200"/>
    </w:pPr>
    <w:rPr>
      <w:rFonts w:ascii="宋体" w:hAnsi="宋体" w:eastAsia="仿宋_GB2312" w:cs="宋体"/>
      <w:szCs w:val="28"/>
    </w:rPr>
  </w:style>
  <w:style w:type="paragraph" w:customStyle="1" w:styleId="60">
    <w:name w:val="报告书副标题"/>
    <w:basedOn w:val="1"/>
    <w:qFormat/>
    <w:uiPriority w:val="0"/>
    <w:pPr>
      <w:widowControl/>
      <w:tabs>
        <w:tab w:val="left" w:pos="-24"/>
      </w:tabs>
      <w:spacing w:line="460" w:lineRule="exact"/>
      <w:ind w:firstLine="480" w:firstLineChars="200"/>
      <w:jc w:val="center"/>
      <w:textAlignment w:val="baseline"/>
      <w:outlineLvl w:val="4"/>
    </w:pPr>
    <w:rPr>
      <w:rFonts w:ascii="宋体" w:hAnsi="宋体"/>
      <w:b/>
      <w:bCs/>
      <w:color w:val="000000"/>
      <w:w w:val="83"/>
      <w:kern w:val="0"/>
      <w:sz w:val="48"/>
    </w:rPr>
  </w:style>
  <w:style w:type="paragraph" w:customStyle="1" w:styleId="61">
    <w:name w:val="样式 xc----正文 + 首行缩进:  2 字符"/>
    <w:basedOn w:val="54"/>
    <w:qFormat/>
    <w:uiPriority w:val="0"/>
    <w:pPr>
      <w:ind w:firstLine="464"/>
    </w:pPr>
    <w:rPr>
      <w:spacing w:val="0"/>
    </w:rPr>
  </w:style>
  <w:style w:type="paragraph" w:customStyle="1" w:styleId="62">
    <w:name w:val="课题号"/>
    <w:basedOn w:val="1"/>
    <w:qFormat/>
    <w:uiPriority w:val="0"/>
    <w:pPr>
      <w:widowControl/>
      <w:tabs>
        <w:tab w:val="left" w:pos="-24"/>
      </w:tabs>
      <w:spacing w:line="460" w:lineRule="exact"/>
      <w:ind w:firstLine="436" w:firstLineChars="200"/>
      <w:jc w:val="left"/>
      <w:textAlignment w:val="baseline"/>
    </w:pPr>
    <w:rPr>
      <w:rFonts w:ascii="宋体" w:hAnsi="宋体"/>
      <w:b/>
      <w:bCs/>
      <w:color w:val="000000"/>
      <w:kern w:val="0"/>
      <w:sz w:val="30"/>
    </w:rPr>
  </w:style>
  <w:style w:type="paragraph" w:customStyle="1" w:styleId="63">
    <w:name w:val="xc----括号"/>
    <w:basedOn w:val="54"/>
    <w:qFormat/>
    <w:uiPriority w:val="0"/>
    <w:pPr>
      <w:outlineLvl w:val="5"/>
    </w:pPr>
    <w:rPr>
      <w:rFonts w:ascii="楷体_GB2312" w:eastAsia="楷体_GB2312" w:cs="Times New Roman"/>
    </w:rPr>
  </w:style>
  <w:style w:type="paragraph" w:customStyle="1" w:styleId="64">
    <w:name w:val="默认段落字体 Para Char Char Char Char Char Char Char Char Char Char"/>
    <w:basedOn w:val="1"/>
    <w:qFormat/>
    <w:uiPriority w:val="0"/>
    <w:rPr>
      <w:sz w:val="21"/>
      <w:szCs w:val="20"/>
    </w:rPr>
  </w:style>
  <w:style w:type="paragraph" w:customStyle="1" w:styleId="65">
    <w:name w:val="gg_body"/>
    <w:basedOn w:val="1"/>
    <w:qFormat/>
    <w:uiPriority w:val="0"/>
    <w:pPr>
      <w:widowControl/>
      <w:spacing w:line="460" w:lineRule="exact"/>
      <w:ind w:firstLine="200"/>
      <w:jc w:val="left"/>
    </w:pPr>
    <w:rPr>
      <w:rFonts w:ascii="宋体" w:hAnsi="宋体"/>
      <w:kern w:val="0"/>
      <w:sz w:val="24"/>
      <w:szCs w:val="20"/>
    </w:rPr>
  </w:style>
  <w:style w:type="paragraph" w:customStyle="1" w:styleId="66">
    <w:name w:val="Char Char Char Char Char Char Char Char Char1 Char"/>
    <w:next w:val="67"/>
    <w:qFormat/>
    <w:uiPriority w:val="0"/>
    <w:pPr>
      <w:snapToGrid w:val="0"/>
      <w:spacing w:line="300" w:lineRule="auto"/>
      <w:ind w:firstLine="200" w:firstLineChars="200"/>
      <w:jc w:val="both"/>
    </w:pPr>
    <w:rPr>
      <w:rFonts w:ascii="Times New Roman" w:hAnsi="Times New Roman" w:eastAsia="宋体" w:cs="Times New Roman"/>
      <w:color w:val="000000"/>
      <w:kern w:val="2"/>
      <w:sz w:val="24"/>
      <w:szCs w:val="24"/>
      <w:lang w:val="en-US" w:eastAsia="zh-CN" w:bidi="ar-SA"/>
    </w:rPr>
  </w:style>
  <w:style w:type="paragraph" w:customStyle="1" w:styleId="67">
    <w:name w:val="!正文(alt+c)"/>
    <w:qFormat/>
    <w:uiPriority w:val="0"/>
    <w:pPr>
      <w:spacing w:line="420" w:lineRule="exact"/>
      <w:ind w:firstLine="480" w:firstLineChars="200"/>
    </w:pPr>
    <w:rPr>
      <w:rFonts w:ascii="Times New Roman" w:hAnsi="Times New Roman" w:eastAsia="宋体" w:cs="Times New Roman"/>
      <w:sz w:val="24"/>
      <w:szCs w:val="24"/>
      <w:lang w:val="en-US" w:eastAsia="zh-CN" w:bidi="ar-SA"/>
    </w:rPr>
  </w:style>
  <w:style w:type="paragraph" w:customStyle="1" w:styleId="68">
    <w:name w:val="xl44"/>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hint="eastAsia" w:ascii="Arial Unicode MS" w:hAnsi="Arial Unicode MS" w:eastAsia="Arial Unicode MS"/>
      <w:color w:val="000000"/>
      <w:kern w:val="0"/>
      <w:sz w:val="21"/>
      <w:szCs w:val="21"/>
    </w:rPr>
  </w:style>
  <w:style w:type="paragraph" w:customStyle="1" w:styleId="69">
    <w:name w:val="Char Char Char1 Char Char Char Char Char Char Char Char Char Char Char Char Char"/>
    <w:basedOn w:val="5"/>
    <w:qFormat/>
    <w:uiPriority w:val="0"/>
    <w:pPr>
      <w:widowControl/>
      <w:spacing w:before="120" w:beforeLines="0" w:after="120" w:afterLines="0" w:line="360" w:lineRule="auto"/>
      <w:jc w:val="left"/>
    </w:pPr>
    <w:rPr>
      <w:rFonts w:ascii="Times New Roman" w:hAnsi="Times New Roman" w:eastAsia="仿宋_GB2312" w:cs="宋体"/>
      <w:b w:val="0"/>
      <w:kern w:val="0"/>
    </w:rPr>
  </w:style>
  <w:style w:type="paragraph" w:customStyle="1" w:styleId="70">
    <w:name w:val=" Char Char Char Char Char Char Char Char Char Char"/>
    <w:basedOn w:val="1"/>
    <w:qFormat/>
    <w:uiPriority w:val="0"/>
    <w:rPr>
      <w:sz w:val="21"/>
    </w:rPr>
  </w:style>
  <w:style w:type="paragraph" w:customStyle="1" w:styleId="71">
    <w:name w:val="!表格(alt+t)"/>
    <w:qFormat/>
    <w:uiPriority w:val="0"/>
    <w:pPr>
      <w:adjustRightInd w:val="0"/>
      <w:spacing w:line="240" w:lineRule="atLeast"/>
      <w:jc w:val="center"/>
      <w:textAlignment w:val="center"/>
    </w:pPr>
    <w:rPr>
      <w:rFonts w:ascii="Times New Roman" w:hAnsi="Times New Roman" w:eastAsia="宋体" w:cs="Times New Roman"/>
      <w:bCs/>
      <w:sz w:val="21"/>
      <w:szCs w:val="21"/>
      <w:lang w:val="en-US" w:eastAsia="zh-CN" w:bidi="ar-SA"/>
    </w:rPr>
  </w:style>
  <w:style w:type="paragraph" w:customStyle="1" w:styleId="72">
    <w:name w:val=" Char Char Char Char Char Char Char"/>
    <w:basedOn w:val="1"/>
    <w:qFormat/>
    <w:uiPriority w:val="0"/>
    <w:pPr>
      <w:widowControl/>
      <w:spacing w:after="160" w:afterLines="0" w:line="240" w:lineRule="exact"/>
      <w:jc w:val="left"/>
    </w:pPr>
    <w:rPr>
      <w:sz w:val="21"/>
      <w:szCs w:val="20"/>
    </w:rPr>
  </w:style>
  <w:style w:type="paragraph" w:customStyle="1" w:styleId="73">
    <w:name w:val="样式 !正文(alt+c) + 首行缩进:  2 字符"/>
    <w:basedOn w:val="1"/>
    <w:qFormat/>
    <w:uiPriority w:val="0"/>
    <w:pPr>
      <w:widowControl/>
      <w:spacing w:line="440" w:lineRule="exact"/>
      <w:ind w:firstLine="200" w:firstLineChars="200"/>
      <w:jc w:val="left"/>
    </w:pPr>
    <w:rPr>
      <w:color w:val="000000"/>
      <w:kern w:val="0"/>
      <w:sz w:val="24"/>
      <w:szCs w:val="20"/>
    </w:rPr>
  </w:style>
  <w:style w:type="paragraph" w:customStyle="1" w:styleId="74">
    <w:name w:val=" Char"/>
    <w:basedOn w:val="1"/>
    <w:qFormat/>
    <w:uiPriority w:val="0"/>
    <w:rPr>
      <w:sz w:val="21"/>
    </w:rPr>
  </w:style>
  <w:style w:type="paragraph" w:customStyle="1" w:styleId="75">
    <w:name w:val="表格内文字"/>
    <w:basedOn w:val="1"/>
    <w:qFormat/>
    <w:uiPriority w:val="0"/>
    <w:pPr>
      <w:spacing w:line="240" w:lineRule="auto"/>
      <w:ind w:firstLine="0" w:firstLineChars="0"/>
      <w:jc w:val="center"/>
    </w:pPr>
    <w:rPr>
      <w:rFonts w:cs="宋体"/>
      <w:sz w:val="18"/>
    </w:rPr>
  </w:style>
  <w:style w:type="paragraph" w:customStyle="1" w:styleId="7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77">
    <w:name w:val="font41"/>
    <w:basedOn w:val="18"/>
    <w:qFormat/>
    <w:uiPriority w:val="0"/>
    <w:rPr>
      <w:rFonts w:hint="eastAsia" w:ascii="仿宋" w:hAnsi="仿宋" w:eastAsia="仿宋" w:cs="仿宋"/>
      <w:color w:val="000000"/>
      <w:sz w:val="18"/>
      <w:szCs w:val="18"/>
      <w:u w:val="none"/>
    </w:rPr>
  </w:style>
  <w:style w:type="paragraph" w:customStyle="1" w:styleId="78">
    <w:name w:val="表格文字"/>
    <w:qFormat/>
    <w:uiPriority w:val="0"/>
    <w:pPr>
      <w:widowControl/>
      <w:tabs>
        <w:tab w:val="left" w:pos="-24"/>
      </w:tabs>
      <w:spacing w:line="0" w:lineRule="atLeast"/>
      <w:ind w:firstLine="0" w:firstLineChars="0"/>
      <w:jc w:val="center"/>
      <w:textAlignment w:val="baseline"/>
    </w:pPr>
    <w:rPr>
      <w:rFonts w:ascii="Times New Roman" w:hAnsi="Times New Roman" w:eastAsia="仿宋_GB2312" w:cs="Times New Roman"/>
      <w:color w:val="auto"/>
      <w:sz w:val="21"/>
      <w:szCs w:val="20"/>
      <w:u w:val="none" w:color="000000"/>
      <w:lang w:val="en-US" w:eastAsia="zh-CN" w:bidi="ar-SA"/>
    </w:rPr>
  </w:style>
  <w:style w:type="paragraph" w:customStyle="1" w:styleId="79">
    <w:name w:val="正文缩2"/>
    <w:qFormat/>
    <w:uiPriority w:val="0"/>
    <w:pPr>
      <w:spacing w:line="360" w:lineRule="auto"/>
      <w:ind w:firstLine="240" w:firstLineChars="100"/>
    </w:pPr>
    <w:rPr>
      <w:rFonts w:ascii="Times New Roman" w:hAnsi="Times New Roman" w:eastAsia="宋体" w:cs="Times New Roman"/>
      <w:color w:val="FF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tif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1032</Words>
  <Characters>5886</Characters>
  <Lines>49</Lines>
  <Paragraphs>13</Paragraphs>
  <TotalTime>24</TotalTime>
  <ScaleCrop>false</ScaleCrop>
  <LinksUpToDate>false</LinksUpToDate>
  <CharactersWithSpaces>6905</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2021-07-20T03:38:00Z</dcterms:created>
  <dc:creator>张艺馨</dc:creator>
  <cp:lastModifiedBy>uos</cp:lastModifiedBy>
  <cp:lastPrinted>2022-11-08T19:20:00Z</cp:lastPrinted>
  <dcterms:modified xsi:type="dcterms:W3CDTF">2024-03-12T10:24:29Z</dcterms:modified>
  <dc:title>水保审查意见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B69D179690974895BF91370F7CF3E62E</vt:lpwstr>
  </property>
</Properties>
</file>