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AB" w:rsidRDefault="00A92DAB" w:rsidP="00A92DAB">
      <w:pPr>
        <w:spacing w:line="594" w:lineRule="exact"/>
        <w:rPr>
          <w:rFonts w:eastAsia="方正黑体_GBK"/>
          <w:sz w:val="32"/>
          <w:szCs w:val="32"/>
        </w:rPr>
      </w:pPr>
      <w:r>
        <w:rPr>
          <w:rFonts w:eastAsia="方正黑体_GBK" w:hint="eastAsia"/>
          <w:sz w:val="32"/>
          <w:szCs w:val="32"/>
        </w:rPr>
        <w:t>附件</w:t>
      </w:r>
    </w:p>
    <w:tbl>
      <w:tblPr>
        <w:tblpPr w:leftFromText="181" w:rightFromText="181" w:vertAnchor="text" w:horzAnchor="margin" w:tblpY="16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521"/>
        <w:gridCol w:w="2489"/>
        <w:gridCol w:w="1667"/>
        <w:gridCol w:w="2150"/>
      </w:tblGrid>
      <w:tr w:rsidR="00A92DAB" w:rsidTr="00A92DAB">
        <w:tc>
          <w:tcPr>
            <w:tcW w:w="695"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atLeast"/>
              <w:jc w:val="center"/>
              <w:rPr>
                <w:rFonts w:ascii="Times New Roman" w:eastAsia="方正黑体_GBK" w:hAnsi="Times New Roman"/>
                <w:sz w:val="24"/>
                <w:szCs w:val="32"/>
              </w:rPr>
            </w:pPr>
            <w:r>
              <w:rPr>
                <w:rFonts w:eastAsia="方正黑体_GBK" w:hint="eastAsia"/>
                <w:sz w:val="24"/>
                <w:szCs w:val="32"/>
              </w:rPr>
              <w:t>序号</w:t>
            </w:r>
          </w:p>
        </w:tc>
        <w:tc>
          <w:tcPr>
            <w:tcW w:w="1521"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atLeast"/>
              <w:jc w:val="center"/>
              <w:rPr>
                <w:rFonts w:ascii="Times New Roman" w:eastAsia="方正黑体_GBK" w:hAnsi="Times New Roman"/>
                <w:sz w:val="24"/>
                <w:szCs w:val="32"/>
              </w:rPr>
            </w:pPr>
            <w:r>
              <w:rPr>
                <w:rFonts w:eastAsia="方正黑体_GBK" w:hint="eastAsia"/>
                <w:sz w:val="24"/>
                <w:szCs w:val="32"/>
              </w:rPr>
              <w:t>单位名称</w:t>
            </w:r>
          </w:p>
        </w:tc>
        <w:tc>
          <w:tcPr>
            <w:tcW w:w="2489"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atLeast"/>
              <w:jc w:val="center"/>
              <w:rPr>
                <w:rFonts w:ascii="Times New Roman" w:eastAsia="方正黑体_GBK" w:hAnsi="Times New Roman"/>
                <w:sz w:val="24"/>
                <w:szCs w:val="32"/>
              </w:rPr>
            </w:pPr>
            <w:r>
              <w:rPr>
                <w:rFonts w:eastAsia="方正黑体_GBK" w:hint="eastAsia"/>
                <w:sz w:val="24"/>
                <w:szCs w:val="32"/>
              </w:rPr>
              <w:t>存在问题</w:t>
            </w:r>
          </w:p>
        </w:tc>
        <w:tc>
          <w:tcPr>
            <w:tcW w:w="1667"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atLeast"/>
              <w:jc w:val="center"/>
              <w:rPr>
                <w:rFonts w:ascii="Times New Roman" w:eastAsia="方正黑体_GBK" w:hAnsi="Times New Roman"/>
                <w:sz w:val="24"/>
                <w:szCs w:val="32"/>
              </w:rPr>
            </w:pPr>
            <w:r>
              <w:rPr>
                <w:rFonts w:eastAsia="方正黑体_GBK" w:hint="eastAsia"/>
                <w:sz w:val="24"/>
                <w:szCs w:val="32"/>
              </w:rPr>
              <w:t>处理意见</w:t>
            </w:r>
          </w:p>
        </w:tc>
        <w:tc>
          <w:tcPr>
            <w:tcW w:w="2150"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atLeast"/>
              <w:jc w:val="center"/>
              <w:rPr>
                <w:rFonts w:ascii="Times New Roman" w:eastAsia="方正黑体_GBK" w:hAnsi="Times New Roman"/>
                <w:sz w:val="24"/>
                <w:szCs w:val="32"/>
              </w:rPr>
            </w:pPr>
            <w:r>
              <w:rPr>
                <w:rFonts w:eastAsia="方正黑体_GBK" w:hint="eastAsia"/>
                <w:sz w:val="24"/>
                <w:szCs w:val="32"/>
              </w:rPr>
              <w:t>处理依据</w:t>
            </w:r>
          </w:p>
        </w:tc>
      </w:tr>
      <w:tr w:rsidR="00A92DAB" w:rsidTr="00A92DAB">
        <w:tc>
          <w:tcPr>
            <w:tcW w:w="695"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exact"/>
              <w:jc w:val="center"/>
              <w:rPr>
                <w:rFonts w:ascii="Times New Roman" w:eastAsia="方正仿宋_GBK" w:hAnsi="Times New Roman"/>
                <w:sz w:val="24"/>
                <w:szCs w:val="32"/>
              </w:rPr>
            </w:pPr>
            <w:r>
              <w:rPr>
                <w:rFonts w:eastAsia="方正仿宋_GBK"/>
                <w:sz w:val="24"/>
                <w:szCs w:val="32"/>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60" w:lineRule="exact"/>
              <w:jc w:val="center"/>
              <w:rPr>
                <w:rFonts w:ascii="Times New Roman" w:eastAsia="方正仿宋_GBK" w:hAnsi="Times New Roman"/>
                <w:sz w:val="24"/>
                <w:szCs w:val="32"/>
              </w:rPr>
            </w:pPr>
            <w:r>
              <w:rPr>
                <w:rFonts w:eastAsia="方正仿宋_GBK" w:hint="eastAsia"/>
                <w:sz w:val="24"/>
                <w:szCs w:val="32"/>
              </w:rPr>
              <w:t>重庆六方建设工程质量检测有限公司</w:t>
            </w:r>
          </w:p>
        </w:tc>
        <w:tc>
          <w:tcPr>
            <w:tcW w:w="2489"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exact"/>
              <w:rPr>
                <w:rFonts w:ascii="Times New Roman" w:eastAsia="方正仿宋_GBK" w:hAnsi="Times New Roman"/>
                <w:sz w:val="24"/>
                <w:szCs w:val="32"/>
              </w:rPr>
            </w:pPr>
            <w:r>
              <w:rPr>
                <w:rFonts w:eastAsia="方正仿宋_GBK"/>
                <w:sz w:val="24"/>
                <w:szCs w:val="32"/>
              </w:rPr>
              <w:t>1.</w:t>
            </w:r>
            <w:r>
              <w:rPr>
                <w:rFonts w:eastAsia="方正仿宋_GBK" w:hint="eastAsia"/>
                <w:sz w:val="24"/>
                <w:szCs w:val="32"/>
              </w:rPr>
              <w:t>该机构检测人员具有水利工程质量检测员职业资格或者具备水利水电工程及相关专业中级以上技术职称少于规定人数；</w:t>
            </w:r>
            <w:r>
              <w:rPr>
                <w:rFonts w:eastAsia="方正仿宋_GBK"/>
                <w:sz w:val="24"/>
                <w:szCs w:val="32"/>
              </w:rPr>
              <w:t>2.</w:t>
            </w:r>
            <w:r>
              <w:rPr>
                <w:rFonts w:eastAsia="方正仿宋_GBK" w:hint="eastAsia"/>
                <w:sz w:val="24"/>
                <w:szCs w:val="32"/>
              </w:rPr>
              <w:t>检测机构仪器设备未按照有关标准和规定进行鉴定和校准；</w:t>
            </w:r>
            <w:r>
              <w:rPr>
                <w:rFonts w:eastAsia="方正仿宋_GBK"/>
                <w:sz w:val="24"/>
                <w:szCs w:val="32"/>
              </w:rPr>
              <w:t>3.</w:t>
            </w:r>
            <w:r>
              <w:rPr>
                <w:rFonts w:eastAsia="方正仿宋_GBK" w:hint="eastAsia"/>
                <w:sz w:val="24"/>
                <w:szCs w:val="32"/>
              </w:rPr>
              <w:t>关键检测人员离岗，不具备岩土工程类、混凝土工程类、金属结构类和量测类乙级资质检测能力；</w:t>
            </w:r>
            <w:r>
              <w:rPr>
                <w:rFonts w:eastAsia="方正仿宋_GBK"/>
                <w:sz w:val="24"/>
                <w:szCs w:val="32"/>
              </w:rPr>
              <w:t>4.</w:t>
            </w:r>
            <w:r>
              <w:rPr>
                <w:rFonts w:eastAsia="方正仿宋_GBK" w:hint="eastAsia"/>
                <w:sz w:val="24"/>
                <w:szCs w:val="32"/>
              </w:rPr>
              <w:t>人员变更未及时在全国水利建设市场监管服务平台填报；</w:t>
            </w:r>
            <w:r>
              <w:rPr>
                <w:rFonts w:eastAsia="方正仿宋_GBK"/>
                <w:sz w:val="24"/>
                <w:szCs w:val="32"/>
              </w:rPr>
              <w:t>5.</w:t>
            </w:r>
            <w:r>
              <w:rPr>
                <w:rFonts w:eastAsia="方正仿宋_GBK" w:hint="eastAsia"/>
                <w:sz w:val="24"/>
                <w:szCs w:val="32"/>
              </w:rPr>
              <w:t>该机构资质认定证书将于</w:t>
            </w:r>
            <w:r>
              <w:rPr>
                <w:rFonts w:eastAsia="方正仿宋_GBK"/>
                <w:sz w:val="24"/>
                <w:szCs w:val="32"/>
              </w:rPr>
              <w:t>2021</w:t>
            </w:r>
            <w:r>
              <w:rPr>
                <w:rFonts w:eastAsia="方正仿宋_GBK" w:hint="eastAsia"/>
                <w:sz w:val="24"/>
                <w:szCs w:val="32"/>
              </w:rPr>
              <w:t>年</w:t>
            </w:r>
            <w:r>
              <w:rPr>
                <w:rFonts w:eastAsia="方正仿宋_GBK"/>
                <w:sz w:val="24"/>
                <w:szCs w:val="32"/>
              </w:rPr>
              <w:t>8</w:t>
            </w:r>
            <w:r>
              <w:rPr>
                <w:rFonts w:eastAsia="方正仿宋_GBK" w:hint="eastAsia"/>
                <w:sz w:val="24"/>
                <w:szCs w:val="32"/>
              </w:rPr>
              <w:t>月</w:t>
            </w:r>
            <w:r>
              <w:rPr>
                <w:rFonts w:eastAsia="方正仿宋_GBK"/>
                <w:sz w:val="24"/>
                <w:szCs w:val="32"/>
              </w:rPr>
              <w:t>18</w:t>
            </w:r>
            <w:r>
              <w:rPr>
                <w:rFonts w:eastAsia="方正仿宋_GBK" w:hint="eastAsia"/>
                <w:sz w:val="24"/>
                <w:szCs w:val="32"/>
              </w:rPr>
              <w:t>日到期，未在规定时限内进行申请资质延续。</w:t>
            </w:r>
          </w:p>
        </w:tc>
        <w:tc>
          <w:tcPr>
            <w:tcW w:w="1667"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exact"/>
              <w:rPr>
                <w:rFonts w:ascii="Times New Roman" w:eastAsia="方正仿宋_GBK" w:hAnsi="Times New Roman"/>
                <w:sz w:val="24"/>
                <w:szCs w:val="32"/>
              </w:rPr>
            </w:pPr>
            <w:r>
              <w:rPr>
                <w:rFonts w:eastAsia="方正仿宋_GBK" w:hint="eastAsia"/>
                <w:sz w:val="24"/>
                <w:szCs w:val="32"/>
              </w:rPr>
              <w:t>限期整改，期限</w:t>
            </w:r>
            <w:r>
              <w:rPr>
                <w:rFonts w:eastAsia="方正仿宋_GBK"/>
                <w:sz w:val="24"/>
                <w:szCs w:val="32"/>
              </w:rPr>
              <w:t>1</w:t>
            </w:r>
            <w:r>
              <w:rPr>
                <w:rFonts w:eastAsia="方正仿宋_GBK" w:hint="eastAsia"/>
                <w:sz w:val="24"/>
                <w:szCs w:val="32"/>
              </w:rPr>
              <w:t>个月，并在此期间不再承接水利工程检测业务，不再出具水利工程质量检测报告；整改不到位或逾期未整改的，记入全国水利建设市场监管服务平台不良行为记录。</w:t>
            </w:r>
          </w:p>
        </w:tc>
        <w:tc>
          <w:tcPr>
            <w:tcW w:w="2150"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exact"/>
              <w:rPr>
                <w:rFonts w:ascii="Times New Roman" w:eastAsia="方正仿宋_GBK" w:hAnsi="Times New Roman"/>
                <w:sz w:val="24"/>
                <w:szCs w:val="32"/>
              </w:rPr>
            </w:pPr>
            <w:r>
              <w:rPr>
                <w:rFonts w:eastAsia="方正仿宋_GBK" w:hint="eastAsia"/>
                <w:sz w:val="24"/>
                <w:szCs w:val="32"/>
              </w:rPr>
              <w:t>《检验检测机构资质认定能力评价</w:t>
            </w:r>
            <w:r>
              <w:rPr>
                <w:rFonts w:eastAsia="方正仿宋_GBK"/>
                <w:sz w:val="24"/>
                <w:szCs w:val="32"/>
              </w:rPr>
              <w:t xml:space="preserve"> </w:t>
            </w:r>
            <w:r>
              <w:rPr>
                <w:rFonts w:eastAsia="方正仿宋_GBK" w:hint="eastAsia"/>
                <w:sz w:val="24"/>
                <w:szCs w:val="32"/>
              </w:rPr>
              <w:t>检验检测机构通用要求》（</w:t>
            </w:r>
            <w:r>
              <w:rPr>
                <w:rFonts w:eastAsia="方正仿宋_GBK"/>
                <w:sz w:val="24"/>
                <w:szCs w:val="32"/>
              </w:rPr>
              <w:t>RB/T214-2017</w:t>
            </w:r>
            <w:r>
              <w:rPr>
                <w:rFonts w:eastAsia="方正仿宋_GBK" w:hint="eastAsia"/>
                <w:sz w:val="24"/>
                <w:szCs w:val="32"/>
              </w:rPr>
              <w:t>）第</w:t>
            </w:r>
            <w:r>
              <w:rPr>
                <w:rFonts w:eastAsia="方正仿宋_GBK"/>
                <w:sz w:val="24"/>
                <w:szCs w:val="32"/>
              </w:rPr>
              <w:t>4.4.3</w:t>
            </w:r>
            <w:r>
              <w:rPr>
                <w:rFonts w:eastAsia="方正仿宋_GBK" w:hint="eastAsia"/>
                <w:sz w:val="24"/>
                <w:szCs w:val="32"/>
              </w:rPr>
              <w:t>条、《检验检测机构资质认定管理办法》第</w:t>
            </w:r>
            <w:r>
              <w:rPr>
                <w:rFonts w:eastAsia="方正仿宋_GBK"/>
                <w:sz w:val="24"/>
                <w:szCs w:val="32"/>
              </w:rPr>
              <w:t>11</w:t>
            </w:r>
            <w:r>
              <w:rPr>
                <w:rFonts w:eastAsia="方正仿宋_GBK" w:hint="eastAsia"/>
                <w:sz w:val="24"/>
                <w:szCs w:val="32"/>
              </w:rPr>
              <w:t>条、《水利工程质量检测管理规定》（水利部令第</w:t>
            </w:r>
            <w:r>
              <w:rPr>
                <w:rFonts w:eastAsia="方正仿宋_GBK"/>
                <w:sz w:val="24"/>
                <w:szCs w:val="32"/>
              </w:rPr>
              <w:t>36</w:t>
            </w:r>
            <w:r>
              <w:rPr>
                <w:rFonts w:eastAsia="方正仿宋_GBK" w:hint="eastAsia"/>
                <w:sz w:val="24"/>
                <w:szCs w:val="32"/>
              </w:rPr>
              <w:t>号）附件水利工程质量检测单位资质等级标准、《水利建设市场主体信用信息管理办法》第</w:t>
            </w:r>
            <w:r>
              <w:rPr>
                <w:rFonts w:eastAsia="方正仿宋_GBK"/>
                <w:sz w:val="24"/>
                <w:szCs w:val="32"/>
              </w:rPr>
              <w:t>12</w:t>
            </w:r>
            <w:r>
              <w:rPr>
                <w:rFonts w:eastAsia="方正仿宋_GBK" w:hint="eastAsia"/>
                <w:sz w:val="24"/>
                <w:szCs w:val="32"/>
              </w:rPr>
              <w:t>条</w:t>
            </w:r>
          </w:p>
        </w:tc>
      </w:tr>
      <w:tr w:rsidR="00A92DAB" w:rsidTr="00A92DAB">
        <w:trPr>
          <w:trHeight w:val="5228"/>
        </w:trPr>
        <w:tc>
          <w:tcPr>
            <w:tcW w:w="695"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atLeast"/>
              <w:jc w:val="center"/>
              <w:rPr>
                <w:rFonts w:ascii="Times New Roman" w:eastAsia="方正仿宋_GBK" w:hAnsi="Times New Roman"/>
                <w:sz w:val="24"/>
                <w:szCs w:val="32"/>
              </w:rPr>
            </w:pPr>
            <w:r>
              <w:rPr>
                <w:rFonts w:eastAsia="方正仿宋_GBK"/>
                <w:sz w:val="24"/>
                <w:szCs w:val="32"/>
              </w:rPr>
              <w:t>2</w:t>
            </w:r>
          </w:p>
        </w:tc>
        <w:tc>
          <w:tcPr>
            <w:tcW w:w="1521"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60" w:lineRule="exact"/>
              <w:jc w:val="center"/>
              <w:rPr>
                <w:rFonts w:ascii="Times New Roman" w:eastAsia="方正仿宋_GBK" w:hAnsi="Times New Roman"/>
                <w:sz w:val="24"/>
                <w:szCs w:val="32"/>
              </w:rPr>
            </w:pPr>
            <w:r>
              <w:rPr>
                <w:rFonts w:eastAsia="方正仿宋_GBK" w:hint="eastAsia"/>
                <w:sz w:val="24"/>
                <w:szCs w:val="32"/>
              </w:rPr>
              <w:t>重庆科融建筑工程质量检测有限公司</w:t>
            </w:r>
          </w:p>
        </w:tc>
        <w:tc>
          <w:tcPr>
            <w:tcW w:w="2489"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pStyle w:val="a4"/>
              <w:spacing w:after="0" w:line="240" w:lineRule="exact"/>
              <w:ind w:firstLineChars="0" w:firstLine="0"/>
              <w:rPr>
                <w:rFonts w:ascii="Times New Roman" w:eastAsia="方正仿宋_GBK" w:hAnsi="Times New Roman"/>
                <w:sz w:val="24"/>
                <w:szCs w:val="32"/>
              </w:rPr>
            </w:pPr>
            <w:r>
              <w:rPr>
                <w:rFonts w:ascii="Times New Roman" w:eastAsia="方正仿宋_GBK" w:hAnsi="Times New Roman"/>
                <w:sz w:val="24"/>
                <w:szCs w:val="32"/>
              </w:rPr>
              <w:t>1.</w:t>
            </w:r>
            <w:r>
              <w:rPr>
                <w:rFonts w:ascii="Times New Roman" w:eastAsia="方正仿宋_GBK" w:hAnsi="Times New Roman" w:hint="eastAsia"/>
                <w:sz w:val="24"/>
                <w:szCs w:val="32"/>
              </w:rPr>
              <w:t>该机构抽查时没有技术负责人，且该机构检测人员具有水利工程质量检测员职业资格或者具备水利水电工程及相关专业中级以上技术职称少于规定人数；</w:t>
            </w:r>
            <w:r>
              <w:rPr>
                <w:rFonts w:ascii="Times New Roman" w:eastAsia="方正仿宋_GBK" w:hAnsi="Times New Roman"/>
                <w:sz w:val="24"/>
                <w:szCs w:val="32"/>
              </w:rPr>
              <w:t>2.</w:t>
            </w:r>
            <w:r>
              <w:rPr>
                <w:rFonts w:ascii="Times New Roman" w:eastAsia="方正仿宋_GBK" w:hAnsi="Times New Roman" w:hint="eastAsia"/>
                <w:sz w:val="24"/>
                <w:szCs w:val="32"/>
              </w:rPr>
              <w:t>该机构部分仪器设备未按照有关标准和规定要求进行检定和校准；</w:t>
            </w:r>
            <w:r>
              <w:rPr>
                <w:rFonts w:ascii="Times New Roman" w:eastAsia="方正仿宋_GBK" w:hAnsi="Times New Roman"/>
                <w:sz w:val="24"/>
                <w:szCs w:val="32"/>
              </w:rPr>
              <w:t>3.</w:t>
            </w:r>
            <w:r>
              <w:rPr>
                <w:rFonts w:ascii="Times New Roman" w:eastAsia="方正仿宋_GBK" w:hAnsi="Times New Roman" w:hint="eastAsia"/>
                <w:sz w:val="24"/>
                <w:szCs w:val="32"/>
              </w:rPr>
              <w:t>人员变更、不良行为记录未及时在全国水利建设市场监管服务平台填报；</w:t>
            </w:r>
            <w:r>
              <w:rPr>
                <w:rFonts w:ascii="Times New Roman" w:eastAsia="方正仿宋_GBK" w:hAnsi="Times New Roman"/>
                <w:sz w:val="24"/>
                <w:szCs w:val="32"/>
              </w:rPr>
              <w:t>4.</w:t>
            </w:r>
            <w:r>
              <w:rPr>
                <w:rFonts w:ascii="Times New Roman" w:eastAsia="方正仿宋_GBK" w:hAnsi="Times New Roman" w:hint="eastAsia"/>
                <w:sz w:val="24"/>
                <w:szCs w:val="32"/>
              </w:rPr>
              <w:t>关键检测人员离岗，不具备岩土工程类、混凝土工程类和量测类乙级资质检测能力。</w:t>
            </w:r>
          </w:p>
        </w:tc>
        <w:tc>
          <w:tcPr>
            <w:tcW w:w="1667"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spacing w:line="240" w:lineRule="exact"/>
              <w:rPr>
                <w:rFonts w:ascii="Times New Roman" w:eastAsia="方正仿宋_GBK" w:hAnsi="Times New Roman"/>
                <w:sz w:val="24"/>
                <w:szCs w:val="32"/>
              </w:rPr>
            </w:pPr>
            <w:r>
              <w:rPr>
                <w:rFonts w:eastAsia="方正仿宋_GBK" w:hint="eastAsia"/>
                <w:sz w:val="24"/>
                <w:szCs w:val="32"/>
              </w:rPr>
              <w:t>限期整改，期限</w:t>
            </w:r>
            <w:r>
              <w:rPr>
                <w:rFonts w:eastAsia="方正仿宋_GBK"/>
                <w:sz w:val="24"/>
                <w:szCs w:val="32"/>
              </w:rPr>
              <w:t>1</w:t>
            </w:r>
            <w:r>
              <w:rPr>
                <w:rFonts w:eastAsia="方正仿宋_GBK" w:hint="eastAsia"/>
                <w:sz w:val="24"/>
                <w:szCs w:val="32"/>
              </w:rPr>
              <w:t>个月，并在此期间不再承接水利工程检测业务，不再出具水利工程质量检测报告；整改不到位或逾期未整改的，记入全国水利建设市场监管服务平台不良行为记录。</w:t>
            </w:r>
          </w:p>
        </w:tc>
        <w:tc>
          <w:tcPr>
            <w:tcW w:w="2150" w:type="dxa"/>
            <w:tcBorders>
              <w:top w:val="single" w:sz="4" w:space="0" w:color="auto"/>
              <w:left w:val="single" w:sz="4" w:space="0" w:color="auto"/>
              <w:bottom w:val="single" w:sz="4" w:space="0" w:color="auto"/>
              <w:right w:val="single" w:sz="4" w:space="0" w:color="auto"/>
            </w:tcBorders>
            <w:vAlign w:val="center"/>
            <w:hideMark/>
          </w:tcPr>
          <w:p w:rsidR="00A92DAB" w:rsidRDefault="00A92DAB" w:rsidP="00A92DAB">
            <w:pPr>
              <w:pStyle w:val="a4"/>
              <w:spacing w:after="0" w:line="240" w:lineRule="exact"/>
              <w:ind w:firstLineChars="0" w:firstLine="0"/>
              <w:rPr>
                <w:rFonts w:ascii="Times New Roman" w:eastAsia="方正仿宋_GBK" w:hAnsi="Times New Roman"/>
                <w:sz w:val="24"/>
                <w:szCs w:val="32"/>
              </w:rPr>
            </w:pPr>
            <w:r>
              <w:rPr>
                <w:rFonts w:ascii="Times New Roman" w:eastAsia="方正仿宋_GBK" w:hAnsi="Times New Roman" w:hint="eastAsia"/>
                <w:sz w:val="24"/>
                <w:szCs w:val="32"/>
              </w:rPr>
              <w:t>《检验检测机构资质认定能力评价</w:t>
            </w:r>
            <w:r>
              <w:rPr>
                <w:rFonts w:ascii="Times New Roman" w:eastAsia="方正仿宋_GBK" w:hAnsi="Times New Roman"/>
                <w:sz w:val="24"/>
                <w:szCs w:val="32"/>
              </w:rPr>
              <w:t xml:space="preserve"> </w:t>
            </w:r>
            <w:r>
              <w:rPr>
                <w:rFonts w:ascii="Times New Roman" w:eastAsia="方正仿宋_GBK" w:hAnsi="Times New Roman" w:hint="eastAsia"/>
                <w:sz w:val="24"/>
                <w:szCs w:val="32"/>
              </w:rPr>
              <w:t>检验检测机构通用要求》（</w:t>
            </w:r>
            <w:r>
              <w:rPr>
                <w:rFonts w:ascii="Times New Roman" w:eastAsia="方正仿宋_GBK" w:hAnsi="Times New Roman"/>
                <w:sz w:val="24"/>
                <w:szCs w:val="32"/>
              </w:rPr>
              <w:t>RB/T214-2017</w:t>
            </w:r>
            <w:r>
              <w:rPr>
                <w:rFonts w:ascii="Times New Roman" w:eastAsia="方正仿宋_GBK" w:hAnsi="Times New Roman" w:hint="eastAsia"/>
                <w:sz w:val="24"/>
                <w:szCs w:val="32"/>
              </w:rPr>
              <w:t>）第</w:t>
            </w:r>
            <w:r>
              <w:rPr>
                <w:rFonts w:ascii="Times New Roman" w:eastAsia="方正仿宋_GBK" w:hAnsi="Times New Roman"/>
                <w:sz w:val="24"/>
                <w:szCs w:val="32"/>
              </w:rPr>
              <w:t>4.4.3</w:t>
            </w:r>
            <w:r>
              <w:rPr>
                <w:rFonts w:ascii="Times New Roman" w:eastAsia="方正仿宋_GBK" w:hAnsi="Times New Roman" w:hint="eastAsia"/>
                <w:sz w:val="24"/>
                <w:szCs w:val="32"/>
              </w:rPr>
              <w:t>条、《水利工程质量检测管理规定》（水利部令第</w:t>
            </w:r>
            <w:r>
              <w:rPr>
                <w:rFonts w:ascii="Times New Roman" w:eastAsia="方正仿宋_GBK" w:hAnsi="Times New Roman"/>
                <w:sz w:val="24"/>
                <w:szCs w:val="32"/>
              </w:rPr>
              <w:t>36</w:t>
            </w:r>
            <w:r>
              <w:rPr>
                <w:rFonts w:ascii="Times New Roman" w:eastAsia="方正仿宋_GBK" w:hAnsi="Times New Roman" w:hint="eastAsia"/>
                <w:sz w:val="24"/>
                <w:szCs w:val="32"/>
              </w:rPr>
              <w:t>号）附件水利工程质量检测单位资质等级标准、《水利建设市场主体信用信息管理办法》第</w:t>
            </w:r>
            <w:r>
              <w:rPr>
                <w:rFonts w:ascii="Times New Roman" w:eastAsia="方正仿宋_GBK" w:hAnsi="Times New Roman"/>
                <w:sz w:val="24"/>
                <w:szCs w:val="32"/>
              </w:rPr>
              <w:t>12</w:t>
            </w:r>
            <w:r>
              <w:rPr>
                <w:rFonts w:ascii="Times New Roman" w:eastAsia="方正仿宋_GBK" w:hAnsi="Times New Roman" w:hint="eastAsia"/>
                <w:sz w:val="24"/>
                <w:szCs w:val="32"/>
              </w:rPr>
              <w:t>条</w:t>
            </w:r>
          </w:p>
        </w:tc>
      </w:tr>
    </w:tbl>
    <w:p w:rsidR="00A92DAB" w:rsidRDefault="00A92DAB" w:rsidP="00A92DAB">
      <w:pPr>
        <w:spacing w:line="594" w:lineRule="exact"/>
        <w:jc w:val="center"/>
        <w:rPr>
          <w:rFonts w:eastAsia="方正小标宋_GBK"/>
          <w:sz w:val="44"/>
          <w:szCs w:val="44"/>
        </w:rPr>
      </w:pPr>
      <w:r>
        <w:rPr>
          <w:rFonts w:eastAsia="方正小标宋_GBK"/>
          <w:sz w:val="44"/>
          <w:szCs w:val="44"/>
        </w:rPr>
        <w:t>2021</w:t>
      </w:r>
      <w:r>
        <w:rPr>
          <w:rFonts w:eastAsia="方正小标宋_GBK" w:hint="eastAsia"/>
          <w:sz w:val="44"/>
          <w:szCs w:val="44"/>
        </w:rPr>
        <w:t>年度水利工程质量检测单位</w:t>
      </w:r>
    </w:p>
    <w:p w:rsidR="00E24A05" w:rsidRPr="00A92DAB" w:rsidRDefault="00A92DAB" w:rsidP="00A92DAB">
      <w:pPr>
        <w:jc w:val="center"/>
        <w:rPr>
          <w:rFonts w:eastAsia="方正小标宋_GBK"/>
          <w:sz w:val="44"/>
          <w:szCs w:val="44"/>
        </w:rPr>
      </w:pPr>
      <w:r>
        <w:rPr>
          <w:rFonts w:eastAsia="方正小标宋_GBK" w:hint="eastAsia"/>
          <w:sz w:val="44"/>
          <w:szCs w:val="44"/>
        </w:rPr>
        <w:t>“双随机</w:t>
      </w:r>
      <w:r w:rsidR="003356DD">
        <w:rPr>
          <w:rFonts w:eastAsia="方正小标宋_GBK" w:hint="eastAsia"/>
          <w:sz w:val="44"/>
          <w:szCs w:val="44"/>
        </w:rPr>
        <w:t>、</w:t>
      </w:r>
      <w:bookmarkStart w:id="0" w:name="_GoBack"/>
      <w:bookmarkEnd w:id="0"/>
      <w:r>
        <w:rPr>
          <w:rFonts w:eastAsia="方正小标宋_GBK" w:hint="eastAsia"/>
          <w:sz w:val="44"/>
          <w:szCs w:val="44"/>
        </w:rPr>
        <w:t>一公开”</w:t>
      </w:r>
      <w:r w:rsidRPr="00A92DAB">
        <w:rPr>
          <w:rFonts w:hint="eastAsia"/>
          <w:color w:val="000000"/>
        </w:rPr>
        <w:t xml:space="preserve"> </w:t>
      </w:r>
      <w:r w:rsidRPr="00A92DAB">
        <w:rPr>
          <w:rFonts w:eastAsia="方正小标宋_GBK" w:hint="eastAsia"/>
          <w:sz w:val="44"/>
          <w:szCs w:val="44"/>
        </w:rPr>
        <w:t>检查结果公开表</w:t>
      </w:r>
    </w:p>
    <w:sectPr w:rsidR="00E24A05" w:rsidRPr="00A92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63"/>
    <w:rsid w:val="003356DD"/>
    <w:rsid w:val="00A81263"/>
    <w:rsid w:val="00A92DAB"/>
    <w:rsid w:val="00E2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A92DAB"/>
    <w:pPr>
      <w:spacing w:after="120"/>
    </w:pPr>
  </w:style>
  <w:style w:type="character" w:customStyle="1" w:styleId="Char">
    <w:name w:val="正文文本 Char"/>
    <w:basedOn w:val="a0"/>
    <w:link w:val="a3"/>
    <w:uiPriority w:val="99"/>
    <w:semiHidden/>
    <w:rsid w:val="00A92DAB"/>
  </w:style>
  <w:style w:type="paragraph" w:styleId="a4">
    <w:name w:val="Body Text First Indent"/>
    <w:basedOn w:val="a3"/>
    <w:link w:val="Char0"/>
    <w:unhideWhenUsed/>
    <w:rsid w:val="00A92DAB"/>
    <w:pPr>
      <w:spacing w:after="160"/>
      <w:ind w:firstLineChars="250" w:firstLine="250"/>
    </w:pPr>
    <w:rPr>
      <w:rFonts w:ascii="Calibri" w:eastAsia="宋体" w:hAnsi="Calibri" w:cs="Times New Roman"/>
      <w:szCs w:val="20"/>
    </w:rPr>
  </w:style>
  <w:style w:type="character" w:customStyle="1" w:styleId="Char0">
    <w:name w:val="正文首行缩进 Char"/>
    <w:basedOn w:val="Char"/>
    <w:link w:val="a4"/>
    <w:rsid w:val="00A92DAB"/>
    <w:rPr>
      <w:rFonts w:ascii="Calibri" w:eastAsia="宋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A92DAB"/>
    <w:pPr>
      <w:spacing w:after="120"/>
    </w:pPr>
  </w:style>
  <w:style w:type="character" w:customStyle="1" w:styleId="Char">
    <w:name w:val="正文文本 Char"/>
    <w:basedOn w:val="a0"/>
    <w:link w:val="a3"/>
    <w:uiPriority w:val="99"/>
    <w:semiHidden/>
    <w:rsid w:val="00A92DAB"/>
  </w:style>
  <w:style w:type="paragraph" w:styleId="a4">
    <w:name w:val="Body Text First Indent"/>
    <w:basedOn w:val="a3"/>
    <w:link w:val="Char0"/>
    <w:unhideWhenUsed/>
    <w:rsid w:val="00A92DAB"/>
    <w:pPr>
      <w:spacing w:after="160"/>
      <w:ind w:firstLineChars="250" w:firstLine="250"/>
    </w:pPr>
    <w:rPr>
      <w:rFonts w:ascii="Calibri" w:eastAsia="宋体" w:hAnsi="Calibri" w:cs="Times New Roman"/>
      <w:szCs w:val="20"/>
    </w:rPr>
  </w:style>
  <w:style w:type="character" w:customStyle="1" w:styleId="Char0">
    <w:name w:val="正文首行缩进 Char"/>
    <w:basedOn w:val="Char"/>
    <w:link w:val="a4"/>
    <w:rsid w:val="00A92DAB"/>
    <w:rPr>
      <w:rFonts w:ascii="Calibri" w:eastAsia="宋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6530">
      <w:bodyDiv w:val="1"/>
      <w:marLeft w:val="0"/>
      <w:marRight w:val="0"/>
      <w:marTop w:val="0"/>
      <w:marBottom w:val="0"/>
      <w:divBdr>
        <w:top w:val="none" w:sz="0" w:space="0" w:color="auto"/>
        <w:left w:val="none" w:sz="0" w:space="0" w:color="auto"/>
        <w:bottom w:val="none" w:sz="0" w:space="0" w:color="auto"/>
        <w:right w:val="none" w:sz="0" w:space="0" w:color="auto"/>
      </w:divBdr>
    </w:div>
    <w:div w:id="17597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Company>Microsoft</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王雄</dc:creator>
  <cp:keywords/>
  <dc:description/>
  <cp:lastModifiedBy>王雄</cp:lastModifiedBy>
  <cp:revision>3</cp:revision>
  <dcterms:created xsi:type="dcterms:W3CDTF">2021-08-02T02:29:00Z</dcterms:created>
  <dcterms:modified xsi:type="dcterms:W3CDTF">2023-07-21T06:38:00Z</dcterms:modified>
</cp:coreProperties>
</file>