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黑体" w:cs="Times New Roman"/>
          <w:snapToGrid w:val="0"/>
          <w:kern w:val="0"/>
          <w:sz w:val="44"/>
          <w:szCs w:val="44"/>
        </w:rPr>
      </w:pPr>
      <w:bookmarkStart w:id="3" w:name="_GoBack"/>
      <w:bookmarkEnd w:id="3"/>
    </w:p>
    <w:p>
      <w:pPr>
        <w:pStyle w:val="2"/>
      </w:pPr>
    </w:p>
    <w:p>
      <w:pPr>
        <w:widowControl/>
        <w:jc w:val="center"/>
        <w:rPr>
          <w:rFonts w:eastAsia="黑体" w:cs="Times New Roman"/>
          <w:snapToGrid w:val="0"/>
          <w:kern w:val="0"/>
          <w:sz w:val="44"/>
          <w:szCs w:val="44"/>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w:t>
      </w:r>
      <w:r>
        <w:rPr>
          <w:rFonts w:hint="default" w:ascii="Times New Roman" w:hAnsi="Times New Roman" w:eastAsia="黑体" w:cs="Times New Roman"/>
          <w:sz w:val="48"/>
          <w:szCs w:val="48"/>
          <w:lang w:val="en-US" w:eastAsia="zh-CN"/>
        </w:rPr>
        <w:t>建设项目水资源论证报告表技术导则</w:t>
      </w:r>
      <w:r>
        <w:rPr>
          <w:rFonts w:hint="eastAsia" w:eastAsia="黑体" w:cs="Times New Roman"/>
          <w:snapToGrid w:val="0"/>
          <w:kern w:val="0"/>
          <w:sz w:val="44"/>
          <w:szCs w:val="44"/>
        </w:rPr>
        <w:t>》</w:t>
      </w:r>
    </w:p>
    <w:p>
      <w:pPr>
        <w:widowControl/>
        <w:jc w:val="center"/>
        <w:rPr>
          <w:rFonts w:eastAsia="仿宋_GB2312" w:cs="Times New Roman"/>
          <w:snapToGrid w:val="0"/>
          <w:kern w:val="0"/>
          <w:sz w:val="32"/>
          <w:szCs w:val="32"/>
        </w:rPr>
      </w:pP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编制说明</w:t>
      </w: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pStyle w:val="2"/>
        <w:rPr>
          <w:rFonts w:ascii="Times New Roman" w:hAnsi="Times New Roman" w:cs="Times New Roman"/>
        </w:rPr>
      </w:pPr>
    </w:p>
    <w:p>
      <w:pPr>
        <w:rPr>
          <w:color w:val="000000"/>
          <w:sz w:val="48"/>
          <w:szCs w:val="48"/>
          <w:u w:val="single"/>
          <w:lang w:eastAsia="zh-CN"/>
        </w:rPr>
      </w:pPr>
    </w:p>
    <w:p>
      <w:pPr>
        <w:pStyle w:val="2"/>
        <w:rPr>
          <w:color w:val="000000"/>
          <w:sz w:val="48"/>
          <w:szCs w:val="48"/>
          <w:u w:val="single"/>
          <w:lang w:eastAsia="zh-CN"/>
        </w:rPr>
      </w:pPr>
    </w:p>
    <w:p>
      <w:pPr>
        <w:pStyle w:val="8"/>
        <w:ind w:left="440" w:firstLine="440"/>
        <w:rPr>
          <w:rFonts w:hint="eastAsia"/>
          <w:lang w:eastAsia="zh-CN"/>
        </w:rPr>
        <w:sectPr>
          <w:footerReference r:id="rId4" w:type="default"/>
          <w:headerReference r:id="rId3" w:type="even"/>
          <w:footerReference r:id="rId5" w:type="even"/>
          <w:pgSz w:w="11910" w:h="16840"/>
          <w:pgMar w:top="1531" w:right="1985" w:bottom="1531" w:left="1985" w:header="0" w:footer="0" w:gutter="0"/>
          <w:cols w:space="720" w:num="1"/>
        </w:sectPr>
      </w:pPr>
    </w:p>
    <w:p>
      <w:pPr>
        <w:pStyle w:val="8"/>
        <w:ind w:left="440" w:firstLine="440"/>
        <w:rPr>
          <w:rFonts w:hint="eastAsia"/>
          <w:lang w:eastAsia="zh-CN"/>
        </w:rPr>
      </w:pPr>
    </w:p>
    <w:p>
      <w:pPr>
        <w:pStyle w:val="3"/>
        <w:rPr>
          <w:rFonts w:ascii="宋体" w:hAnsi="宋体"/>
          <w:lang w:eastAsia="zh-CN"/>
        </w:rPr>
      </w:pPr>
      <w:r>
        <w:rPr>
          <w:rFonts w:hint="eastAsia" w:ascii="宋体" w:hAnsi="宋体"/>
          <w:lang w:eastAsia="zh-CN"/>
        </w:rPr>
        <w:t>编制说明</w:t>
      </w:r>
    </w:p>
    <w:p>
      <w:pPr>
        <w:pStyle w:val="3"/>
        <w:spacing w:line="360" w:lineRule="auto"/>
        <w:jc w:val="both"/>
        <w:rPr>
          <w:rFonts w:hint="eastAsia" w:eastAsia="黑体" w:cs="Times New Roman"/>
          <w:sz w:val="28"/>
          <w:szCs w:val="28"/>
          <w:lang w:eastAsia="zh-CN"/>
        </w:rPr>
      </w:pPr>
      <w:r>
        <w:rPr>
          <w:rFonts w:hint="eastAsia" w:eastAsia="黑体" w:cs="Times New Roman"/>
          <w:sz w:val="28"/>
          <w:szCs w:val="28"/>
          <w:lang w:eastAsia="zh-CN"/>
        </w:rPr>
        <w:t>一、工作简况</w:t>
      </w:r>
    </w:p>
    <w:p>
      <w:pPr>
        <w:snapToGrid w:val="0"/>
        <w:spacing w:line="360" w:lineRule="auto"/>
        <w:ind w:firstLine="480" w:firstLineChars="200"/>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水资源论证制度建立以来，在推动相关规划科学决策和建设项目合理布局中发挥了重要作用，有力促进了水资源节约保护和合理开发利用。</w:t>
      </w:r>
    </w:p>
    <w:p>
      <w:pPr>
        <w:snapToGrid w:val="0"/>
        <w:spacing w:line="360" w:lineRule="auto"/>
        <w:ind w:firstLine="480" w:firstLineChars="200"/>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根据《取水许可管理办法》（2015 年 12 月 16 日水利部令第 47 号修改公布）第八条：需要申请取水的建设项目，申请人应当委托具备相应资质的单位编制建设项目水资源论证报告书。其中，取水量较少且对周边环境影响较小的建设项目，申请人可不编制建设项目水资源论证报告书，但应当填写建设项目水资源论证表。</w:t>
      </w:r>
    </w:p>
    <w:p>
      <w:pPr>
        <w:spacing w:line="360" w:lineRule="auto"/>
        <w:ind w:firstLine="480" w:firstLineChars="200"/>
        <w:rPr>
          <w:rFonts w:hint="eastAsia" w:ascii="Times New Roman" w:hAnsi="Times New Roman"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目前重庆市在水资源论证报告表编制时，缺少相关的技术准则，目前开展的一些建设项目水资源论证报告表编制也存在着诸如内容深度不够、重点较为混乱等方面的问题。本次提出的水资源论证报告表技术导则的制定与实施，确保水资源论证报告表编制和审查的开展，将进一步提升水资源管理效能和取水论证审批效率，增强便民服务，具有十分重要意义。</w:t>
      </w:r>
    </w:p>
    <w:p>
      <w:pPr>
        <w:pStyle w:val="2"/>
        <w:ind w:left="440" w:firstLine="480" w:firstLineChars="200"/>
        <w:rPr>
          <w:rFonts w:ascii="Times New Roman" w:hAnsi="Times New Roman" w:eastAsia="仿宋_GB2312" w:cs="Times New Roman"/>
          <w:color w:val="000000" w:themeColor="text1"/>
          <w:kern w:val="0"/>
          <w:sz w:val="24"/>
          <w:szCs w:val="24"/>
          <w14:textFill>
            <w14:solidFill>
              <w14:schemeClr w14:val="tx1"/>
            </w14:solidFill>
          </w14:textFill>
        </w:rPr>
      </w:pPr>
    </w:p>
    <w:p>
      <w:pPr>
        <w:pStyle w:val="3"/>
        <w:spacing w:line="360" w:lineRule="auto"/>
        <w:jc w:val="both"/>
        <w:rPr>
          <w:rFonts w:hint="eastAsia" w:eastAsia="黑体" w:cs="Times New Roman"/>
          <w:sz w:val="28"/>
          <w:szCs w:val="28"/>
          <w:lang w:eastAsia="zh-CN"/>
        </w:rPr>
      </w:pPr>
      <w:bookmarkStart w:id="0" w:name="_Toc121238108"/>
      <w:r>
        <w:rPr>
          <w:rFonts w:hint="eastAsia" w:eastAsia="黑体" w:cs="Times New Roman"/>
          <w:sz w:val="28"/>
          <w:szCs w:val="28"/>
          <w:lang w:eastAsia="zh-CN"/>
        </w:rPr>
        <w:t>二、主要内容说明及来源依据</w:t>
      </w:r>
      <w:bookmarkEnd w:id="0"/>
    </w:p>
    <w:p>
      <w:pPr>
        <w:spacing w:line="360" w:lineRule="auto"/>
        <w:ind w:firstLine="480" w:firstLineChars="200"/>
        <w:rPr>
          <w:rFonts w:hint="eastAsia" w:ascii="宋体" w:hAnsi="宋体" w:eastAsia="仿宋_GB2312" w:cs="宋体"/>
          <w:color w:val="000000" w:themeColor="text1"/>
          <w:sz w:val="24"/>
          <w:szCs w:val="24"/>
          <w:lang w:val="en-US" w:eastAsia="zh-CN"/>
          <w14:textFill>
            <w14:solidFill>
              <w14:schemeClr w14:val="tx1"/>
            </w14:solidFill>
          </w14:textFill>
        </w:rPr>
      </w:pPr>
      <w:r>
        <w:rPr>
          <w:rFonts w:hint="eastAsia" w:ascii="宋体" w:hAnsi="宋体" w:eastAsia="仿宋_GB2312" w:cs="宋体"/>
          <w:color w:val="000000" w:themeColor="text1"/>
          <w:sz w:val="24"/>
          <w:szCs w:val="24"/>
          <w:lang w:val="en-US" w:eastAsia="zh-CN"/>
          <w14:textFill>
            <w14:solidFill>
              <w14:schemeClr w14:val="tx1"/>
            </w14:solidFill>
          </w14:textFill>
        </w:rPr>
        <w:t>（一）主要内容</w:t>
      </w:r>
    </w:p>
    <w:p>
      <w:pPr>
        <w:spacing w:line="360" w:lineRule="auto"/>
        <w:ind w:firstLine="480" w:firstLineChars="200"/>
        <w:rPr>
          <w:rFonts w:hint="eastAsia" w:ascii="宋体" w:hAnsi="宋体" w:eastAsia="仿宋_GB2312" w:cs="宋体"/>
          <w:color w:val="000000" w:themeColor="text1"/>
          <w:sz w:val="24"/>
          <w:szCs w:val="24"/>
          <w:lang w:val="en-US" w:eastAsia="zh-CN"/>
          <w14:textFill>
            <w14:solidFill>
              <w14:schemeClr w14:val="tx1"/>
            </w14:solidFill>
          </w14:textFill>
        </w:rPr>
      </w:pPr>
      <w:r>
        <w:rPr>
          <w:rFonts w:hint="eastAsia" w:ascii="宋体" w:hAnsi="宋体" w:eastAsia="仿宋_GB2312" w:cs="宋体"/>
          <w:color w:val="000000" w:themeColor="text1"/>
          <w:sz w:val="24"/>
          <w:szCs w:val="24"/>
          <w:lang w:val="en-US" w:eastAsia="zh-CN"/>
          <w14:textFill>
            <w14:solidFill>
              <w14:schemeClr w14:val="tx1"/>
            </w14:solidFill>
          </w14:textFill>
        </w:rPr>
        <w:t>技术内容：主要包括1 范围、2 规范性引用文件、3 术语和定义、4 基本要求、5 建设项目概况、6 取用水合理性分析及节水评价、7 取水水源及取水影响论证、8 取水计量设施方案</w:t>
      </w:r>
      <w:r>
        <w:rPr>
          <w:rFonts w:hint="eastAsia" w:eastAsia="仿宋_GB2312" w:cs="宋体"/>
          <w:color w:val="000000" w:themeColor="text1"/>
          <w:sz w:val="24"/>
          <w:szCs w:val="24"/>
          <w:lang w:val="en-US" w:eastAsia="zh-CN"/>
          <w14:textFill>
            <w14:solidFill>
              <w14:schemeClr w14:val="tx1"/>
            </w14:solidFill>
          </w14:textFill>
        </w:rPr>
        <w:t xml:space="preserve">、9 </w:t>
      </w:r>
      <w:r>
        <w:rPr>
          <w:rFonts w:hint="eastAsia" w:ascii="宋体" w:hAnsi="宋体" w:eastAsia="仿宋_GB2312" w:cs="宋体"/>
          <w:color w:val="000000" w:themeColor="text1"/>
          <w:sz w:val="24"/>
          <w:szCs w:val="24"/>
          <w:lang w:val="en-US" w:eastAsia="zh-CN"/>
          <w14:textFill>
            <w14:solidFill>
              <w14:schemeClr w14:val="tx1"/>
            </w14:solidFill>
          </w14:textFill>
        </w:rPr>
        <w:t>用水总量指标符合性分析、</w:t>
      </w:r>
      <w:r>
        <w:rPr>
          <w:rFonts w:hint="eastAsia" w:eastAsia="仿宋_GB2312" w:cs="宋体"/>
          <w:color w:val="000000" w:themeColor="text1"/>
          <w:sz w:val="24"/>
          <w:szCs w:val="24"/>
          <w:lang w:val="en-US" w:eastAsia="zh-CN"/>
          <w14:textFill>
            <w14:solidFill>
              <w14:schemeClr w14:val="tx1"/>
            </w14:solidFill>
          </w14:textFill>
        </w:rPr>
        <w:t>10</w:t>
      </w:r>
      <w:r>
        <w:rPr>
          <w:rFonts w:hint="eastAsia" w:ascii="宋体" w:hAnsi="宋体" w:eastAsia="仿宋_GB2312" w:cs="宋体"/>
          <w:color w:val="000000" w:themeColor="text1"/>
          <w:sz w:val="24"/>
          <w:szCs w:val="24"/>
          <w:lang w:val="en-US" w:eastAsia="zh-CN"/>
          <w14:textFill>
            <w14:solidFill>
              <w14:schemeClr w14:val="tx1"/>
            </w14:solidFill>
          </w14:textFill>
        </w:rPr>
        <w:t xml:space="preserve"> 退水方案及退水影响论证</w:t>
      </w:r>
      <w:r>
        <w:rPr>
          <w:rFonts w:hint="eastAsia" w:eastAsia="仿宋_GB2312" w:cs="宋体"/>
          <w:color w:val="000000" w:themeColor="text1"/>
          <w:sz w:val="24"/>
          <w:szCs w:val="24"/>
          <w:lang w:val="en-US" w:eastAsia="zh-CN"/>
          <w14:textFill>
            <w14:solidFill>
              <w14:schemeClr w14:val="tx1"/>
            </w14:solidFill>
          </w14:textFill>
        </w:rPr>
        <w:t xml:space="preserve">、11 </w:t>
      </w:r>
      <w:r>
        <w:rPr>
          <w:rFonts w:hint="eastAsia" w:ascii="宋体" w:hAnsi="宋体" w:eastAsia="仿宋_GB2312" w:cs="宋体"/>
          <w:color w:val="000000" w:themeColor="text1"/>
          <w:sz w:val="24"/>
          <w:szCs w:val="24"/>
          <w:lang w:val="en-US" w:eastAsia="zh-CN"/>
          <w14:textFill>
            <w14:solidFill>
              <w14:schemeClr w14:val="tx1"/>
            </w14:solidFill>
          </w14:textFill>
        </w:rPr>
        <w:t>附件</w:t>
      </w:r>
      <w:r>
        <w:rPr>
          <w:rFonts w:hint="eastAsia" w:eastAsia="仿宋_GB2312" w:cs="宋体"/>
          <w:color w:val="000000" w:themeColor="text1"/>
          <w:sz w:val="24"/>
          <w:szCs w:val="24"/>
          <w:lang w:val="en-US" w:eastAsia="zh-CN"/>
          <w14:textFill>
            <w14:solidFill>
              <w14:schemeClr w14:val="tx1"/>
            </w14:solidFill>
          </w14:textFill>
        </w:rPr>
        <w:t>附图</w:t>
      </w:r>
      <w:r>
        <w:rPr>
          <w:rFonts w:hint="eastAsia" w:ascii="宋体" w:hAnsi="宋体" w:eastAsia="仿宋_GB2312" w:cs="宋体"/>
          <w:color w:val="000000" w:themeColor="text1"/>
          <w:sz w:val="24"/>
          <w:szCs w:val="24"/>
          <w:lang w:val="en-US" w:eastAsia="zh-CN"/>
          <w14:textFill>
            <w14:solidFill>
              <w14:schemeClr w14:val="tx1"/>
            </w14:solidFill>
          </w14:textFill>
        </w:rPr>
        <w:t>、1</w:t>
      </w:r>
      <w:r>
        <w:rPr>
          <w:rFonts w:hint="eastAsia" w:eastAsia="仿宋_GB2312" w:cs="宋体"/>
          <w:color w:val="000000" w:themeColor="text1"/>
          <w:sz w:val="24"/>
          <w:szCs w:val="24"/>
          <w:lang w:val="en-US" w:eastAsia="zh-CN"/>
          <w14:textFill>
            <w14:solidFill>
              <w14:schemeClr w14:val="tx1"/>
            </w14:solidFill>
          </w14:textFill>
        </w:rPr>
        <w:t>2</w:t>
      </w:r>
      <w:r>
        <w:rPr>
          <w:rFonts w:hint="eastAsia" w:ascii="宋体" w:hAnsi="宋体" w:eastAsia="仿宋_GB2312" w:cs="宋体"/>
          <w:color w:val="000000" w:themeColor="text1"/>
          <w:sz w:val="24"/>
          <w:szCs w:val="24"/>
          <w:lang w:val="en-US" w:eastAsia="zh-CN"/>
          <w14:textFill>
            <w14:solidFill>
              <w14:schemeClr w14:val="tx1"/>
            </w14:solidFill>
          </w14:textFill>
        </w:rPr>
        <w:t xml:space="preserve"> 水资源论证报告表样表</w:t>
      </w:r>
      <w:r>
        <w:rPr>
          <w:rFonts w:hint="eastAsia" w:eastAsia="仿宋_GB2312" w:cs="宋体"/>
          <w:color w:val="000000" w:themeColor="text1"/>
          <w:sz w:val="24"/>
          <w:szCs w:val="24"/>
          <w:lang w:val="en-US" w:eastAsia="zh-CN"/>
          <w14:textFill>
            <w14:solidFill>
              <w14:schemeClr w14:val="tx1"/>
            </w14:solidFill>
          </w14:textFill>
        </w:rPr>
        <w:t>以及附录</w:t>
      </w:r>
      <w:r>
        <w:rPr>
          <w:rFonts w:hint="eastAsia" w:ascii="宋体" w:hAnsi="宋体" w:eastAsia="仿宋_GB2312" w:cs="宋体"/>
          <w:color w:val="000000" w:themeColor="text1"/>
          <w:sz w:val="24"/>
          <w:szCs w:val="24"/>
          <w:lang w:val="en-US" w:eastAsia="zh-CN"/>
          <w14:textFill>
            <w14:solidFill>
              <w14:schemeClr w14:val="tx1"/>
            </w14:solidFill>
          </w14:textFill>
        </w:rPr>
        <w:t>。</w:t>
      </w:r>
    </w:p>
    <w:p>
      <w:pPr>
        <w:widowControl/>
        <w:spacing w:line="360" w:lineRule="auto"/>
        <w:ind w:firstLine="481" w:firstLineChars="200"/>
        <w:rPr>
          <w:rFonts w:cs="Times New Roman"/>
          <w:sz w:val="24"/>
          <w:szCs w:val="24"/>
          <w:lang w:eastAsia="zh-CN"/>
        </w:rPr>
      </w:pPr>
      <w:r>
        <w:rPr>
          <w:rFonts w:eastAsia="仿宋_GB2312" w:cs="Times New Roman"/>
          <w:b/>
          <w:bCs/>
          <w:color w:val="000000"/>
          <w:sz w:val="24"/>
          <w:szCs w:val="24"/>
          <w:lang w:eastAsia="zh-CN" w:bidi="ar"/>
        </w:rPr>
        <w:t>范围</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 xml:space="preserve">适用范围； </w:t>
      </w:r>
    </w:p>
    <w:p>
      <w:pPr>
        <w:widowControl/>
        <w:spacing w:line="360" w:lineRule="auto"/>
        <w:ind w:firstLine="481" w:firstLineChars="200"/>
        <w:rPr>
          <w:rFonts w:cs="Times New Roman"/>
          <w:sz w:val="24"/>
          <w:szCs w:val="24"/>
          <w:lang w:eastAsia="zh-CN"/>
        </w:rPr>
      </w:pPr>
      <w:r>
        <w:rPr>
          <w:rFonts w:eastAsia="仿宋_GB2312" w:cs="Times New Roman"/>
          <w:b/>
          <w:bCs/>
          <w:color w:val="000000"/>
          <w:sz w:val="24"/>
          <w:szCs w:val="24"/>
          <w:lang w:eastAsia="zh-CN" w:bidi="ar"/>
        </w:rPr>
        <w:t>规范性引用文件</w:t>
      </w:r>
      <w:r>
        <w:rPr>
          <w:rFonts w:eastAsia="仿宋_GB2312" w:cs="Times New Roman"/>
          <w:color w:val="000000"/>
          <w:sz w:val="24"/>
          <w:szCs w:val="24"/>
          <w:lang w:eastAsia="zh-CN" w:bidi="ar"/>
        </w:rPr>
        <w:t>--</w:t>
      </w:r>
      <w:r>
        <w:rPr>
          <w:rFonts w:eastAsia="仿宋_GB2312" w:cs="Times New Roman"/>
          <w:sz w:val="24"/>
          <w:szCs w:val="24"/>
          <w:lang w:eastAsia="zh-CN" w:bidi="ar"/>
        </w:rPr>
        <w:t>列出</w:t>
      </w:r>
      <w:r>
        <w:rPr>
          <w:rFonts w:eastAsia="仿宋_GB2312" w:cs="Times New Roman"/>
          <w:color w:val="000000"/>
          <w:sz w:val="24"/>
          <w:szCs w:val="24"/>
          <w:lang w:eastAsia="zh-CN" w:bidi="ar"/>
        </w:rPr>
        <w:t>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 xml:space="preserve">参照的国家标准和行业标准； </w:t>
      </w:r>
    </w:p>
    <w:p>
      <w:pPr>
        <w:widowControl/>
        <w:spacing w:line="360" w:lineRule="auto"/>
        <w:ind w:firstLine="481" w:firstLineChars="200"/>
        <w:rPr>
          <w:rFonts w:eastAsia="仿宋_GB2312" w:cs="Times New Roman"/>
          <w:color w:val="000000"/>
          <w:sz w:val="24"/>
          <w:szCs w:val="24"/>
          <w:lang w:eastAsia="zh-CN" w:bidi="ar"/>
        </w:rPr>
      </w:pPr>
      <w:r>
        <w:rPr>
          <w:rFonts w:eastAsia="仿宋_GB2312" w:cs="Times New Roman"/>
          <w:b/>
          <w:bCs/>
          <w:color w:val="000000"/>
          <w:sz w:val="24"/>
          <w:szCs w:val="24"/>
          <w:lang w:eastAsia="zh-CN" w:bidi="ar"/>
        </w:rPr>
        <w:t>术语和定义</w:t>
      </w:r>
      <w:r>
        <w:rPr>
          <w:rFonts w:eastAsia="仿宋_GB2312" w:cs="Times New Roman"/>
          <w:color w:val="000000"/>
          <w:sz w:val="24"/>
          <w:szCs w:val="24"/>
          <w:lang w:eastAsia="zh-CN" w:bidi="ar"/>
        </w:rPr>
        <w:t>--对</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涉及的专业术语进行了定义和说明；</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基本规定</w:t>
      </w:r>
      <w:r>
        <w:rPr>
          <w:rFonts w:eastAsia="仿宋_GB2312" w:cs="Times New Roman"/>
          <w:color w:val="000000"/>
          <w:sz w:val="24"/>
          <w:szCs w:val="24"/>
          <w:lang w:eastAsia="zh-CN" w:bidi="ar"/>
        </w:rPr>
        <w:t>--规定了</w:t>
      </w:r>
      <w:r>
        <w:rPr>
          <w:rFonts w:hint="eastAsia" w:eastAsia="仿宋_GB2312" w:cs="Times New Roman"/>
          <w:color w:val="000000"/>
          <w:sz w:val="24"/>
          <w:szCs w:val="24"/>
          <w:lang w:val="en-US" w:eastAsia="zh-CN" w:bidi="ar"/>
        </w:rPr>
        <w:t>论证原则，报告表论证内容，水平年、论证范围</w:t>
      </w:r>
      <w:r>
        <w:rPr>
          <w:rFonts w:eastAsia="仿宋_GB2312" w:cs="Times New Roman"/>
          <w:color w:val="000000"/>
          <w:sz w:val="24"/>
          <w:szCs w:val="24"/>
          <w:lang w:eastAsia="zh-CN" w:bidi="ar"/>
        </w:rPr>
        <w:t>；</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建设项目概况</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建设项目概况</w:t>
      </w:r>
      <w:r>
        <w:rPr>
          <w:rFonts w:eastAsia="仿宋_GB2312" w:cs="Times New Roman"/>
          <w:color w:val="000000"/>
          <w:sz w:val="24"/>
          <w:szCs w:val="24"/>
          <w:lang w:eastAsia="zh-CN" w:bidi="ar"/>
        </w:rPr>
        <w:t>的主要内容；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取用水合理性分析及节水评价</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取用水合理性分析及节水评价</w:t>
      </w:r>
      <w:r>
        <w:rPr>
          <w:rFonts w:eastAsia="仿宋_GB2312" w:cs="Times New Roman"/>
          <w:color w:val="000000"/>
          <w:sz w:val="24"/>
          <w:szCs w:val="24"/>
          <w:lang w:eastAsia="zh-CN" w:bidi="ar"/>
        </w:rPr>
        <w:t>应包括的主要内容；</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取水水源及取水影响论证</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取水水源及取水方案</w:t>
      </w:r>
      <w:r>
        <w:rPr>
          <w:rFonts w:eastAsia="仿宋_GB2312" w:cs="Times New Roman"/>
          <w:color w:val="000000"/>
          <w:sz w:val="24"/>
          <w:szCs w:val="24"/>
          <w:lang w:eastAsia="zh-CN" w:bidi="ar"/>
        </w:rPr>
        <w:t>应包括的主要内容</w:t>
      </w:r>
      <w:r>
        <w:rPr>
          <w:rFonts w:hint="eastAsia" w:eastAsia="仿宋_GB2312" w:cs="Times New Roman"/>
          <w:color w:val="000000"/>
          <w:sz w:val="24"/>
          <w:szCs w:val="24"/>
          <w:lang w:eastAsia="zh-CN" w:bidi="ar"/>
        </w:rPr>
        <w:t>；</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取水计量设施方案</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取水计量设施方案</w:t>
      </w:r>
      <w:r>
        <w:rPr>
          <w:rFonts w:eastAsia="仿宋_GB2312" w:cs="Times New Roman"/>
          <w:color w:val="000000"/>
          <w:sz w:val="24"/>
          <w:szCs w:val="24"/>
          <w:lang w:eastAsia="zh-CN" w:bidi="ar"/>
        </w:rPr>
        <w:t>应包括的主要内容</w:t>
      </w:r>
      <w:r>
        <w:rPr>
          <w:rFonts w:hint="eastAsia" w:eastAsia="仿宋_GB2312" w:cs="Times New Roman"/>
          <w:color w:val="000000"/>
          <w:sz w:val="24"/>
          <w:szCs w:val="24"/>
          <w:lang w:eastAsia="zh-CN" w:bidi="ar"/>
        </w:rPr>
        <w:t>；</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用水总量指标符合性分析</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用水总量指标符合性分析</w:t>
      </w:r>
      <w:r>
        <w:rPr>
          <w:rFonts w:eastAsia="仿宋_GB2312" w:cs="Times New Roman"/>
          <w:color w:val="000000"/>
          <w:sz w:val="24"/>
          <w:szCs w:val="24"/>
          <w:lang w:eastAsia="zh-CN" w:bidi="ar"/>
        </w:rPr>
        <w:t>应包括的主要内容；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退水方案及退水影响论证</w:t>
      </w:r>
      <w:r>
        <w:rPr>
          <w:rFonts w:eastAsia="仿宋_GB2312" w:cs="Times New Roman"/>
          <w:color w:val="000000"/>
          <w:sz w:val="24"/>
          <w:szCs w:val="24"/>
          <w:lang w:eastAsia="zh-CN" w:bidi="ar"/>
        </w:rPr>
        <w:t>--</w:t>
      </w:r>
      <w:r>
        <w:rPr>
          <w:rFonts w:ascii="宋体" w:hAnsi="宋体" w:eastAsia="仿宋_GB2312" w:cs="Times New Roman"/>
          <w:color w:val="000000"/>
          <w:sz w:val="24"/>
          <w:szCs w:val="24"/>
          <w:lang w:eastAsia="zh-CN" w:bidi="ar"/>
        </w:rPr>
        <w:t>规定了</w:t>
      </w:r>
      <w:r>
        <w:rPr>
          <w:rFonts w:hint="eastAsia" w:ascii="宋体" w:hAnsi="宋体" w:eastAsia="仿宋_GB2312" w:cs="Times New Roman"/>
          <w:color w:val="000000"/>
          <w:sz w:val="24"/>
          <w:szCs w:val="24"/>
          <w:lang w:val="en-US" w:eastAsia="zh-CN" w:bidi="ar"/>
        </w:rPr>
        <w:t>退水分析</w:t>
      </w:r>
      <w:r>
        <w:rPr>
          <w:rFonts w:ascii="宋体" w:hAnsi="宋体" w:eastAsia="仿宋_GB2312" w:cs="Times New Roman"/>
          <w:color w:val="000000"/>
          <w:sz w:val="24"/>
          <w:szCs w:val="24"/>
          <w:lang w:eastAsia="zh-CN" w:bidi="ar"/>
        </w:rPr>
        <w:t>应包括的主要内容</w:t>
      </w:r>
      <w:r>
        <w:rPr>
          <w:rFonts w:eastAsia="仿宋_GB2312" w:cs="Times New Roman"/>
          <w:color w:val="000000"/>
          <w:sz w:val="24"/>
          <w:szCs w:val="24"/>
          <w:lang w:eastAsia="zh-CN" w:bidi="ar"/>
        </w:rPr>
        <w:t>。</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附件附图</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附件、附图</w:t>
      </w:r>
      <w:r>
        <w:rPr>
          <w:rFonts w:ascii="宋体" w:hAnsi="宋体" w:eastAsia="仿宋_GB2312" w:cs="Times New Roman"/>
          <w:color w:val="000000"/>
          <w:sz w:val="24"/>
          <w:szCs w:val="24"/>
          <w:lang w:eastAsia="zh-CN" w:bidi="ar"/>
        </w:rPr>
        <w:t>应</w:t>
      </w:r>
      <w:r>
        <w:rPr>
          <w:rFonts w:hint="eastAsia" w:eastAsia="仿宋_GB2312" w:cs="Times New Roman"/>
          <w:color w:val="000000"/>
          <w:sz w:val="24"/>
          <w:szCs w:val="24"/>
          <w:lang w:val="en-US" w:eastAsia="zh-CN" w:bidi="ar"/>
        </w:rPr>
        <w:t>包括</w:t>
      </w:r>
      <w:r>
        <w:rPr>
          <w:rFonts w:eastAsia="仿宋_GB2312" w:cs="Times New Roman"/>
          <w:color w:val="000000"/>
          <w:sz w:val="24"/>
          <w:szCs w:val="24"/>
          <w:lang w:eastAsia="zh-CN" w:bidi="ar"/>
        </w:rPr>
        <w:t>的主要内容；</w:t>
      </w:r>
    </w:p>
    <w:p>
      <w:pPr>
        <w:widowControl/>
        <w:spacing w:line="360" w:lineRule="auto"/>
        <w:ind w:firstLine="481" w:firstLineChars="200"/>
        <w:rPr>
          <w:rFonts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水资源论证报告表样表</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建设项目水资源论证报告表样表</w:t>
      </w:r>
      <w:r>
        <w:rPr>
          <w:rFonts w:eastAsia="仿宋_GB2312" w:cs="Times New Roman"/>
          <w:color w:val="000000"/>
          <w:sz w:val="24"/>
          <w:szCs w:val="24"/>
          <w:lang w:eastAsia="zh-CN" w:bidi="ar"/>
        </w:rPr>
        <w:t>。</w:t>
      </w:r>
    </w:p>
    <w:p>
      <w:pPr>
        <w:pStyle w:val="2"/>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val="en-US" w:eastAsia="zh-CN" w:bidi="ar"/>
        </w:rPr>
        <w:t>附录</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水资源论证报告表样表</w:t>
      </w:r>
      <w:r>
        <w:rPr>
          <w:rFonts w:hint="eastAsia" w:eastAsia="仿宋_GB2312" w:cs="Times New Roman"/>
          <w:color w:val="000000"/>
          <w:sz w:val="24"/>
          <w:szCs w:val="24"/>
          <w:lang w:val="en-US" w:eastAsia="zh-CN" w:bidi="ar"/>
        </w:rPr>
        <w:t>和填写说明</w:t>
      </w:r>
      <w:r>
        <w:rPr>
          <w:rFonts w:hint="eastAsia" w:eastAsia="仿宋_GB2312" w:cs="Times New Roman"/>
          <w:color w:val="000000"/>
          <w:sz w:val="24"/>
          <w:szCs w:val="24"/>
          <w:lang w:eastAsia="zh-CN" w:bidi="ar"/>
        </w:rPr>
        <w:t>。</w:t>
      </w:r>
    </w:p>
    <w:p>
      <w:pPr>
        <w:pStyle w:val="2"/>
        <w:ind w:firstLine="480" w:firstLineChars="200"/>
        <w:rPr>
          <w:rFonts w:hint="eastAsia" w:eastAsia="仿宋_GB2312" w:cs="Times New Roman"/>
          <w:color w:val="000000"/>
          <w:sz w:val="24"/>
          <w:szCs w:val="24"/>
          <w:lang w:eastAsia="zh-CN" w:bidi="ar"/>
        </w:rPr>
      </w:pP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（二）来源依据</w:t>
      </w: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1、文件依据</w:t>
      </w:r>
    </w:p>
    <w:p>
      <w:pPr>
        <w:spacing w:line="360" w:lineRule="auto"/>
        <w:ind w:firstLine="560"/>
        <w:rPr>
          <w:rFonts w:eastAsia="仿宋_GB2312" w:cs="Times New Roman"/>
          <w:color w:val="000000"/>
          <w:sz w:val="24"/>
          <w:szCs w:val="24"/>
          <w:lang w:eastAsia="zh-CN" w:bidi="ar"/>
        </w:rPr>
      </w:pPr>
      <w:r>
        <w:rPr>
          <w:rFonts w:eastAsia="仿宋_GB2312" w:cs="Times New Roman"/>
          <w:color w:val="000000"/>
          <w:sz w:val="24"/>
          <w:szCs w:val="24"/>
          <w:lang w:eastAsia="zh-CN" w:bidi="ar"/>
        </w:rPr>
        <w:t>《</w:t>
      </w:r>
      <w:r>
        <w:rPr>
          <w:rFonts w:eastAsia="仿宋_GB2312" w:cs="Times New Roman"/>
          <w:color w:val="000000"/>
          <w:sz w:val="24"/>
          <w:szCs w:val="24"/>
          <w:shd w:val="clear" w:color="auto" w:fill="FFFFFF"/>
          <w:lang w:eastAsia="zh-CN" w:bidi="ar"/>
        </w:rPr>
        <w:t>中华人民共和国水法</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w:t>
      </w:r>
      <w:r>
        <w:rPr>
          <w:rFonts w:eastAsia="仿宋_GB2312" w:cs="Times New Roman"/>
          <w:color w:val="000000"/>
          <w:sz w:val="24"/>
          <w:szCs w:val="24"/>
          <w:lang w:eastAsia="zh-CN" w:bidi="ar"/>
        </w:rPr>
        <w:t>《取水许可和水资源费征收管理条例》、《</w:t>
      </w:r>
      <w:r>
        <w:rPr>
          <w:rFonts w:eastAsia="仿宋_GB2312" w:cs="Times New Roman"/>
          <w:color w:val="000000"/>
          <w:sz w:val="24"/>
          <w:szCs w:val="24"/>
          <w:shd w:val="clear" w:color="auto" w:fill="FFFFFF"/>
          <w:lang w:eastAsia="zh-CN" w:bidi="ar"/>
        </w:rPr>
        <w:t>取水许可管理办法</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等</w:t>
      </w:r>
      <w:r>
        <w:rPr>
          <w:rFonts w:eastAsia="仿宋_GB2312" w:cs="Times New Roman"/>
          <w:color w:val="000000"/>
          <w:sz w:val="24"/>
          <w:szCs w:val="24"/>
          <w:lang w:eastAsia="zh-CN" w:bidi="ar"/>
        </w:rPr>
        <w:t>。</w:t>
      </w:r>
    </w:p>
    <w:p>
      <w:pPr>
        <w:widowControl/>
        <w:spacing w:line="360" w:lineRule="auto"/>
        <w:ind w:firstLine="480" w:firstLineChars="200"/>
        <w:rPr>
          <w:rFonts w:eastAsia="仿宋_GB2312" w:cs="Times New Roman"/>
          <w:sz w:val="24"/>
          <w:szCs w:val="24"/>
          <w:lang w:eastAsia="zh-CN" w:bidi="ar"/>
        </w:rPr>
      </w:pPr>
      <w:r>
        <w:rPr>
          <w:rFonts w:eastAsia="仿宋_GB2312" w:cs="Times New Roman"/>
          <w:sz w:val="24"/>
          <w:szCs w:val="24"/>
          <w:lang w:eastAsia="zh-CN" w:bidi="ar"/>
        </w:rPr>
        <w:t>2、依据</w:t>
      </w:r>
      <w:r>
        <w:rPr>
          <w:rFonts w:hint="eastAsia" w:eastAsia="仿宋_GB2312" w:cs="Times New Roman"/>
          <w:sz w:val="24"/>
          <w:szCs w:val="24"/>
          <w:lang w:eastAsia="zh-CN" w:bidi="ar"/>
        </w:rPr>
        <w:t>规范、标准、导则</w:t>
      </w:r>
    </w:p>
    <w:p>
      <w:pPr>
        <w:spacing w:line="360" w:lineRule="auto"/>
        <w:ind w:firstLine="560"/>
        <w:rPr>
          <w:rFonts w:hint="eastAsia" w:eastAsia="仿宋_GB2312" w:cs="Times New Roman"/>
          <w:color w:val="000000"/>
          <w:sz w:val="24"/>
          <w:szCs w:val="24"/>
          <w:lang w:eastAsia="zh-CN" w:bidi="ar"/>
        </w:rPr>
      </w:pPr>
      <w:bookmarkStart w:id="1" w:name="_Toc121238110"/>
      <w:r>
        <w:rPr>
          <w:rFonts w:hint="eastAsia" w:eastAsia="仿宋_GB2312" w:cs="Times New Roman"/>
          <w:color w:val="000000"/>
          <w:sz w:val="24"/>
          <w:szCs w:val="24"/>
          <w:lang w:eastAsia="zh-CN" w:bidi="ar"/>
        </w:rPr>
        <w:t>GB 3838 地表水环境质量标准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 xml:space="preserve">GB/T 4754 国民经济行业分类 </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7119 节水型企业评价导则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 8978 污水综合排放标准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14848 地下水质量标准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 18918 城镇污水处理厂污染物排放标准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28714 取水计量技术导则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30943 水资源术语</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34147 项目节水评估技术导则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35580 建设项目水资源论证导则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50125 给水排水工程基本术语标准</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26 水利水电工程技术术语</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104 水利工程水利计算规范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238 水资源评价导则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278 水利水电工程水文计算规范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395 地表水资源质量评价技术规程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429 水资源供需预测分析技术规范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SL/Z 552 用水指标评价导则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712 河湖生态环境需水计算规范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820 水利水电工程生态流量计算与泄放设计规范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835 节水评价技术导则</w:t>
      </w:r>
    </w:p>
    <w:p>
      <w:pPr>
        <w:pStyle w:val="3"/>
        <w:spacing w:line="360" w:lineRule="auto"/>
        <w:jc w:val="both"/>
        <w:rPr>
          <w:rFonts w:hint="eastAsia" w:eastAsia="黑体" w:cs="Times New Roman"/>
          <w:sz w:val="28"/>
          <w:szCs w:val="28"/>
          <w:lang w:eastAsia="zh-CN"/>
        </w:rPr>
      </w:pPr>
      <w:r>
        <w:rPr>
          <w:rFonts w:hint="eastAsia" w:eastAsia="黑体" w:cs="Times New Roman"/>
          <w:sz w:val="28"/>
          <w:szCs w:val="28"/>
          <w:lang w:eastAsia="zh-CN"/>
        </w:rPr>
        <w:t>三、专利情况说明</w:t>
      </w:r>
    </w:p>
    <w:p>
      <w:pPr>
        <w:spacing w:line="360" w:lineRule="auto"/>
        <w:ind w:firstLine="560"/>
        <w:rPr>
          <w:rFonts w:hint="default" w:ascii="宋体" w:hAnsi="宋体" w:eastAsia="仿宋_GB2312" w:cs="Times New Roman"/>
          <w:color w:val="000000"/>
          <w:sz w:val="24"/>
          <w:szCs w:val="24"/>
          <w:lang w:eastAsia="zh-CN" w:bidi="ar"/>
        </w:rPr>
      </w:pPr>
      <w:r>
        <w:rPr>
          <w:rFonts w:hint="default" w:ascii="宋体" w:hAnsi="宋体" w:eastAsia="仿宋_GB2312" w:cs="Times New Roman"/>
          <w:color w:val="000000"/>
          <w:sz w:val="24"/>
          <w:szCs w:val="24"/>
          <w:lang w:val="en-US" w:eastAsia="zh-CN" w:bidi="ar"/>
        </w:rPr>
        <w:t>1、</w:t>
      </w:r>
      <w:r>
        <w:rPr>
          <w:rFonts w:hint="default" w:ascii="宋体" w:hAnsi="宋体" w:eastAsia="仿宋_GB2312" w:cs="Times New Roman"/>
          <w:color w:val="000000"/>
          <w:sz w:val="24"/>
          <w:szCs w:val="24"/>
          <w:lang w:eastAsia="zh-CN" w:bidi="ar"/>
        </w:rPr>
        <w:t>目前尚未</w:t>
      </w:r>
      <w:r>
        <w:rPr>
          <w:rFonts w:hint="eastAsia" w:ascii="宋体" w:hAnsi="宋体" w:eastAsia="仿宋_GB2312" w:cs="Times New Roman"/>
          <w:color w:val="000000"/>
          <w:sz w:val="24"/>
          <w:szCs w:val="24"/>
          <w:lang w:eastAsia="zh-CN" w:bidi="ar"/>
        </w:rPr>
        <w:t>收到</w:t>
      </w:r>
      <w:r>
        <w:rPr>
          <w:rFonts w:hint="default" w:ascii="宋体" w:hAnsi="宋体" w:eastAsia="仿宋_GB2312" w:cs="Times New Roman"/>
          <w:color w:val="000000"/>
          <w:sz w:val="24"/>
          <w:szCs w:val="24"/>
          <w:lang w:eastAsia="zh-CN" w:bidi="ar"/>
        </w:rPr>
        <w:t>标准涉及专利的反馈信息。</w:t>
      </w:r>
    </w:p>
    <w:p>
      <w:pPr>
        <w:spacing w:line="360" w:lineRule="auto"/>
        <w:ind w:firstLine="560"/>
        <w:rPr>
          <w:rFonts w:hint="default" w:ascii="宋体" w:hAnsi="宋体" w:eastAsia="仿宋_GB2312" w:cs="Times New Roman"/>
          <w:color w:val="000000"/>
          <w:sz w:val="24"/>
          <w:szCs w:val="24"/>
          <w:lang w:val="en-US" w:eastAsia="zh-CN" w:bidi="ar"/>
        </w:rPr>
      </w:pPr>
      <w:r>
        <w:rPr>
          <w:rFonts w:hint="default" w:ascii="宋体" w:hAnsi="宋体" w:eastAsia="仿宋_GB2312" w:cs="Times New Roman"/>
          <w:color w:val="000000"/>
          <w:sz w:val="24"/>
          <w:szCs w:val="24"/>
          <w:lang w:val="en-US" w:eastAsia="zh-CN" w:bidi="ar"/>
        </w:rPr>
        <w:t>2、</w:t>
      </w:r>
      <w:r>
        <w:rPr>
          <w:rFonts w:hint="eastAsia" w:ascii="宋体" w:hAnsi="宋体" w:eastAsia="仿宋_GB2312" w:cs="Times New Roman"/>
          <w:color w:val="000000"/>
          <w:sz w:val="24"/>
          <w:szCs w:val="24"/>
          <w:lang w:val="en-US" w:eastAsia="zh-CN" w:bidi="ar"/>
        </w:rPr>
        <w:t>在征求意见稿、送审稿封面上，写上专利通</w:t>
      </w:r>
      <w:r>
        <w:rPr>
          <w:rFonts w:hint="default" w:ascii="宋体" w:hAnsi="宋体" w:eastAsia="仿宋_GB2312" w:cs="Times New Roman"/>
          <w:color w:val="000000"/>
          <w:sz w:val="24"/>
          <w:szCs w:val="24"/>
          <w:lang w:val="en-US" w:eastAsia="zh-CN" w:bidi="ar"/>
        </w:rPr>
        <w:t>知性的文字：“</w:t>
      </w:r>
      <w:r>
        <w:rPr>
          <w:rFonts w:hint="eastAsia" w:ascii="宋体" w:hAnsi="宋体" w:eastAsia="仿宋_GB2312" w:cs="Times New Roman"/>
          <w:color w:val="000000"/>
          <w:sz w:val="24"/>
          <w:szCs w:val="24"/>
          <w:lang w:val="en-US" w:eastAsia="zh-CN" w:bidi="ar"/>
        </w:rPr>
        <w:t>在提交反馈意见时，请将您知道的相关专利连同支持性文件一并附上。</w:t>
      </w:r>
      <w:r>
        <w:rPr>
          <w:rFonts w:hint="default" w:ascii="宋体" w:hAnsi="宋体" w:eastAsia="仿宋_GB2312" w:cs="Times New Roman"/>
          <w:color w:val="000000"/>
          <w:sz w:val="24"/>
          <w:szCs w:val="24"/>
          <w:lang w:val="en-US" w:eastAsia="zh-CN" w:bidi="ar"/>
        </w:rPr>
        <w:t>”。</w:t>
      </w:r>
    </w:p>
    <w:p>
      <w:pPr>
        <w:spacing w:line="360" w:lineRule="auto"/>
        <w:ind w:firstLine="560"/>
        <w:rPr>
          <w:rFonts w:hint="eastAsia" w:ascii="宋体" w:hAnsi="宋体" w:eastAsia="仿宋_GB2312" w:cs="Times New Roman"/>
          <w:color w:val="000000"/>
          <w:sz w:val="24"/>
          <w:szCs w:val="24"/>
          <w:lang w:eastAsia="zh-CN" w:bidi="ar"/>
        </w:rPr>
      </w:pPr>
      <w:r>
        <w:rPr>
          <w:rFonts w:hint="default" w:ascii="宋体" w:hAnsi="宋体" w:eastAsia="仿宋_GB2312" w:cs="Times New Roman"/>
          <w:color w:val="000000"/>
          <w:sz w:val="24"/>
          <w:szCs w:val="24"/>
          <w:lang w:val="en-US" w:eastAsia="zh-CN" w:bidi="ar"/>
        </w:rPr>
        <w:t>3</w:t>
      </w:r>
      <w:r>
        <w:rPr>
          <w:rFonts w:hint="eastAsia" w:ascii="宋体" w:hAnsi="宋体" w:eastAsia="仿宋_GB2312" w:cs="Times New Roman"/>
          <w:color w:val="000000"/>
          <w:sz w:val="24"/>
          <w:szCs w:val="24"/>
          <w:lang w:val="en-US" w:eastAsia="zh-CN" w:bidi="ar"/>
        </w:rPr>
        <w:t>、在标准的前言中对专利的处置进行了声明：“</w:t>
      </w:r>
      <w:r>
        <w:rPr>
          <w:rFonts w:hint="default" w:ascii="宋体" w:hAnsi="宋体" w:eastAsia="仿宋_GB2312" w:cs="Times New Roman"/>
          <w:color w:val="000000"/>
          <w:sz w:val="24"/>
          <w:szCs w:val="24"/>
          <w:lang w:eastAsia="zh-CN" w:bidi="ar"/>
        </w:rPr>
        <w:t>请注意本标准的某些内容可能涉及专利，本标准的发布机构不承担识别这些专利的责任。</w:t>
      </w:r>
      <w:r>
        <w:rPr>
          <w:rFonts w:hint="default" w:ascii="宋体" w:hAnsi="宋体" w:eastAsia="仿宋_GB2312" w:cs="Times New Roman"/>
          <w:color w:val="000000"/>
          <w:sz w:val="24"/>
          <w:szCs w:val="24"/>
          <w:lang w:val="en-US" w:eastAsia="zh-CN" w:bidi="ar"/>
        </w:rPr>
        <w:t>”</w:t>
      </w:r>
    </w:p>
    <w:p>
      <w:pPr>
        <w:pStyle w:val="3"/>
        <w:spacing w:line="360" w:lineRule="auto"/>
        <w:jc w:val="both"/>
        <w:rPr>
          <w:rFonts w:hint="eastAsia" w:eastAsia="黑体" w:cs="Times New Roman"/>
          <w:sz w:val="28"/>
          <w:szCs w:val="28"/>
        </w:rPr>
      </w:pPr>
      <w:r>
        <w:rPr>
          <w:rFonts w:hint="eastAsia" w:eastAsia="黑体" w:cs="Times New Roman"/>
          <w:sz w:val="28"/>
          <w:szCs w:val="28"/>
        </w:rPr>
        <w:t>四、与相关标准的关系分析</w:t>
      </w:r>
    </w:p>
    <w:bookmarkEnd w:id="1"/>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GB/T-35580《建设项目水资源论证导则》为建设项目水资源论证采用标准，适用于申请取水的新建、改建和扩建建设项目水资源论证；</w:t>
      </w:r>
      <w:r>
        <w:rPr>
          <w:rFonts w:hint="eastAsia" w:eastAsia="仿宋_GB2312" w:cs="Times New Roman"/>
          <w:color w:val="000000"/>
          <w:sz w:val="24"/>
          <w:szCs w:val="24"/>
          <w:lang w:val="en-US" w:eastAsia="zh-CN" w:bidi="ar"/>
        </w:rPr>
        <w:t>本标准</w:t>
      </w:r>
      <w:r>
        <w:rPr>
          <w:rFonts w:hint="eastAsia" w:ascii="宋体" w:hAnsi="宋体" w:eastAsia="仿宋_GB2312" w:cs="Times New Roman"/>
          <w:color w:val="000000"/>
          <w:sz w:val="24"/>
          <w:szCs w:val="24"/>
          <w:lang w:val="en-US" w:eastAsia="zh-CN" w:bidi="ar"/>
        </w:rPr>
        <w:t>应当符合《建设项目水资源论证导则》技术要求的规定。</w:t>
      </w:r>
      <w:r>
        <w:rPr>
          <w:rFonts w:hint="eastAsia" w:eastAsia="仿宋_GB2312" w:cs="Times New Roman"/>
          <w:color w:val="000000"/>
          <w:sz w:val="24"/>
          <w:szCs w:val="24"/>
          <w:lang w:val="en-US" w:eastAsia="zh-CN" w:bidi="ar"/>
        </w:rPr>
        <w:t>本标准</w:t>
      </w:r>
      <w:r>
        <w:rPr>
          <w:rFonts w:hint="eastAsia" w:ascii="宋体" w:hAnsi="宋体" w:eastAsia="仿宋_GB2312" w:cs="Times New Roman"/>
          <w:color w:val="000000"/>
          <w:sz w:val="24"/>
          <w:szCs w:val="24"/>
          <w:lang w:val="en-US" w:eastAsia="zh-CN" w:bidi="ar"/>
        </w:rPr>
        <w:t>是对《建设项目水资源论证导则》简化和具体化，以形成固定表格形式。</w:t>
      </w:r>
    </w:p>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制定本标准时依据并引用了国内有关现行标准，也不违背国内其它行业标准、法律、法规及强制性标准的有关规定。本标准中涉及相关标准的引用信息，均进行了协调一致性的校核。</w:t>
      </w:r>
    </w:p>
    <w:p>
      <w:pPr>
        <w:pStyle w:val="2"/>
        <w:rPr>
          <w:rFonts w:hint="default"/>
          <w:lang w:val="en-US" w:eastAsia="zh-CN"/>
        </w:rPr>
      </w:pPr>
    </w:p>
    <w:p>
      <w:pPr>
        <w:pStyle w:val="3"/>
        <w:spacing w:line="360" w:lineRule="auto"/>
        <w:jc w:val="both"/>
        <w:rPr>
          <w:rFonts w:hint="eastAsia" w:eastAsia="黑体" w:cs="Times New Roman"/>
          <w:sz w:val="28"/>
          <w:szCs w:val="28"/>
          <w:lang w:eastAsia="zh-CN"/>
        </w:rPr>
      </w:pPr>
      <w:bookmarkStart w:id="2" w:name="_Toc121238111"/>
      <w:r>
        <w:rPr>
          <w:rFonts w:hint="eastAsia" w:eastAsia="黑体" w:cs="Times New Roman"/>
          <w:sz w:val="28"/>
          <w:szCs w:val="28"/>
          <w:lang w:val="en-US" w:eastAsia="zh-CN"/>
        </w:rPr>
        <w:t>五</w:t>
      </w:r>
      <w:r>
        <w:rPr>
          <w:rFonts w:hint="eastAsia" w:eastAsia="黑体" w:cs="Times New Roman"/>
          <w:sz w:val="28"/>
          <w:szCs w:val="28"/>
          <w:lang w:eastAsia="zh-CN"/>
        </w:rPr>
        <w:t>、重大分歧或重难点的处理经过和依据</w:t>
      </w:r>
      <w:bookmarkEnd w:id="2"/>
    </w:p>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无。</w:t>
      </w:r>
    </w:p>
    <w:p>
      <w:pPr>
        <w:pStyle w:val="3"/>
        <w:spacing w:line="360" w:lineRule="auto"/>
        <w:jc w:val="both"/>
        <w:rPr>
          <w:rFonts w:hint="eastAsia" w:eastAsia="黑体" w:cs="Times New Roman"/>
          <w:sz w:val="28"/>
          <w:szCs w:val="28"/>
          <w:lang w:val="en-US" w:eastAsia="zh-CN"/>
        </w:rPr>
      </w:pPr>
      <w:r>
        <w:rPr>
          <w:rFonts w:hint="eastAsia" w:eastAsia="黑体" w:cs="Times New Roman"/>
          <w:sz w:val="28"/>
          <w:szCs w:val="28"/>
          <w:lang w:val="en-US" w:eastAsia="zh-CN"/>
        </w:rPr>
        <w:t>六、预期效益（报批阶段填写）</w:t>
      </w:r>
    </w:p>
    <w:p>
      <w:pPr>
        <w:spacing w:line="360" w:lineRule="auto"/>
        <w:ind w:firstLine="560"/>
        <w:rPr>
          <w:rFonts w:hint="default"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报批阶段填写。</w:t>
      </w:r>
    </w:p>
    <w:p>
      <w:pPr>
        <w:pStyle w:val="3"/>
        <w:spacing w:line="360" w:lineRule="auto"/>
        <w:jc w:val="both"/>
        <w:rPr>
          <w:rFonts w:hint="eastAsia" w:eastAsia="黑体" w:cs="Times New Roman"/>
          <w:sz w:val="28"/>
          <w:szCs w:val="28"/>
          <w:lang w:val="en-US" w:eastAsia="zh-CN"/>
        </w:rPr>
      </w:pPr>
      <w:r>
        <w:rPr>
          <w:rFonts w:hint="eastAsia" w:eastAsia="黑体" w:cs="Times New Roman"/>
          <w:sz w:val="28"/>
          <w:szCs w:val="28"/>
          <w:lang w:val="en-US" w:eastAsia="zh-CN"/>
        </w:rPr>
        <w:t>七、其他说明事项</w:t>
      </w:r>
    </w:p>
    <w:p>
      <w:pPr>
        <w:spacing w:line="360" w:lineRule="auto"/>
        <w:ind w:firstLine="560"/>
        <w:rPr>
          <w:rFonts w:hint="eastAsia" w:ascii="宋体" w:hAnsi="宋体" w:eastAsia="仿宋_GB2312" w:cs="Times New Roman"/>
          <w:color w:val="000000"/>
          <w:sz w:val="24"/>
          <w:szCs w:val="24"/>
          <w:lang w:val="en-US" w:eastAsia="zh-CN" w:bidi="ar"/>
        </w:rPr>
      </w:pPr>
      <w:r>
        <w:rPr>
          <w:rFonts w:hint="eastAsia" w:ascii="宋体" w:hAnsi="宋体" w:eastAsia="仿宋_GB2312" w:cs="Times New Roman"/>
          <w:color w:val="000000"/>
          <w:sz w:val="24"/>
          <w:szCs w:val="24"/>
          <w:lang w:val="en-US" w:eastAsia="zh-CN" w:bidi="ar"/>
        </w:rPr>
        <w:t>无。</w:t>
      </w:r>
    </w:p>
    <w:p/>
    <w:sectPr>
      <w:pgSz w:w="11910" w:h="16840"/>
      <w:pgMar w:top="1531" w:right="1985" w:bottom="1531" w:left="19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xN2MyNjUyMDIzODhlNTRlZjZjOTMzOTJhMGVjZDMifQ=="/>
  </w:docVars>
  <w:rsids>
    <w:rsidRoot w:val="008D332C"/>
    <w:rsid w:val="008D332C"/>
    <w:rsid w:val="00E57EE2"/>
    <w:rsid w:val="07911A78"/>
    <w:rsid w:val="0BCA3494"/>
    <w:rsid w:val="0EA31F34"/>
    <w:rsid w:val="0F75214B"/>
    <w:rsid w:val="182E6840"/>
    <w:rsid w:val="1C7C7712"/>
    <w:rsid w:val="1D440BCC"/>
    <w:rsid w:val="1EC73863"/>
    <w:rsid w:val="26325A66"/>
    <w:rsid w:val="28665E9B"/>
    <w:rsid w:val="28D64DCE"/>
    <w:rsid w:val="29D44611"/>
    <w:rsid w:val="30A61DF3"/>
    <w:rsid w:val="30C220DC"/>
    <w:rsid w:val="320831A2"/>
    <w:rsid w:val="3484562C"/>
    <w:rsid w:val="372D2697"/>
    <w:rsid w:val="3744384B"/>
    <w:rsid w:val="38AC6D92"/>
    <w:rsid w:val="3B1245AD"/>
    <w:rsid w:val="3C0E5615"/>
    <w:rsid w:val="3DEE0941"/>
    <w:rsid w:val="3EFA6DD7"/>
    <w:rsid w:val="3F165537"/>
    <w:rsid w:val="3F2830F9"/>
    <w:rsid w:val="3F6A5484"/>
    <w:rsid w:val="419F4DAC"/>
    <w:rsid w:val="46690BD8"/>
    <w:rsid w:val="5A987E65"/>
    <w:rsid w:val="5CDC48C5"/>
    <w:rsid w:val="5DFB4772"/>
    <w:rsid w:val="61985F01"/>
    <w:rsid w:val="61DF2B0E"/>
    <w:rsid w:val="62DA6C60"/>
    <w:rsid w:val="63FF1835"/>
    <w:rsid w:val="669C24AC"/>
    <w:rsid w:val="669E6224"/>
    <w:rsid w:val="68540EE4"/>
    <w:rsid w:val="68994F0C"/>
    <w:rsid w:val="6D1B05CF"/>
    <w:rsid w:val="6E4F0506"/>
    <w:rsid w:val="6EF81A16"/>
    <w:rsid w:val="72182679"/>
    <w:rsid w:val="77F30F2B"/>
    <w:rsid w:val="79176C1A"/>
    <w:rsid w:val="7B275B4B"/>
    <w:rsid w:val="7BEB3862"/>
    <w:rsid w:val="7D0E30D2"/>
    <w:rsid w:val="7D376633"/>
    <w:rsid w:val="7E8104AE"/>
    <w:rsid w:val="CC2F3267"/>
    <w:rsid w:val="CEFEAD16"/>
    <w:rsid w:val="E7EA4643"/>
    <w:rsid w:val="F16F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en-US"/>
    </w:rPr>
  </w:style>
  <w:style w:type="paragraph" w:styleId="3">
    <w:name w:val="heading 1"/>
    <w:basedOn w:val="1"/>
    <w:next w:val="1"/>
    <w:link w:val="12"/>
    <w:qFormat/>
    <w:uiPriority w:val="1"/>
    <w:pPr>
      <w:spacing w:before="56"/>
      <w:jc w:val="center"/>
      <w:outlineLvl w:val="0"/>
    </w:pPr>
    <w:rPr>
      <w:rFonts w:ascii="黑体" w:hAnsi="黑体" w:eastAsia="黑体" w:cs="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autoSpaceDE/>
      <w:autoSpaceDN/>
      <w:jc w:val="both"/>
    </w:pPr>
    <w:rPr>
      <w:rFonts w:hAnsi="Courier New" w:cs="黑体"/>
      <w:kern w:val="2"/>
      <w:sz w:val="21"/>
      <w:lang w:eastAsia="zh-CN" w:bidi="ar-SA"/>
    </w:rPr>
  </w:style>
  <w:style w:type="paragraph" w:styleId="4">
    <w:name w:val="Body Text"/>
    <w:basedOn w:val="1"/>
    <w:next w:val="1"/>
    <w:link w:val="13"/>
    <w:qFormat/>
    <w:uiPriority w:val="1"/>
    <w:rPr>
      <w:sz w:val="21"/>
      <w:szCs w:val="21"/>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9"/>
    <w:qFormat/>
    <w:uiPriority w:val="0"/>
    <w:pPr>
      <w:tabs>
        <w:tab w:val="center" w:pos="4153"/>
        <w:tab w:val="right" w:pos="8306"/>
      </w:tabs>
      <w:autoSpaceDE/>
      <w:autoSpaceDN/>
      <w:snapToGrid w:val="0"/>
    </w:pPr>
    <w:rPr>
      <w:rFonts w:ascii="Times New Roman" w:hAnsi="Times New Roman" w:cs="Times New Roman"/>
      <w:kern w:val="2"/>
      <w:sz w:val="18"/>
      <w:szCs w:val="18"/>
      <w:lang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Body Text First Indent 2"/>
    <w:basedOn w:val="5"/>
    <w:link w:val="16"/>
    <w:semiHidden/>
    <w:unhideWhenUsed/>
    <w:qFormat/>
    <w:uiPriority w:val="99"/>
    <w:pPr>
      <w:ind w:firstLine="420" w:firstLineChars="200"/>
    </w:pPr>
  </w:style>
  <w:style w:type="character" w:styleId="11">
    <w:name w:val="page number"/>
    <w:basedOn w:val="10"/>
    <w:qFormat/>
    <w:uiPriority w:val="0"/>
  </w:style>
  <w:style w:type="character" w:customStyle="1" w:styleId="12">
    <w:name w:val="标题 1 字符"/>
    <w:basedOn w:val="10"/>
    <w:link w:val="3"/>
    <w:qFormat/>
    <w:uiPriority w:val="1"/>
    <w:rPr>
      <w:rFonts w:ascii="黑体" w:hAnsi="黑体" w:eastAsia="黑体" w:cs="黑体"/>
      <w:kern w:val="0"/>
      <w:sz w:val="32"/>
      <w:szCs w:val="32"/>
      <w:lang w:eastAsia="en-US" w:bidi="en-US"/>
    </w:rPr>
  </w:style>
  <w:style w:type="character" w:customStyle="1" w:styleId="13">
    <w:name w:val="正文文本 字符"/>
    <w:basedOn w:val="10"/>
    <w:link w:val="4"/>
    <w:qFormat/>
    <w:uiPriority w:val="1"/>
    <w:rPr>
      <w:rFonts w:ascii="宋体" w:hAnsi="宋体" w:eastAsia="宋体" w:cs="宋体"/>
      <w:kern w:val="0"/>
      <w:szCs w:val="21"/>
      <w:lang w:eastAsia="en-US" w:bidi="en-US"/>
    </w:rPr>
  </w:style>
  <w:style w:type="character" w:customStyle="1" w:styleId="14">
    <w:name w:val="纯文本 字符"/>
    <w:basedOn w:val="10"/>
    <w:link w:val="2"/>
    <w:qFormat/>
    <w:uiPriority w:val="0"/>
    <w:rPr>
      <w:rFonts w:ascii="宋体" w:hAnsi="Courier New" w:eastAsia="宋体" w:cs="黑体"/>
    </w:rPr>
  </w:style>
  <w:style w:type="character" w:customStyle="1" w:styleId="15">
    <w:name w:val="正文文本缩进 字符"/>
    <w:basedOn w:val="10"/>
    <w:link w:val="5"/>
    <w:semiHidden/>
    <w:qFormat/>
    <w:uiPriority w:val="99"/>
    <w:rPr>
      <w:rFonts w:ascii="宋体" w:hAnsi="宋体" w:eastAsia="宋体" w:cs="宋体"/>
      <w:kern w:val="0"/>
      <w:sz w:val="22"/>
      <w:lang w:eastAsia="en-US" w:bidi="en-US"/>
    </w:rPr>
  </w:style>
  <w:style w:type="character" w:customStyle="1" w:styleId="16">
    <w:name w:val="正文文本首行缩进 2 字符"/>
    <w:basedOn w:val="15"/>
    <w:link w:val="8"/>
    <w:semiHidden/>
    <w:qFormat/>
    <w:uiPriority w:val="99"/>
    <w:rPr>
      <w:rFonts w:ascii="宋体" w:hAnsi="宋体" w:eastAsia="宋体" w:cs="宋体"/>
      <w:kern w:val="0"/>
      <w:sz w:val="22"/>
      <w:lang w:eastAsia="en-US" w:bidi="en-US"/>
    </w:rPr>
  </w:style>
  <w:style w:type="paragraph" w:customStyle="1" w:styleId="17">
    <w:name w:val="产品检验测试报告"/>
    <w:basedOn w:val="1"/>
    <w:qFormat/>
    <w:uiPriority w:val="0"/>
    <w:pPr>
      <w:autoSpaceDE/>
      <w:autoSpaceDN/>
      <w:jc w:val="both"/>
    </w:pPr>
    <w:rPr>
      <w:rFonts w:ascii="Times New Roman" w:hAnsi="Times New Roman" w:cs="Times New Roman"/>
      <w:kern w:val="2"/>
      <w:sz w:val="21"/>
      <w:szCs w:val="24"/>
      <w:lang w:eastAsia="zh-CN" w:bidi="ar-SA"/>
    </w:rPr>
  </w:style>
  <w:style w:type="paragraph" w:customStyle="1" w:styleId="18">
    <w:name w:val=" Char Char Char Char Char Char Char"/>
    <w:basedOn w:val="1"/>
    <w:qFormat/>
    <w:uiPriority w:val="0"/>
    <w:pPr>
      <w:autoSpaceDE/>
      <w:autoSpaceDN/>
      <w:jc w:val="both"/>
    </w:pPr>
    <w:rPr>
      <w:rFonts w:cs="Times New Roman"/>
      <w:sz w:val="18"/>
      <w:szCs w:val="20"/>
      <w:lang w:eastAsia="zh-CN" w:bidi="ar-SA"/>
    </w:rPr>
  </w:style>
  <w:style w:type="character" w:customStyle="1" w:styleId="19">
    <w:name w:val="页脚 字符"/>
    <w:basedOn w:val="10"/>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2285</Words>
  <Characters>2464</Characters>
  <Lines>22</Lines>
  <Paragraphs>6</Paragraphs>
  <TotalTime>4</TotalTime>
  <ScaleCrop>false</ScaleCrop>
  <LinksUpToDate>false</LinksUpToDate>
  <CharactersWithSpaces>2539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2023-05-04T07:11:00Z</dcterms:created>
  <dc:creator>wml</dc:creator>
  <cp:lastModifiedBy>杨丹</cp:lastModifiedBy>
  <cp:lastPrinted>2026-03-21T06:45:00Z</cp:lastPrinted>
  <dcterms:modified xsi:type="dcterms:W3CDTF">2026-03-25T11:41:39Z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EAEEA2B14F7749CCB94037849D50AD69_13</vt:lpwstr>
  </property>
  <property fmtid="{D5CDD505-2E9C-101B-9397-08002B2CF9AE}" pid="4" name="KSOTemplateDocerSaveRecord">
    <vt:lpwstr>eyJoZGlkIjoiYWMxN2MyNjUyMDIzODhlNTRlZjZjOTMzOTJhMGVjZDMiLCJ1c2VySWQiOiIxMTY3NTI1NTk3In0=</vt:lpwstr>
  </property>
</Properties>
</file>