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eastAsia="黑体" w:cs="Times New Roman"/>
          <w:snapToGrid w:val="0"/>
          <w:sz w:val="44"/>
          <w:szCs w:val="44"/>
        </w:rPr>
      </w:pPr>
      <w:bookmarkStart w:id="3" w:name="_GoBack"/>
      <w:bookmarkEnd w:id="3"/>
    </w:p>
    <w:p>
      <w:pPr>
        <w:pStyle w:val="2"/>
      </w:pPr>
    </w:p>
    <w:p>
      <w:pPr>
        <w:widowControl/>
        <w:jc w:val="center"/>
        <w:rPr>
          <w:rFonts w:hint="eastAsia" w:eastAsia="黑体" w:cs="Times New Roman"/>
          <w:snapToGrid w:val="0"/>
          <w:sz w:val="44"/>
          <w:szCs w:val="44"/>
        </w:rPr>
      </w:pPr>
    </w:p>
    <w:p>
      <w:pPr>
        <w:widowControl/>
        <w:jc w:val="center"/>
        <w:rPr>
          <w:rFonts w:hint="eastAsia" w:eastAsia="黑体" w:cs="Times New Roman"/>
          <w:snapToGrid w:val="0"/>
          <w:sz w:val="44"/>
          <w:szCs w:val="44"/>
          <w:lang w:eastAsia="zh-CN"/>
        </w:rPr>
      </w:pPr>
      <w:r>
        <w:rPr>
          <w:rFonts w:hint="eastAsia" w:eastAsia="黑体" w:cs="Times New Roman"/>
          <w:snapToGrid w:val="0"/>
          <w:sz w:val="44"/>
          <w:szCs w:val="44"/>
          <w:lang w:eastAsia="zh-CN"/>
        </w:rPr>
        <w:t>《</w:t>
      </w:r>
      <w:r>
        <w:rPr>
          <w:rFonts w:hint="eastAsia" w:ascii="Times New Roman" w:hAnsi="Times New Roman" w:eastAsia="黑体" w:cs="Times New Roman"/>
          <w:sz w:val="48"/>
          <w:szCs w:val="48"/>
          <w:lang w:eastAsia="zh-CN"/>
        </w:rPr>
        <w:t>取水工程验收技术规程</w:t>
      </w:r>
      <w:r>
        <w:rPr>
          <w:rFonts w:hint="eastAsia" w:eastAsia="黑体" w:cs="Times New Roman"/>
          <w:snapToGrid w:val="0"/>
          <w:sz w:val="44"/>
          <w:szCs w:val="44"/>
          <w:lang w:eastAsia="zh-CN"/>
        </w:rPr>
        <w:t>》</w:t>
      </w:r>
    </w:p>
    <w:p>
      <w:pPr>
        <w:widowControl/>
        <w:jc w:val="center"/>
        <w:rPr>
          <w:rFonts w:hint="eastAsia" w:eastAsia="仿宋_GB2312" w:cs="Times New Roman"/>
          <w:snapToGrid w:val="0"/>
          <w:sz w:val="32"/>
          <w:szCs w:val="32"/>
          <w:lang w:eastAsia="zh-CN"/>
        </w:rPr>
      </w:pPr>
    </w:p>
    <w:p>
      <w:pPr>
        <w:jc w:val="center"/>
        <w:rPr>
          <w:rFonts w:hint="eastAsia" w:cs="Times New Roman"/>
          <w:sz w:val="32"/>
          <w:szCs w:val="32"/>
          <w:lang w:eastAsia="zh-CN"/>
        </w:rPr>
      </w:pPr>
    </w:p>
    <w:p>
      <w:pPr>
        <w:jc w:val="center"/>
        <w:rPr>
          <w:rFonts w:hint="eastAsia" w:cs="Times New Roman"/>
          <w:sz w:val="32"/>
          <w:szCs w:val="32"/>
          <w:lang w:eastAsia="zh-CN"/>
        </w:rPr>
      </w:pPr>
    </w:p>
    <w:p>
      <w:pPr>
        <w:jc w:val="center"/>
        <w:rPr>
          <w:rFonts w:hint="eastAsia" w:cs="Times New Roman"/>
          <w:sz w:val="32"/>
          <w:szCs w:val="32"/>
          <w:lang w:eastAsia="zh-CN"/>
        </w:rPr>
      </w:pPr>
    </w:p>
    <w:p>
      <w:pPr>
        <w:widowControl/>
        <w:jc w:val="center"/>
        <w:rPr>
          <w:rFonts w:hint="eastAsia" w:eastAsia="黑体" w:cs="Times New Roman"/>
          <w:snapToGrid w:val="0"/>
          <w:sz w:val="44"/>
          <w:szCs w:val="44"/>
          <w:lang w:eastAsia="zh-CN"/>
        </w:rPr>
      </w:pPr>
      <w:r>
        <w:rPr>
          <w:rFonts w:hint="eastAsia" w:eastAsia="黑体" w:cs="Times New Roman"/>
          <w:snapToGrid w:val="0"/>
          <w:sz w:val="44"/>
          <w:szCs w:val="44"/>
          <w:lang w:eastAsia="zh-CN"/>
        </w:rPr>
        <w:t>编制说明</w:t>
      </w:r>
    </w:p>
    <w:p>
      <w:pPr>
        <w:widowControl/>
        <w:jc w:val="center"/>
        <w:rPr>
          <w:rFonts w:hint="eastAsia" w:eastAsia="黑体" w:cs="Times New Roman"/>
          <w:snapToGrid w:val="0"/>
          <w:sz w:val="30"/>
          <w:szCs w:val="30"/>
          <w:u w:val="single"/>
          <w:lang w:eastAsia="zh-CN"/>
        </w:rPr>
      </w:pPr>
    </w:p>
    <w:p>
      <w:pPr>
        <w:widowControl/>
        <w:jc w:val="center"/>
        <w:rPr>
          <w:rFonts w:hint="eastAsia" w:eastAsia="黑体" w:cs="Times New Roman"/>
          <w:snapToGrid w:val="0"/>
          <w:sz w:val="30"/>
          <w:szCs w:val="30"/>
          <w:u w:val="single"/>
          <w:lang w:eastAsia="zh-CN"/>
        </w:rPr>
      </w:pPr>
    </w:p>
    <w:p>
      <w:pPr>
        <w:widowControl/>
        <w:jc w:val="center"/>
        <w:rPr>
          <w:rFonts w:hint="eastAsia" w:eastAsia="黑体" w:cs="Times New Roman"/>
          <w:snapToGrid w:val="0"/>
          <w:sz w:val="30"/>
          <w:szCs w:val="30"/>
          <w:u w:val="single"/>
          <w:lang w:eastAsia="zh-CN"/>
        </w:rPr>
      </w:pPr>
    </w:p>
    <w:p>
      <w:pPr>
        <w:widowControl/>
        <w:jc w:val="center"/>
        <w:rPr>
          <w:rFonts w:hint="eastAsia" w:eastAsia="黑体" w:cs="Times New Roman"/>
          <w:snapToGrid w:val="0"/>
          <w:sz w:val="30"/>
          <w:szCs w:val="30"/>
          <w:u w:val="single"/>
          <w:lang w:eastAsia="zh-CN"/>
        </w:rPr>
      </w:pPr>
    </w:p>
    <w:p>
      <w:pPr>
        <w:widowControl/>
        <w:jc w:val="center"/>
        <w:rPr>
          <w:rFonts w:hint="eastAsia" w:eastAsia="黑体" w:cs="Times New Roman"/>
          <w:snapToGrid w:val="0"/>
          <w:sz w:val="30"/>
          <w:szCs w:val="30"/>
          <w:u w:val="single"/>
          <w:lang w:eastAsia="zh-CN"/>
        </w:rPr>
      </w:pPr>
    </w:p>
    <w:p>
      <w:pPr>
        <w:widowControl/>
        <w:jc w:val="center"/>
        <w:rPr>
          <w:rFonts w:hint="eastAsia" w:eastAsia="黑体" w:cs="Times New Roman"/>
          <w:snapToGrid w:val="0"/>
          <w:sz w:val="30"/>
          <w:szCs w:val="30"/>
          <w:u w:val="single"/>
          <w:lang w:eastAsia="zh-CN"/>
        </w:rPr>
      </w:pPr>
    </w:p>
    <w:p>
      <w:pPr>
        <w:pStyle w:val="2"/>
        <w:rPr>
          <w:rFonts w:ascii="Times New Roman" w:hAnsi="Times New Roman" w:cs="Times New Roman"/>
        </w:rPr>
      </w:pPr>
    </w:p>
    <w:p>
      <w:pPr>
        <w:rPr>
          <w:rFonts w:hint="eastAsia"/>
          <w:color w:val="000000"/>
          <w:sz w:val="48"/>
          <w:szCs w:val="48"/>
          <w:u w:val="single"/>
          <w:lang w:eastAsia="zh-CN"/>
        </w:rPr>
      </w:pPr>
    </w:p>
    <w:p>
      <w:pPr>
        <w:pStyle w:val="2"/>
        <w:rPr>
          <w:color w:val="000000"/>
          <w:sz w:val="48"/>
          <w:szCs w:val="48"/>
          <w:u w:val="single"/>
        </w:rPr>
      </w:pPr>
    </w:p>
    <w:p>
      <w:pPr>
        <w:pStyle w:val="8"/>
        <w:ind w:left="440" w:firstLine="440"/>
        <w:rPr>
          <w:rFonts w:hint="eastAsia"/>
          <w:lang w:eastAsia="zh-CN"/>
        </w:rPr>
      </w:pPr>
    </w:p>
    <w:p>
      <w:pPr>
        <w:jc w:val="center"/>
        <w:rPr>
          <w:rFonts w:hint="eastAsia"/>
          <w:sz w:val="28"/>
          <w:szCs w:val="28"/>
          <w:lang w:eastAsia="zh-CN"/>
        </w:rPr>
        <w:sectPr>
          <w:footerReference r:id="rId3" w:type="default"/>
          <w:footerReference r:id="rId4" w:type="even"/>
          <w:pgSz w:w="11906" w:h="16838"/>
          <w:pgMar w:top="1440" w:right="1418" w:bottom="1440" w:left="1418" w:header="851" w:footer="992" w:gutter="0"/>
          <w:cols w:space="425" w:num="1"/>
          <w:docGrid w:type="lines" w:linePitch="312" w:charSpace="0"/>
        </w:sectPr>
      </w:pPr>
    </w:p>
    <w:p>
      <w:pPr>
        <w:pStyle w:val="3"/>
        <w:rPr>
          <w:rFonts w:hint="eastAsia" w:ascii="宋体" w:hAnsi="宋体"/>
          <w:lang w:eastAsia="zh-CN"/>
        </w:rPr>
      </w:pPr>
      <w:r>
        <w:rPr>
          <w:rFonts w:hint="eastAsia" w:ascii="宋体" w:hAnsi="宋体"/>
          <w:lang w:eastAsia="zh-CN"/>
        </w:rPr>
        <w:t>编制说明</w:t>
      </w:r>
    </w:p>
    <w:p>
      <w:pPr>
        <w:pStyle w:val="3"/>
        <w:spacing w:line="360" w:lineRule="auto"/>
        <w:jc w:val="both"/>
        <w:rPr>
          <w:rFonts w:hint="eastAsia" w:cs="Times New Roman"/>
          <w:sz w:val="28"/>
          <w:szCs w:val="28"/>
          <w:lang w:eastAsia="zh-CN"/>
        </w:rPr>
      </w:pPr>
      <w:r>
        <w:rPr>
          <w:rFonts w:hint="eastAsia" w:cs="Times New Roman"/>
          <w:sz w:val="28"/>
          <w:szCs w:val="28"/>
          <w:lang w:eastAsia="zh-CN"/>
        </w:rPr>
        <w:t>一、工作简况</w:t>
      </w:r>
    </w:p>
    <w:p>
      <w:pPr>
        <w:spacing w:line="360" w:lineRule="auto"/>
        <w:ind w:firstLine="480" w:firstLineChars="200"/>
        <w:jc w:val="both"/>
        <w:rPr>
          <w:rFonts w:hint="eastAsia" w:eastAsia="仿宋_GB2312" w:cs="Times New Roman"/>
          <w:color w:val="000000" w:themeColor="text1"/>
          <w:sz w:val="24"/>
          <w:szCs w:val="24"/>
          <w:lang w:eastAsia="zh-CN"/>
          <w14:textFill>
            <w14:solidFill>
              <w14:schemeClr w14:val="tx1"/>
            </w14:solidFill>
          </w14:textFill>
        </w:rPr>
      </w:pPr>
      <w:r>
        <w:rPr>
          <w:rFonts w:hint="eastAsia" w:eastAsia="仿宋_GB2312" w:cs="Times New Roman"/>
          <w:color w:val="000000" w:themeColor="text1"/>
          <w:sz w:val="24"/>
          <w:szCs w:val="24"/>
          <w:lang w:eastAsia="zh-CN"/>
          <w14:textFill>
            <w14:solidFill>
              <w14:schemeClr w14:val="tx1"/>
            </w14:solidFill>
          </w14:textFill>
        </w:rPr>
        <w:t>取水工程验收是取水许可管理的关键环节，旨在对取水工程建设运行是否符合水资源论证及行政许可决定要求进行审核和查验。验收合格是核发取水许可证的法定要件，是保障水资源刚性约束制度落地、规范取用水行为、强化事中事后监管的重要抓手。</w:t>
      </w:r>
    </w:p>
    <w:p>
      <w:pPr>
        <w:spacing w:line="360" w:lineRule="auto"/>
        <w:ind w:firstLine="480" w:firstLineChars="200"/>
        <w:rPr>
          <w:rFonts w:hint="eastAsia" w:eastAsia="仿宋_GB2312" w:cs="Times New Roman"/>
          <w:color w:val="000000" w:themeColor="text1"/>
          <w:sz w:val="24"/>
          <w:szCs w:val="24"/>
          <w:lang w:eastAsia="zh-CN"/>
          <w14:textFill>
            <w14:solidFill>
              <w14:schemeClr w14:val="tx1"/>
            </w14:solidFill>
          </w14:textFill>
        </w:rPr>
      </w:pPr>
      <w:r>
        <w:rPr>
          <w:rFonts w:hint="eastAsia" w:eastAsia="仿宋_GB2312" w:cs="Times New Roman"/>
          <w:color w:val="000000" w:themeColor="text1"/>
          <w:sz w:val="24"/>
          <w:szCs w:val="24"/>
          <w:lang w:eastAsia="zh-CN"/>
          <w14:textFill>
            <w14:solidFill>
              <w14:schemeClr w14:val="tx1"/>
            </w14:solidFill>
          </w14:textFill>
        </w:rPr>
        <w:t>《取水许可和水资源费征收管理条例》（国务院令第460号）确立了取水工程验收的基本法律制度。该条例第二十三条明确规定：“取水工程或者设施竣工后，申请人应当按照国务院水行政主管部门的规定，向取水审批机关报送取水工程或者设施试运行情况等相关材料；经验收合格的，由审批机关核发取水许可证。”《取水许可管理办法》（水利部令第34号）第二十三条进一步规定：“取水审批机关应当自收到前条规定的有关材料后20日内，对取水工程或者设施进行现场核验，出具验收意见；对验收合格的，应当核发取水许可证”。《重庆市水资源管理条例》（重庆市人民代表大会常务委员会公告〔2015〕第14号，2023年3月30日第四次修正）以及水利部和长江委对取水工程验收的技术前提提出了工作要求。</w:t>
      </w:r>
    </w:p>
    <w:p>
      <w:pPr>
        <w:spacing w:line="360" w:lineRule="auto"/>
        <w:ind w:firstLine="480" w:firstLineChars="200"/>
        <w:rPr>
          <w:rFonts w:hint="eastAsia" w:eastAsia="仿宋_GB2312"/>
          <w:color w:val="000000" w:themeColor="text1"/>
          <w:sz w:val="24"/>
          <w:szCs w:val="24"/>
          <w:lang w:eastAsia="zh-CN"/>
          <w14:textFill>
            <w14:solidFill>
              <w14:schemeClr w14:val="tx1"/>
            </w14:solidFill>
          </w14:textFill>
        </w:rPr>
      </w:pPr>
      <w:r>
        <w:rPr>
          <w:rFonts w:hint="eastAsia" w:eastAsia="仿宋_GB2312" w:cs="Times New Roman"/>
          <w:color w:val="000000" w:themeColor="text1"/>
          <w:sz w:val="24"/>
          <w:szCs w:val="24"/>
          <w:lang w:eastAsia="zh-CN"/>
          <w14:textFill>
            <w14:solidFill>
              <w14:schemeClr w14:val="tx1"/>
            </w14:solidFill>
          </w14:textFill>
        </w:rPr>
        <w:t>在开展取水工程验收工作时，缺乏相关的</w:t>
      </w:r>
      <w:r>
        <w:rPr>
          <w:rFonts w:hint="eastAsia" w:eastAsia="仿宋_GB2312"/>
          <w:color w:val="000000" w:themeColor="text1"/>
          <w:sz w:val="24"/>
          <w:szCs w:val="24"/>
          <w:lang w:eastAsia="zh-CN"/>
          <w14:textFill>
            <w14:solidFill>
              <w14:schemeClr w14:val="tx1"/>
            </w14:solidFill>
          </w14:textFill>
        </w:rPr>
        <w:t>权威依据和技术规程，难以准确把握好审核和查验要点。本次提出的取水工程验收技术规程的制定与实施，将加强标准体系的建设和实施，推进</w:t>
      </w:r>
      <w:r>
        <w:rPr>
          <w:rFonts w:hint="eastAsia" w:eastAsia="仿宋_GB2312" w:cs="Times New Roman"/>
          <w:color w:val="000000" w:themeColor="text1"/>
          <w:sz w:val="24"/>
          <w:szCs w:val="24"/>
          <w:lang w:eastAsia="zh-CN"/>
          <w14:textFill>
            <w14:solidFill>
              <w14:schemeClr w14:val="tx1"/>
            </w14:solidFill>
          </w14:textFill>
        </w:rPr>
        <w:t>取水工程验收工作的规范化、制度化、标准化，</w:t>
      </w:r>
      <w:r>
        <w:rPr>
          <w:rFonts w:hint="eastAsia" w:eastAsia="仿宋_GB2312"/>
          <w:color w:val="000000" w:themeColor="text1"/>
          <w:sz w:val="24"/>
          <w:szCs w:val="24"/>
          <w:lang w:eastAsia="zh-CN"/>
          <w14:textFill>
            <w14:solidFill>
              <w14:schemeClr w14:val="tx1"/>
            </w14:solidFill>
          </w14:textFill>
        </w:rPr>
        <w:t>对实施最严格的水资源管理制度具有重要的意义。</w:t>
      </w:r>
    </w:p>
    <w:p>
      <w:pPr>
        <w:pStyle w:val="3"/>
        <w:spacing w:line="360" w:lineRule="auto"/>
        <w:jc w:val="both"/>
        <w:rPr>
          <w:rFonts w:hint="eastAsia" w:cs="Times New Roman"/>
          <w:sz w:val="28"/>
          <w:szCs w:val="28"/>
          <w:lang w:eastAsia="zh-CN"/>
        </w:rPr>
      </w:pPr>
      <w:bookmarkStart w:id="0" w:name="_Toc121238108"/>
      <w:r>
        <w:rPr>
          <w:rFonts w:hint="eastAsia" w:cs="Times New Roman"/>
          <w:sz w:val="28"/>
          <w:szCs w:val="28"/>
          <w:lang w:eastAsia="zh-CN"/>
        </w:rPr>
        <w:t>二、主要内容说明及来源依据</w:t>
      </w:r>
      <w:bookmarkEnd w:id="0"/>
    </w:p>
    <w:p>
      <w:pPr>
        <w:spacing w:line="360" w:lineRule="auto"/>
        <w:ind w:firstLine="480" w:firstLineChars="200"/>
        <w:rPr>
          <w:rFonts w:hint="eastAsia" w:eastAsia="仿宋_GB2312"/>
          <w:color w:val="000000" w:themeColor="text1"/>
          <w:sz w:val="24"/>
          <w:szCs w:val="24"/>
          <w:lang w:eastAsia="zh-CN"/>
          <w14:textFill>
            <w14:solidFill>
              <w14:schemeClr w14:val="tx1"/>
            </w14:solidFill>
          </w14:textFill>
        </w:rPr>
      </w:pPr>
      <w:r>
        <w:rPr>
          <w:rFonts w:hint="eastAsia" w:eastAsia="仿宋_GB2312"/>
          <w:color w:val="000000" w:themeColor="text1"/>
          <w:sz w:val="24"/>
          <w:szCs w:val="24"/>
          <w:lang w:eastAsia="zh-CN"/>
          <w14:textFill>
            <w14:solidFill>
              <w14:schemeClr w14:val="tx1"/>
            </w14:solidFill>
          </w14:textFill>
        </w:rPr>
        <w:t>（一）主要内容</w:t>
      </w:r>
    </w:p>
    <w:p>
      <w:pPr>
        <w:spacing w:line="360" w:lineRule="auto"/>
        <w:ind w:firstLine="480" w:firstLineChars="200"/>
        <w:rPr>
          <w:rFonts w:hint="eastAsia" w:eastAsia="仿宋_GB2312"/>
          <w:color w:val="000000" w:themeColor="text1"/>
          <w:sz w:val="24"/>
          <w:szCs w:val="24"/>
          <w:lang w:eastAsia="zh-CN"/>
          <w14:textFill>
            <w14:solidFill>
              <w14:schemeClr w14:val="tx1"/>
            </w14:solidFill>
          </w14:textFill>
        </w:rPr>
      </w:pPr>
      <w:r>
        <w:rPr>
          <w:rFonts w:hint="eastAsia" w:eastAsia="仿宋_GB2312"/>
          <w:color w:val="000000" w:themeColor="text1"/>
          <w:sz w:val="24"/>
          <w:szCs w:val="24"/>
          <w:lang w:eastAsia="zh-CN"/>
          <w14:textFill>
            <w14:solidFill>
              <w14:schemeClr w14:val="tx1"/>
            </w14:solidFill>
          </w14:textFill>
        </w:rPr>
        <w:t>技术内容：主要包括1 总则、2 规范性引用文件、3 术语和定义、4 基本规定、5 资料申报和验收申请受理、6 简易验收、7 一般验收、8 验收成果、9 档案管理以及附录A 取水工程验收申报资料清单、附录B 关于取水工程简易验收申请的相关承诺、附录C 取水工程验收评分（价）表、附录D 取水工程验收结论表、附录E 取水工程验收整改意见表、附录F 取水工程验收资料存档清单、附录G 取水工程建设和试运行情况报告、附录H 取水工程验收整改报告。</w:t>
      </w:r>
    </w:p>
    <w:p>
      <w:pPr>
        <w:widowControl/>
        <w:spacing w:line="360" w:lineRule="auto"/>
        <w:ind w:firstLine="481" w:firstLineChars="200"/>
        <w:rPr>
          <w:rFonts w:hint="eastAsia" w:cs="Times New Roman"/>
          <w:sz w:val="24"/>
          <w:szCs w:val="24"/>
          <w:lang w:eastAsia="zh-CN"/>
        </w:rPr>
      </w:pPr>
      <w:r>
        <w:rPr>
          <w:rFonts w:eastAsia="仿宋_GB2312" w:cs="Times New Roman"/>
          <w:b/>
          <w:bCs/>
          <w:color w:val="000000"/>
          <w:sz w:val="24"/>
          <w:szCs w:val="24"/>
          <w:lang w:eastAsia="zh-CN" w:bidi="ar"/>
        </w:rPr>
        <w:t>范围</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本</w:t>
      </w:r>
      <w:r>
        <w:rPr>
          <w:rFonts w:hint="eastAsia" w:eastAsia="仿宋_GB2312" w:cs="Times New Roman"/>
          <w:sz w:val="24"/>
          <w:szCs w:val="24"/>
          <w:lang w:eastAsia="zh-CN" w:bidi="ar"/>
        </w:rPr>
        <w:t>标准</w:t>
      </w:r>
      <w:r>
        <w:rPr>
          <w:rFonts w:eastAsia="仿宋_GB2312" w:cs="Times New Roman"/>
          <w:color w:val="000000"/>
          <w:sz w:val="24"/>
          <w:szCs w:val="24"/>
          <w:lang w:eastAsia="zh-CN" w:bidi="ar"/>
        </w:rPr>
        <w:t>适用范围</w:t>
      </w:r>
      <w:r>
        <w:rPr>
          <w:rFonts w:hint="eastAsia" w:eastAsia="仿宋_GB2312" w:cs="Times New Roman"/>
          <w:color w:val="000000"/>
          <w:sz w:val="24"/>
          <w:szCs w:val="24"/>
          <w:lang w:eastAsia="zh-CN" w:bidi="ar"/>
        </w:rPr>
        <w:t>和原则</w:t>
      </w:r>
      <w:r>
        <w:rPr>
          <w:rFonts w:eastAsia="仿宋_GB2312" w:cs="Times New Roman"/>
          <w:color w:val="000000"/>
          <w:sz w:val="24"/>
          <w:szCs w:val="24"/>
          <w:lang w:eastAsia="zh-CN" w:bidi="ar"/>
        </w:rPr>
        <w:t>；</w:t>
      </w:r>
    </w:p>
    <w:p>
      <w:pPr>
        <w:widowControl/>
        <w:spacing w:line="360" w:lineRule="auto"/>
        <w:ind w:firstLine="481" w:firstLineChars="200"/>
        <w:rPr>
          <w:rFonts w:hint="eastAsia" w:cs="Times New Roman"/>
          <w:sz w:val="24"/>
          <w:szCs w:val="24"/>
          <w:lang w:eastAsia="zh-CN"/>
        </w:rPr>
      </w:pPr>
      <w:r>
        <w:rPr>
          <w:rFonts w:eastAsia="仿宋_GB2312" w:cs="Times New Roman"/>
          <w:b/>
          <w:bCs/>
          <w:color w:val="000000"/>
          <w:sz w:val="24"/>
          <w:szCs w:val="24"/>
          <w:lang w:eastAsia="zh-CN" w:bidi="ar"/>
        </w:rPr>
        <w:t>规范性引用文件</w:t>
      </w:r>
      <w:r>
        <w:rPr>
          <w:rFonts w:eastAsia="仿宋_GB2312" w:cs="Times New Roman"/>
          <w:color w:val="000000"/>
          <w:sz w:val="24"/>
          <w:szCs w:val="24"/>
          <w:lang w:eastAsia="zh-CN" w:bidi="ar"/>
        </w:rPr>
        <w:t>--</w:t>
      </w:r>
      <w:r>
        <w:rPr>
          <w:rFonts w:eastAsia="仿宋_GB2312" w:cs="Times New Roman"/>
          <w:sz w:val="24"/>
          <w:szCs w:val="24"/>
          <w:lang w:eastAsia="zh-CN" w:bidi="ar"/>
        </w:rPr>
        <w:t>列出</w:t>
      </w:r>
      <w:r>
        <w:rPr>
          <w:rFonts w:eastAsia="仿宋_GB2312" w:cs="Times New Roman"/>
          <w:color w:val="000000"/>
          <w:sz w:val="24"/>
          <w:szCs w:val="24"/>
          <w:lang w:eastAsia="zh-CN" w:bidi="ar"/>
        </w:rPr>
        <w:t>了</w:t>
      </w:r>
      <w:r>
        <w:rPr>
          <w:rFonts w:hint="eastAsia" w:eastAsia="仿宋_GB2312" w:cs="Times New Roman"/>
          <w:color w:val="000000"/>
          <w:sz w:val="24"/>
          <w:szCs w:val="24"/>
          <w:lang w:eastAsia="zh-CN" w:bidi="ar"/>
        </w:rPr>
        <w:t>本</w:t>
      </w:r>
      <w:r>
        <w:rPr>
          <w:rFonts w:hint="eastAsia" w:eastAsia="仿宋_GB2312" w:cs="Times New Roman"/>
          <w:sz w:val="24"/>
          <w:szCs w:val="24"/>
          <w:lang w:eastAsia="zh-CN" w:bidi="ar"/>
        </w:rPr>
        <w:t>标准</w:t>
      </w:r>
      <w:r>
        <w:rPr>
          <w:rFonts w:eastAsia="仿宋_GB2312" w:cs="Times New Roman"/>
          <w:color w:val="000000"/>
          <w:sz w:val="24"/>
          <w:szCs w:val="24"/>
          <w:lang w:eastAsia="zh-CN" w:bidi="ar"/>
        </w:rPr>
        <w:t>参照的国家标准和行业标准</w:t>
      </w:r>
      <w:r>
        <w:rPr>
          <w:rFonts w:hint="eastAsia" w:eastAsia="仿宋_GB2312" w:cs="Times New Roman"/>
          <w:color w:val="000000"/>
          <w:sz w:val="24"/>
          <w:szCs w:val="24"/>
          <w:lang w:eastAsia="zh-CN" w:bidi="ar"/>
        </w:rPr>
        <w:t>、地方标准</w:t>
      </w:r>
      <w:r>
        <w:rPr>
          <w:rFonts w:eastAsia="仿宋_GB2312" w:cs="Times New Roman"/>
          <w:color w:val="000000"/>
          <w:sz w:val="24"/>
          <w:szCs w:val="24"/>
          <w:lang w:eastAsia="zh-CN" w:bidi="ar"/>
        </w:rPr>
        <w:t>；</w:t>
      </w:r>
    </w:p>
    <w:p>
      <w:pPr>
        <w:widowControl/>
        <w:spacing w:line="360" w:lineRule="auto"/>
        <w:ind w:firstLine="481" w:firstLineChars="200"/>
        <w:rPr>
          <w:rFonts w:hint="eastAsia" w:eastAsia="仿宋_GB2312" w:cs="Times New Roman"/>
          <w:color w:val="000000"/>
          <w:sz w:val="24"/>
          <w:szCs w:val="24"/>
          <w:lang w:eastAsia="zh-CN" w:bidi="ar"/>
        </w:rPr>
      </w:pPr>
      <w:r>
        <w:rPr>
          <w:rFonts w:eastAsia="仿宋_GB2312" w:cs="Times New Roman"/>
          <w:b/>
          <w:bCs/>
          <w:color w:val="000000"/>
          <w:sz w:val="24"/>
          <w:szCs w:val="24"/>
          <w:lang w:eastAsia="zh-CN" w:bidi="ar"/>
        </w:rPr>
        <w:t>术语和定义</w:t>
      </w:r>
      <w:r>
        <w:rPr>
          <w:rFonts w:eastAsia="仿宋_GB2312" w:cs="Times New Roman"/>
          <w:color w:val="000000"/>
          <w:sz w:val="24"/>
          <w:szCs w:val="24"/>
          <w:lang w:eastAsia="zh-CN" w:bidi="ar"/>
        </w:rPr>
        <w:t>--对</w:t>
      </w:r>
      <w:r>
        <w:rPr>
          <w:rFonts w:hint="eastAsia" w:eastAsia="仿宋_GB2312" w:cs="Times New Roman"/>
          <w:color w:val="000000"/>
          <w:sz w:val="24"/>
          <w:szCs w:val="24"/>
          <w:lang w:eastAsia="zh-CN" w:bidi="ar"/>
        </w:rPr>
        <w:t>本</w:t>
      </w:r>
      <w:r>
        <w:rPr>
          <w:rFonts w:hint="eastAsia" w:eastAsia="仿宋_GB2312" w:cs="Times New Roman"/>
          <w:sz w:val="24"/>
          <w:szCs w:val="24"/>
          <w:lang w:eastAsia="zh-CN" w:bidi="ar"/>
        </w:rPr>
        <w:t>标准</w:t>
      </w:r>
      <w:r>
        <w:rPr>
          <w:rFonts w:eastAsia="仿宋_GB2312" w:cs="Times New Roman"/>
          <w:color w:val="000000"/>
          <w:sz w:val="24"/>
          <w:szCs w:val="24"/>
          <w:lang w:eastAsia="zh-CN" w:bidi="ar"/>
        </w:rPr>
        <w:t>涉及的专业术语进行了定义和说明；</w:t>
      </w:r>
    </w:p>
    <w:p>
      <w:pPr>
        <w:widowControl/>
        <w:spacing w:line="360" w:lineRule="auto"/>
        <w:ind w:firstLine="481" w:firstLineChars="200"/>
        <w:rPr>
          <w:rFonts w:hint="eastAsia" w:eastAsia="仿宋_GB2312" w:cs="Times New Roman"/>
          <w:color w:val="000000"/>
          <w:sz w:val="24"/>
          <w:szCs w:val="24"/>
          <w:lang w:eastAsia="zh-CN" w:bidi="ar"/>
        </w:rPr>
      </w:pPr>
      <w:r>
        <w:rPr>
          <w:rFonts w:hint="eastAsia" w:eastAsia="仿宋_GB2312" w:cs="Times New Roman"/>
          <w:b/>
          <w:bCs/>
          <w:color w:val="000000"/>
          <w:sz w:val="24"/>
          <w:szCs w:val="24"/>
          <w:lang w:eastAsia="zh-CN" w:bidi="ar"/>
        </w:rPr>
        <w:t>基本规定</w:t>
      </w:r>
      <w:r>
        <w:rPr>
          <w:rFonts w:eastAsia="仿宋_GB2312" w:cs="Times New Roman"/>
          <w:color w:val="000000"/>
          <w:sz w:val="24"/>
          <w:szCs w:val="24"/>
          <w:lang w:eastAsia="zh-CN" w:bidi="ar"/>
        </w:rPr>
        <w:t>--</w:t>
      </w:r>
      <w:r>
        <w:rPr>
          <w:rFonts w:hint="eastAsia" w:eastAsia="仿宋_GB2312" w:cs="Times New Roman"/>
          <w:color w:val="000000"/>
          <w:sz w:val="24"/>
          <w:szCs w:val="24"/>
          <w:lang w:eastAsia="zh-CN" w:bidi="ar"/>
        </w:rPr>
        <w:t>规定了取水工程验收的主要流程</w:t>
      </w:r>
      <w:r>
        <w:rPr>
          <w:rFonts w:eastAsia="仿宋_GB2312" w:cs="Times New Roman"/>
          <w:color w:val="000000"/>
          <w:sz w:val="24"/>
          <w:szCs w:val="24"/>
          <w:lang w:eastAsia="zh-CN" w:bidi="ar"/>
        </w:rPr>
        <w:t>；</w:t>
      </w:r>
    </w:p>
    <w:p>
      <w:pPr>
        <w:widowControl/>
        <w:spacing w:line="360" w:lineRule="auto"/>
        <w:ind w:firstLine="481" w:firstLineChars="200"/>
        <w:rPr>
          <w:rFonts w:hint="eastAsia" w:eastAsia="仿宋_GB2312" w:cs="Times New Roman"/>
          <w:color w:val="000000"/>
          <w:sz w:val="24"/>
          <w:szCs w:val="24"/>
          <w:lang w:eastAsia="zh-CN" w:bidi="ar"/>
        </w:rPr>
      </w:pPr>
      <w:r>
        <w:rPr>
          <w:rFonts w:hint="eastAsia" w:eastAsia="仿宋_GB2312" w:cs="Times New Roman"/>
          <w:b/>
          <w:bCs/>
          <w:color w:val="000000"/>
          <w:sz w:val="24"/>
          <w:szCs w:val="24"/>
          <w:lang w:eastAsia="zh-CN" w:bidi="ar"/>
        </w:rPr>
        <w:t>资料申报和验收申请受理</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资料申报和验收申请受理应包括的主要流程</w:t>
      </w:r>
      <w:r>
        <w:rPr>
          <w:rFonts w:eastAsia="仿宋_GB2312" w:cs="Times New Roman"/>
          <w:color w:val="000000"/>
          <w:sz w:val="24"/>
          <w:szCs w:val="24"/>
          <w:lang w:eastAsia="zh-CN" w:bidi="ar"/>
        </w:rPr>
        <w:t>；</w:t>
      </w:r>
    </w:p>
    <w:p>
      <w:pPr>
        <w:widowControl/>
        <w:spacing w:line="360" w:lineRule="auto"/>
        <w:ind w:firstLine="481" w:firstLineChars="200"/>
        <w:rPr>
          <w:rFonts w:hint="eastAsia" w:eastAsia="仿宋_GB2312" w:cs="Times New Roman"/>
          <w:color w:val="000000"/>
          <w:sz w:val="24"/>
          <w:szCs w:val="24"/>
          <w:lang w:eastAsia="zh-CN" w:bidi="ar"/>
        </w:rPr>
      </w:pPr>
      <w:r>
        <w:rPr>
          <w:rFonts w:hint="eastAsia" w:eastAsia="仿宋_GB2312" w:cs="Times New Roman"/>
          <w:b/>
          <w:bCs/>
          <w:color w:val="000000"/>
          <w:sz w:val="24"/>
          <w:szCs w:val="24"/>
          <w:lang w:eastAsia="zh-CN" w:bidi="ar"/>
        </w:rPr>
        <w:t>简易验收</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简易验收应包括的主要流程</w:t>
      </w:r>
      <w:r>
        <w:rPr>
          <w:rFonts w:eastAsia="仿宋_GB2312" w:cs="Times New Roman"/>
          <w:color w:val="000000"/>
          <w:sz w:val="24"/>
          <w:szCs w:val="24"/>
          <w:lang w:eastAsia="zh-CN" w:bidi="ar"/>
        </w:rPr>
        <w:t>；</w:t>
      </w:r>
    </w:p>
    <w:p>
      <w:pPr>
        <w:widowControl/>
        <w:spacing w:line="360" w:lineRule="auto"/>
        <w:ind w:firstLine="481" w:firstLineChars="200"/>
        <w:rPr>
          <w:rFonts w:hint="eastAsia" w:eastAsia="仿宋_GB2312" w:cs="Times New Roman"/>
          <w:color w:val="000000"/>
          <w:sz w:val="24"/>
          <w:szCs w:val="24"/>
          <w:lang w:eastAsia="zh-CN" w:bidi="ar"/>
        </w:rPr>
      </w:pPr>
      <w:r>
        <w:rPr>
          <w:rFonts w:hint="eastAsia" w:eastAsia="仿宋_GB2312" w:cs="Times New Roman"/>
          <w:b/>
          <w:bCs/>
          <w:color w:val="000000"/>
          <w:sz w:val="24"/>
          <w:szCs w:val="24"/>
          <w:lang w:eastAsia="zh-CN" w:bidi="ar"/>
        </w:rPr>
        <w:t>一般验收</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一般验收应包括的主要流程;</w:t>
      </w:r>
    </w:p>
    <w:p>
      <w:pPr>
        <w:widowControl/>
        <w:spacing w:line="360" w:lineRule="auto"/>
        <w:ind w:firstLine="481" w:firstLineChars="200"/>
        <w:rPr>
          <w:rFonts w:hint="eastAsia" w:eastAsia="仿宋_GB2312" w:cs="Times New Roman"/>
          <w:color w:val="000000"/>
          <w:sz w:val="24"/>
          <w:szCs w:val="24"/>
          <w:lang w:eastAsia="zh-CN" w:bidi="ar"/>
        </w:rPr>
      </w:pPr>
      <w:r>
        <w:rPr>
          <w:rFonts w:hint="eastAsia" w:eastAsia="仿宋_GB2312" w:cs="Times New Roman"/>
          <w:b/>
          <w:bCs/>
          <w:color w:val="000000"/>
          <w:sz w:val="24"/>
          <w:szCs w:val="24"/>
          <w:lang w:eastAsia="zh-CN" w:bidi="ar"/>
        </w:rPr>
        <w:t>验收成果</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验收成果运用的主要流程;</w:t>
      </w:r>
    </w:p>
    <w:p>
      <w:pPr>
        <w:widowControl/>
        <w:spacing w:line="360" w:lineRule="auto"/>
        <w:ind w:firstLine="481" w:firstLineChars="200"/>
        <w:rPr>
          <w:rFonts w:hint="eastAsia" w:eastAsia="仿宋_GB2312" w:cs="Times New Roman"/>
          <w:color w:val="000000"/>
          <w:sz w:val="24"/>
          <w:szCs w:val="24"/>
          <w:lang w:eastAsia="zh-CN" w:bidi="ar"/>
        </w:rPr>
      </w:pPr>
      <w:r>
        <w:rPr>
          <w:rFonts w:hint="eastAsia" w:eastAsia="仿宋_GB2312" w:cs="Times New Roman"/>
          <w:b/>
          <w:bCs/>
          <w:color w:val="000000"/>
          <w:sz w:val="24"/>
          <w:szCs w:val="24"/>
          <w:lang w:eastAsia="zh-CN" w:bidi="ar"/>
        </w:rPr>
        <w:t>档案管理</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档案管理的主要流程;</w:t>
      </w:r>
    </w:p>
    <w:p>
      <w:pPr>
        <w:widowControl/>
        <w:spacing w:line="360" w:lineRule="auto"/>
        <w:ind w:firstLine="481" w:firstLineChars="200"/>
        <w:rPr>
          <w:rFonts w:hint="eastAsia" w:eastAsia="仿宋_GB2312" w:cs="Times New Roman"/>
          <w:color w:val="000000"/>
          <w:sz w:val="24"/>
          <w:szCs w:val="24"/>
          <w:lang w:eastAsia="zh-CN" w:bidi="ar"/>
        </w:rPr>
      </w:pPr>
      <w:r>
        <w:rPr>
          <w:rFonts w:hint="eastAsia" w:eastAsia="仿宋_GB2312" w:cs="Times New Roman"/>
          <w:b/>
          <w:bCs/>
          <w:color w:val="000000"/>
          <w:sz w:val="24"/>
          <w:szCs w:val="24"/>
          <w:lang w:eastAsia="zh-CN" w:bidi="ar"/>
        </w:rPr>
        <w:t>附录</w:t>
      </w:r>
      <w:r>
        <w:rPr>
          <w:rFonts w:eastAsia="仿宋_GB2312" w:cs="Times New Roman"/>
          <w:color w:val="000000"/>
          <w:sz w:val="24"/>
          <w:szCs w:val="24"/>
          <w:lang w:eastAsia="zh-CN" w:bidi="ar"/>
        </w:rPr>
        <w:t>--规定了</w:t>
      </w:r>
      <w:r>
        <w:rPr>
          <w:rFonts w:hint="eastAsia" w:eastAsia="仿宋_GB2312" w:cs="Times New Roman"/>
          <w:color w:val="000000"/>
          <w:sz w:val="24"/>
          <w:szCs w:val="24"/>
          <w:lang w:eastAsia="zh-CN" w:bidi="ar"/>
        </w:rPr>
        <w:t>申报资料清单、承诺、评分（价）表、结论表、主要表、整改意见表、资料存档清单、</w:t>
      </w:r>
      <w:r>
        <w:rPr>
          <w:rFonts w:hint="eastAsia" w:eastAsia="仿宋_GB2312"/>
          <w:color w:val="000000" w:themeColor="text1"/>
          <w:sz w:val="24"/>
          <w:szCs w:val="24"/>
          <w:lang w:eastAsia="zh-CN"/>
          <w14:textFill>
            <w14:solidFill>
              <w14:schemeClr w14:val="tx1"/>
            </w14:solidFill>
          </w14:textFill>
        </w:rPr>
        <w:t>试运行情况报告、整改报告</w:t>
      </w:r>
      <w:r>
        <w:rPr>
          <w:rFonts w:eastAsia="仿宋_GB2312" w:cs="Times New Roman"/>
          <w:color w:val="000000"/>
          <w:sz w:val="24"/>
          <w:szCs w:val="24"/>
          <w:lang w:eastAsia="zh-CN" w:bidi="ar"/>
        </w:rPr>
        <w:t>。</w:t>
      </w:r>
    </w:p>
    <w:p>
      <w:pPr>
        <w:widowControl/>
        <w:spacing w:line="360" w:lineRule="auto"/>
        <w:ind w:firstLine="480" w:firstLineChars="200"/>
        <w:rPr>
          <w:rFonts w:hint="eastAsia" w:eastAsia="仿宋_GB2312" w:cs="Times New Roman"/>
          <w:sz w:val="24"/>
          <w:szCs w:val="24"/>
          <w:lang w:eastAsia="zh-CN" w:bidi="ar"/>
        </w:rPr>
      </w:pPr>
      <w:r>
        <w:rPr>
          <w:rFonts w:eastAsia="仿宋_GB2312" w:cs="Times New Roman"/>
          <w:sz w:val="24"/>
          <w:szCs w:val="24"/>
          <w:lang w:eastAsia="zh-CN" w:bidi="ar"/>
        </w:rPr>
        <w:t>（二）来源依据</w:t>
      </w:r>
    </w:p>
    <w:p>
      <w:pPr>
        <w:widowControl/>
        <w:spacing w:line="360" w:lineRule="auto"/>
        <w:ind w:firstLine="480" w:firstLineChars="200"/>
        <w:rPr>
          <w:rFonts w:hint="eastAsia" w:eastAsia="仿宋_GB2312" w:cs="Times New Roman"/>
          <w:sz w:val="24"/>
          <w:szCs w:val="24"/>
          <w:lang w:eastAsia="zh-CN" w:bidi="ar"/>
        </w:rPr>
      </w:pPr>
      <w:r>
        <w:rPr>
          <w:rFonts w:eastAsia="仿宋_GB2312" w:cs="Times New Roman"/>
          <w:sz w:val="24"/>
          <w:szCs w:val="24"/>
          <w:lang w:eastAsia="zh-CN" w:bidi="ar"/>
        </w:rPr>
        <w:t>1、文件依据</w:t>
      </w:r>
    </w:p>
    <w:p>
      <w:pPr>
        <w:spacing w:line="360" w:lineRule="auto"/>
        <w:ind w:firstLine="560"/>
        <w:rPr>
          <w:rFonts w:hint="eastAsia" w:eastAsia="仿宋_GB2312" w:cs="Times New Roman"/>
          <w:color w:val="000000"/>
          <w:sz w:val="24"/>
          <w:szCs w:val="24"/>
          <w:lang w:eastAsia="zh-CN" w:bidi="ar"/>
        </w:rPr>
      </w:pPr>
      <w:r>
        <w:rPr>
          <w:rFonts w:eastAsia="仿宋_GB2312" w:cs="Times New Roman"/>
          <w:color w:val="000000"/>
          <w:sz w:val="24"/>
          <w:szCs w:val="24"/>
          <w:lang w:eastAsia="zh-CN" w:bidi="ar"/>
        </w:rPr>
        <w:t>《</w:t>
      </w:r>
      <w:r>
        <w:rPr>
          <w:rFonts w:eastAsia="仿宋_GB2312" w:cs="Times New Roman"/>
          <w:color w:val="000000"/>
          <w:sz w:val="24"/>
          <w:szCs w:val="24"/>
          <w:shd w:val="clear" w:color="auto" w:fill="FFFFFF"/>
          <w:lang w:eastAsia="zh-CN" w:bidi="ar"/>
        </w:rPr>
        <w:t>中华人民共和国水法</w:t>
      </w:r>
      <w:r>
        <w:rPr>
          <w:rFonts w:eastAsia="仿宋_GB2312" w:cs="Times New Roman"/>
          <w:color w:val="000000"/>
          <w:sz w:val="24"/>
          <w:szCs w:val="24"/>
          <w:lang w:eastAsia="zh-CN" w:bidi="ar"/>
        </w:rPr>
        <w:t>》《取水许可和水资源费征收管理条例》（</w:t>
      </w:r>
      <w:r>
        <w:rPr>
          <w:rFonts w:eastAsia="仿宋_GB2312" w:cs="Times New Roman"/>
          <w:color w:val="000000"/>
          <w:sz w:val="24"/>
          <w:szCs w:val="24"/>
          <w:shd w:val="clear" w:color="auto" w:fill="FFFFFF"/>
          <w:lang w:eastAsia="zh-CN" w:bidi="ar"/>
        </w:rPr>
        <w:t>中华人民共和国国务院令第 460 号</w:t>
      </w:r>
      <w:r>
        <w:rPr>
          <w:rFonts w:eastAsia="仿宋_GB2312" w:cs="Times New Roman"/>
          <w:color w:val="000000"/>
          <w:sz w:val="24"/>
          <w:szCs w:val="24"/>
          <w:lang w:eastAsia="zh-CN" w:bidi="ar"/>
        </w:rPr>
        <w:t>）、《</w:t>
      </w:r>
      <w:r>
        <w:rPr>
          <w:rFonts w:eastAsia="仿宋_GB2312" w:cs="Times New Roman"/>
          <w:color w:val="000000"/>
          <w:sz w:val="24"/>
          <w:szCs w:val="24"/>
          <w:shd w:val="clear" w:color="auto" w:fill="FFFFFF"/>
          <w:lang w:eastAsia="zh-CN" w:bidi="ar"/>
        </w:rPr>
        <w:t>取水许可管理办法</w:t>
      </w:r>
      <w:r>
        <w:rPr>
          <w:rFonts w:eastAsia="仿宋_GB2312" w:cs="Times New Roman"/>
          <w:color w:val="000000"/>
          <w:sz w:val="24"/>
          <w:szCs w:val="24"/>
          <w:lang w:eastAsia="zh-CN" w:bidi="ar"/>
        </w:rPr>
        <w:t>》</w:t>
      </w:r>
      <w:r>
        <w:rPr>
          <w:rFonts w:hint="eastAsia" w:eastAsia="仿宋_GB2312" w:cs="Times New Roman"/>
          <w:color w:val="000000"/>
          <w:sz w:val="24"/>
          <w:szCs w:val="24"/>
          <w:lang w:eastAsia="zh-CN" w:bidi="ar"/>
        </w:rPr>
        <w:t>等</w:t>
      </w:r>
      <w:r>
        <w:rPr>
          <w:rFonts w:eastAsia="仿宋_GB2312" w:cs="Times New Roman"/>
          <w:color w:val="000000"/>
          <w:sz w:val="24"/>
          <w:szCs w:val="24"/>
          <w:lang w:eastAsia="zh-CN" w:bidi="ar"/>
        </w:rPr>
        <w:t>。</w:t>
      </w:r>
    </w:p>
    <w:p>
      <w:pPr>
        <w:widowControl/>
        <w:spacing w:line="360" w:lineRule="auto"/>
        <w:ind w:firstLine="480" w:firstLineChars="200"/>
        <w:rPr>
          <w:rFonts w:hint="eastAsia" w:eastAsia="仿宋_GB2312" w:cs="Times New Roman"/>
          <w:sz w:val="24"/>
          <w:szCs w:val="24"/>
          <w:lang w:eastAsia="zh-CN" w:bidi="ar"/>
        </w:rPr>
      </w:pPr>
      <w:r>
        <w:rPr>
          <w:rFonts w:eastAsia="仿宋_GB2312" w:cs="Times New Roman"/>
          <w:sz w:val="24"/>
          <w:szCs w:val="24"/>
          <w:lang w:eastAsia="zh-CN" w:bidi="ar"/>
        </w:rPr>
        <w:t>2、依据</w:t>
      </w:r>
      <w:r>
        <w:rPr>
          <w:rFonts w:hint="eastAsia" w:eastAsia="仿宋_GB2312" w:cs="Times New Roman"/>
          <w:sz w:val="24"/>
          <w:szCs w:val="24"/>
          <w:lang w:eastAsia="zh-CN" w:bidi="ar"/>
        </w:rPr>
        <w:t>规范、标准、导则</w:t>
      </w:r>
    </w:p>
    <w:p>
      <w:pPr>
        <w:spacing w:line="360" w:lineRule="auto"/>
        <w:ind w:firstLine="560"/>
        <w:rPr>
          <w:rFonts w:hint="eastAsia" w:eastAsia="仿宋_GB2312" w:cs="Times New Roman"/>
          <w:color w:val="000000"/>
          <w:sz w:val="24"/>
          <w:szCs w:val="24"/>
          <w:lang w:eastAsia="zh-CN" w:bidi="ar"/>
        </w:rPr>
      </w:pPr>
      <w:bookmarkStart w:id="1" w:name="_Toc121238110"/>
      <w:r>
        <w:rPr>
          <w:rFonts w:hint="eastAsia" w:eastAsia="仿宋_GB2312" w:cs="Times New Roman"/>
          <w:color w:val="000000"/>
          <w:sz w:val="24"/>
          <w:szCs w:val="24"/>
          <w:lang w:eastAsia="zh-CN" w:bidi="ar"/>
        </w:rPr>
        <w:t>GB/T 12452  水平衡测试通则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24789  用水单位水计量器具配备和管理通则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28714  取水计量技术导则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35580  建设项目水资源论证导则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GB/T 50625  机井技术规范</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JJF 2211  重点取用水单位计量审查规范</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 716  水利水电工程验收规程</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SL/T 1  水利技术标准编写规程</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SL/T 365  水资源水量监测技术导则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SL/T 816  电子证照 取水许可证</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SL/T 819  水库生态流量泄放规程</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SL/T 820  水利水电工程生态流量计算与泄放设计规范</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T-CHES 120  农灌机电井以电折水技术规程</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T/CHES 138  建设项目取水工程核验技术规范</w:t>
      </w:r>
    </w:p>
    <w:p>
      <w:pPr>
        <w:pStyle w:val="3"/>
        <w:spacing w:line="360" w:lineRule="auto"/>
        <w:jc w:val="both"/>
        <w:rPr>
          <w:rFonts w:hint="eastAsia" w:cs="Times New Roman"/>
          <w:sz w:val="28"/>
          <w:szCs w:val="28"/>
          <w:lang w:eastAsia="zh-CN"/>
        </w:rPr>
      </w:pPr>
      <w:r>
        <w:rPr>
          <w:rFonts w:hint="eastAsia" w:cs="Times New Roman"/>
          <w:sz w:val="28"/>
          <w:szCs w:val="28"/>
          <w:lang w:eastAsia="zh-CN"/>
        </w:rPr>
        <w:t>三、专利情况说明</w:t>
      </w:r>
    </w:p>
    <w:p>
      <w:pPr>
        <w:spacing w:line="360" w:lineRule="auto"/>
        <w:ind w:firstLine="560"/>
        <w:rPr>
          <w:rFonts w:hint="eastAsia" w:eastAsia="仿宋_GB2312" w:cs="Times New Roman"/>
          <w:color w:val="000000"/>
          <w:sz w:val="24"/>
          <w:szCs w:val="24"/>
          <w:lang w:eastAsia="zh-CN" w:bidi="ar"/>
        </w:rPr>
      </w:pPr>
      <w:r>
        <w:rPr>
          <w:rFonts w:eastAsia="仿宋_GB2312" w:cs="Times New Roman"/>
          <w:color w:val="000000"/>
          <w:sz w:val="24"/>
          <w:szCs w:val="24"/>
          <w:lang w:eastAsia="zh-CN" w:bidi="ar"/>
        </w:rPr>
        <w:t>1、目前尚未</w:t>
      </w:r>
      <w:r>
        <w:rPr>
          <w:rFonts w:hint="eastAsia" w:eastAsia="仿宋_GB2312" w:cs="Times New Roman"/>
          <w:color w:val="000000"/>
          <w:sz w:val="24"/>
          <w:szCs w:val="24"/>
          <w:lang w:eastAsia="zh-CN" w:bidi="ar"/>
        </w:rPr>
        <w:t>收到</w:t>
      </w:r>
      <w:r>
        <w:rPr>
          <w:rFonts w:eastAsia="仿宋_GB2312" w:cs="Times New Roman"/>
          <w:color w:val="000000"/>
          <w:sz w:val="24"/>
          <w:szCs w:val="24"/>
          <w:lang w:eastAsia="zh-CN" w:bidi="ar"/>
        </w:rPr>
        <w:t>标准涉及专利的反馈信息。</w:t>
      </w:r>
    </w:p>
    <w:p>
      <w:pPr>
        <w:spacing w:line="360" w:lineRule="auto"/>
        <w:ind w:firstLine="560"/>
        <w:rPr>
          <w:rFonts w:hint="eastAsia" w:eastAsia="仿宋_GB2312" w:cs="Times New Roman"/>
          <w:color w:val="000000"/>
          <w:sz w:val="24"/>
          <w:szCs w:val="24"/>
          <w:lang w:eastAsia="zh-CN" w:bidi="ar"/>
        </w:rPr>
      </w:pPr>
      <w:r>
        <w:rPr>
          <w:rFonts w:eastAsia="仿宋_GB2312" w:cs="Times New Roman"/>
          <w:color w:val="000000"/>
          <w:sz w:val="24"/>
          <w:szCs w:val="24"/>
          <w:lang w:eastAsia="zh-CN" w:bidi="ar"/>
        </w:rPr>
        <w:t>2、</w:t>
      </w:r>
      <w:r>
        <w:rPr>
          <w:rFonts w:hint="eastAsia" w:eastAsia="仿宋_GB2312" w:cs="Times New Roman"/>
          <w:color w:val="000000"/>
          <w:sz w:val="24"/>
          <w:szCs w:val="24"/>
          <w:lang w:eastAsia="zh-CN" w:bidi="ar"/>
        </w:rPr>
        <w:t>在征求意见稿、送审稿封面上，写上专利通</w:t>
      </w:r>
      <w:r>
        <w:rPr>
          <w:rFonts w:eastAsia="仿宋_GB2312" w:cs="Times New Roman"/>
          <w:color w:val="000000"/>
          <w:sz w:val="24"/>
          <w:szCs w:val="24"/>
          <w:lang w:eastAsia="zh-CN" w:bidi="ar"/>
        </w:rPr>
        <w:t>知性的文字：“</w:t>
      </w:r>
      <w:r>
        <w:rPr>
          <w:rFonts w:hint="eastAsia" w:eastAsia="仿宋_GB2312" w:cs="Times New Roman"/>
          <w:color w:val="000000"/>
          <w:sz w:val="24"/>
          <w:szCs w:val="24"/>
          <w:lang w:eastAsia="zh-CN" w:bidi="ar"/>
        </w:rPr>
        <w:t>在提交反馈意见时，请将您知道的相关专利连同支持性文件一并附上。</w:t>
      </w:r>
      <w:r>
        <w:rPr>
          <w:rFonts w:eastAsia="仿宋_GB2312" w:cs="Times New Roman"/>
          <w:color w:val="000000"/>
          <w:sz w:val="24"/>
          <w:szCs w:val="24"/>
          <w:lang w:eastAsia="zh-CN" w:bidi="ar"/>
        </w:rPr>
        <w:t>”。</w:t>
      </w:r>
    </w:p>
    <w:p>
      <w:pPr>
        <w:spacing w:line="360" w:lineRule="auto"/>
        <w:ind w:firstLine="560"/>
        <w:rPr>
          <w:rFonts w:hint="eastAsia" w:eastAsia="仿宋_GB2312" w:cs="Times New Roman"/>
          <w:color w:val="000000"/>
          <w:sz w:val="24"/>
          <w:szCs w:val="24"/>
          <w:lang w:eastAsia="zh-CN" w:bidi="ar"/>
        </w:rPr>
      </w:pPr>
      <w:r>
        <w:rPr>
          <w:rFonts w:eastAsia="仿宋_GB2312" w:cs="Times New Roman"/>
          <w:color w:val="000000"/>
          <w:sz w:val="24"/>
          <w:szCs w:val="24"/>
          <w:lang w:eastAsia="zh-CN" w:bidi="ar"/>
        </w:rPr>
        <w:t>3</w:t>
      </w:r>
      <w:r>
        <w:rPr>
          <w:rFonts w:hint="eastAsia" w:eastAsia="仿宋_GB2312" w:cs="Times New Roman"/>
          <w:color w:val="000000"/>
          <w:sz w:val="24"/>
          <w:szCs w:val="24"/>
          <w:lang w:eastAsia="zh-CN" w:bidi="ar"/>
        </w:rPr>
        <w:t>、在标准的前言中对专利的处置进行了声明：“</w:t>
      </w:r>
      <w:r>
        <w:rPr>
          <w:rFonts w:eastAsia="仿宋_GB2312" w:cs="Times New Roman"/>
          <w:color w:val="000000"/>
          <w:sz w:val="24"/>
          <w:szCs w:val="24"/>
          <w:lang w:eastAsia="zh-CN" w:bidi="ar"/>
        </w:rPr>
        <w:t>请注意本标准的某些内容可能涉及专利，本标准的发布机构不承担识别这些专利的责任。”</w:t>
      </w:r>
    </w:p>
    <w:p>
      <w:pPr>
        <w:pStyle w:val="3"/>
        <w:spacing w:line="360" w:lineRule="auto"/>
        <w:jc w:val="both"/>
        <w:rPr>
          <w:rFonts w:hint="eastAsia" w:cs="Times New Roman"/>
          <w:sz w:val="28"/>
          <w:szCs w:val="28"/>
          <w:lang w:eastAsia="zh-CN"/>
        </w:rPr>
      </w:pPr>
      <w:r>
        <w:rPr>
          <w:rFonts w:hint="eastAsia" w:cs="Times New Roman"/>
          <w:sz w:val="28"/>
          <w:szCs w:val="28"/>
          <w:lang w:eastAsia="zh-CN"/>
        </w:rPr>
        <w:t>四、与相关标准的关系分析</w:t>
      </w:r>
    </w:p>
    <w:bookmarkEnd w:id="1"/>
    <w:p>
      <w:pPr>
        <w:spacing w:line="360" w:lineRule="auto"/>
        <w:ind w:firstLine="560"/>
        <w:rPr>
          <w:rFonts w:hint="eastAsia" w:eastAsia="仿宋_GB2312" w:cs="Times New Roman"/>
          <w:color w:val="000000"/>
          <w:sz w:val="24"/>
          <w:szCs w:val="24"/>
          <w:lang w:eastAsia="zh-CN" w:bidi="ar"/>
        </w:rPr>
      </w:pPr>
      <w:r>
        <w:rPr>
          <w:rFonts w:eastAsia="仿宋_GB2312" w:cs="Times New Roman"/>
          <w:color w:val="000000"/>
          <w:sz w:val="24"/>
          <w:szCs w:val="24"/>
          <w:lang w:eastAsia="zh-CN" w:bidi="ar"/>
        </w:rPr>
        <w:t>制定本标准时依据并引用了国内有关现行标准，也不违背国内其它行业标准、法律、法规及强制性标准的有关规定。本标准中涉及相关标准的引用信息，均进行了协调一致性的校核。</w:t>
      </w:r>
    </w:p>
    <w:p>
      <w:pPr>
        <w:pStyle w:val="3"/>
        <w:spacing w:line="360" w:lineRule="auto"/>
        <w:jc w:val="both"/>
        <w:rPr>
          <w:rFonts w:hint="eastAsia" w:cs="Times New Roman"/>
          <w:sz w:val="28"/>
          <w:szCs w:val="28"/>
          <w:lang w:eastAsia="zh-CN"/>
        </w:rPr>
      </w:pPr>
      <w:bookmarkStart w:id="2" w:name="_Toc121238111"/>
      <w:r>
        <w:rPr>
          <w:rFonts w:hint="eastAsia" w:cs="Times New Roman"/>
          <w:sz w:val="28"/>
          <w:szCs w:val="28"/>
          <w:lang w:eastAsia="zh-CN"/>
        </w:rPr>
        <w:t>五、重大分歧或重难点的处理经过和依据</w:t>
      </w:r>
      <w:bookmarkEnd w:id="2"/>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无。</w:t>
      </w:r>
    </w:p>
    <w:p>
      <w:pPr>
        <w:pStyle w:val="3"/>
        <w:spacing w:line="360" w:lineRule="auto"/>
        <w:jc w:val="both"/>
        <w:rPr>
          <w:rFonts w:hint="eastAsia" w:cs="Times New Roman"/>
          <w:sz w:val="28"/>
          <w:szCs w:val="28"/>
          <w:lang w:eastAsia="zh-CN"/>
        </w:rPr>
      </w:pPr>
      <w:r>
        <w:rPr>
          <w:rFonts w:hint="eastAsia" w:cs="Times New Roman"/>
          <w:sz w:val="28"/>
          <w:szCs w:val="28"/>
          <w:lang w:eastAsia="zh-CN"/>
        </w:rPr>
        <w:t>六、预期效益（报批阶段填写）</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包括预期的经济效益、社会效益和生态环境效益。</w:t>
      </w:r>
    </w:p>
    <w:p>
      <w:pPr>
        <w:pStyle w:val="3"/>
        <w:spacing w:line="360" w:lineRule="auto"/>
        <w:jc w:val="both"/>
        <w:rPr>
          <w:rFonts w:hint="eastAsia" w:cs="Times New Roman"/>
          <w:sz w:val="28"/>
          <w:szCs w:val="28"/>
          <w:lang w:eastAsia="zh-CN"/>
        </w:rPr>
      </w:pPr>
      <w:r>
        <w:rPr>
          <w:rFonts w:hint="eastAsia" w:cs="Times New Roman"/>
          <w:sz w:val="28"/>
          <w:szCs w:val="28"/>
          <w:lang w:eastAsia="zh-CN"/>
        </w:rPr>
        <w:t>七、其他说明事项</w:t>
      </w:r>
    </w:p>
    <w:p>
      <w:pPr>
        <w:spacing w:line="360" w:lineRule="auto"/>
        <w:ind w:firstLine="560"/>
        <w:rPr>
          <w:rFonts w:hint="eastAsia" w:eastAsia="仿宋_GB2312" w:cs="Times New Roman"/>
          <w:color w:val="000000"/>
          <w:sz w:val="24"/>
          <w:szCs w:val="24"/>
          <w:lang w:eastAsia="zh-CN" w:bidi="ar"/>
        </w:rPr>
      </w:pPr>
      <w:r>
        <w:rPr>
          <w:rFonts w:hint="eastAsia" w:eastAsia="仿宋_GB2312" w:cs="Times New Roman"/>
          <w:color w:val="000000"/>
          <w:sz w:val="24"/>
          <w:szCs w:val="24"/>
          <w:lang w:eastAsia="zh-CN" w:bidi="ar"/>
        </w:rPr>
        <w:t>无。</w:t>
      </w:r>
    </w:p>
    <w:sectPr>
      <w:headerReference r:id="rId5" w:type="even"/>
      <w:footerReference r:id="rId6" w:type="even"/>
      <w:pgSz w:w="11910" w:h="16840"/>
      <w:pgMar w:top="1531" w:right="1985" w:bottom="1531" w:left="19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hint="eastAsia"/>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hint="eastAsia"/>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xN2MyNjUyMDIzODhlNTRlZjZjOTMzOTJhMGVjZDMifQ=="/>
  </w:docVars>
  <w:rsids>
    <w:rsidRoot w:val="008D332C"/>
    <w:rsid w:val="00087494"/>
    <w:rsid w:val="000B02CE"/>
    <w:rsid w:val="000C447D"/>
    <w:rsid w:val="000F299F"/>
    <w:rsid w:val="00102FA4"/>
    <w:rsid w:val="001723FB"/>
    <w:rsid w:val="001D0063"/>
    <w:rsid w:val="002764C1"/>
    <w:rsid w:val="00321005"/>
    <w:rsid w:val="00370580"/>
    <w:rsid w:val="00396E3D"/>
    <w:rsid w:val="003B33F3"/>
    <w:rsid w:val="003D1F6E"/>
    <w:rsid w:val="004038F7"/>
    <w:rsid w:val="00427EAC"/>
    <w:rsid w:val="00476810"/>
    <w:rsid w:val="004A013C"/>
    <w:rsid w:val="005E29F2"/>
    <w:rsid w:val="005F3A69"/>
    <w:rsid w:val="00622DF1"/>
    <w:rsid w:val="00635E8B"/>
    <w:rsid w:val="00642A6C"/>
    <w:rsid w:val="006628EC"/>
    <w:rsid w:val="00676502"/>
    <w:rsid w:val="006905A2"/>
    <w:rsid w:val="006C3686"/>
    <w:rsid w:val="006F432F"/>
    <w:rsid w:val="00734FB6"/>
    <w:rsid w:val="007C117B"/>
    <w:rsid w:val="007E0D0C"/>
    <w:rsid w:val="008146AE"/>
    <w:rsid w:val="008A7D32"/>
    <w:rsid w:val="008C0BED"/>
    <w:rsid w:val="008D2C17"/>
    <w:rsid w:val="008D332C"/>
    <w:rsid w:val="00917BAB"/>
    <w:rsid w:val="00937BFB"/>
    <w:rsid w:val="00972B7B"/>
    <w:rsid w:val="00983469"/>
    <w:rsid w:val="00984D84"/>
    <w:rsid w:val="009B5932"/>
    <w:rsid w:val="00A7132D"/>
    <w:rsid w:val="00A9505B"/>
    <w:rsid w:val="00AD61AB"/>
    <w:rsid w:val="00B228DD"/>
    <w:rsid w:val="00B26801"/>
    <w:rsid w:val="00B55430"/>
    <w:rsid w:val="00BB0C8E"/>
    <w:rsid w:val="00BB7DF7"/>
    <w:rsid w:val="00BC5D6A"/>
    <w:rsid w:val="00BD2C65"/>
    <w:rsid w:val="00BE1ED2"/>
    <w:rsid w:val="00C2513A"/>
    <w:rsid w:val="00C670A3"/>
    <w:rsid w:val="00CC2BCC"/>
    <w:rsid w:val="00CD39D3"/>
    <w:rsid w:val="00CE6D77"/>
    <w:rsid w:val="00D179CF"/>
    <w:rsid w:val="00D25D94"/>
    <w:rsid w:val="00D31838"/>
    <w:rsid w:val="00D45207"/>
    <w:rsid w:val="00D80890"/>
    <w:rsid w:val="00D92457"/>
    <w:rsid w:val="00DD6E6F"/>
    <w:rsid w:val="00E569E4"/>
    <w:rsid w:val="00E57EE2"/>
    <w:rsid w:val="00E65C7E"/>
    <w:rsid w:val="00E725F4"/>
    <w:rsid w:val="00E8288C"/>
    <w:rsid w:val="00EE73F5"/>
    <w:rsid w:val="00F71334"/>
    <w:rsid w:val="00F85FD2"/>
    <w:rsid w:val="00F941FE"/>
    <w:rsid w:val="08607E95"/>
    <w:rsid w:val="0BCA3494"/>
    <w:rsid w:val="182E6840"/>
    <w:rsid w:val="1C7C7712"/>
    <w:rsid w:val="1D440BCC"/>
    <w:rsid w:val="1EC73863"/>
    <w:rsid w:val="2270216F"/>
    <w:rsid w:val="28665E9B"/>
    <w:rsid w:val="28D64DCE"/>
    <w:rsid w:val="29D44611"/>
    <w:rsid w:val="30A61DF3"/>
    <w:rsid w:val="30C220DC"/>
    <w:rsid w:val="311227D0"/>
    <w:rsid w:val="3484562C"/>
    <w:rsid w:val="357B19C5"/>
    <w:rsid w:val="372D2697"/>
    <w:rsid w:val="3744384B"/>
    <w:rsid w:val="3B1245AD"/>
    <w:rsid w:val="3C0E5615"/>
    <w:rsid w:val="3EFA6DD7"/>
    <w:rsid w:val="3F165537"/>
    <w:rsid w:val="3F2830F9"/>
    <w:rsid w:val="419F4DAC"/>
    <w:rsid w:val="46690BD8"/>
    <w:rsid w:val="59EF8885"/>
    <w:rsid w:val="5A987E65"/>
    <w:rsid w:val="5CDC48C5"/>
    <w:rsid w:val="5EDB9ADC"/>
    <w:rsid w:val="61985F01"/>
    <w:rsid w:val="62DA6C60"/>
    <w:rsid w:val="63FF1835"/>
    <w:rsid w:val="667E01F8"/>
    <w:rsid w:val="669C24AC"/>
    <w:rsid w:val="68540EE4"/>
    <w:rsid w:val="6D1B05CF"/>
    <w:rsid w:val="6E4F0506"/>
    <w:rsid w:val="79176C1A"/>
    <w:rsid w:val="7BEB3862"/>
    <w:rsid w:val="7D0E30D2"/>
    <w:rsid w:val="7D376633"/>
    <w:rsid w:val="7E8104AE"/>
    <w:rsid w:val="BE3D3ACF"/>
    <w:rsid w:val="CE7EF911"/>
    <w:rsid w:val="FAFE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en-US"/>
    </w:rPr>
  </w:style>
  <w:style w:type="paragraph" w:styleId="3">
    <w:name w:val="heading 1"/>
    <w:basedOn w:val="1"/>
    <w:next w:val="1"/>
    <w:link w:val="12"/>
    <w:qFormat/>
    <w:uiPriority w:val="1"/>
    <w:pPr>
      <w:spacing w:before="56"/>
      <w:jc w:val="center"/>
      <w:outlineLvl w:val="0"/>
    </w:pPr>
    <w:rPr>
      <w:rFonts w:ascii="黑体" w:hAnsi="黑体" w:eastAsia="黑体" w:cs="黑体"/>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pPr>
      <w:autoSpaceDE/>
      <w:autoSpaceDN/>
      <w:jc w:val="both"/>
    </w:pPr>
    <w:rPr>
      <w:rFonts w:hAnsi="Courier New" w:cs="黑体"/>
      <w:kern w:val="2"/>
      <w:sz w:val="21"/>
      <w:lang w:eastAsia="zh-CN" w:bidi="ar-SA"/>
    </w:rPr>
  </w:style>
  <w:style w:type="paragraph" w:styleId="4">
    <w:name w:val="Body Text"/>
    <w:basedOn w:val="1"/>
    <w:next w:val="1"/>
    <w:link w:val="13"/>
    <w:qFormat/>
    <w:uiPriority w:val="1"/>
    <w:rPr>
      <w:sz w:val="21"/>
      <w:szCs w:val="21"/>
    </w:rPr>
  </w:style>
  <w:style w:type="paragraph" w:styleId="5">
    <w:name w:val="Body Text Indent"/>
    <w:basedOn w:val="1"/>
    <w:link w:val="15"/>
    <w:semiHidden/>
    <w:unhideWhenUsed/>
    <w:qFormat/>
    <w:uiPriority w:val="99"/>
    <w:pPr>
      <w:spacing w:after="120"/>
      <w:ind w:left="420" w:leftChars="200"/>
    </w:pPr>
  </w:style>
  <w:style w:type="paragraph" w:styleId="6">
    <w:name w:val="footer"/>
    <w:basedOn w:val="1"/>
    <w:link w:val="19"/>
    <w:qFormat/>
    <w:uiPriority w:val="0"/>
    <w:pPr>
      <w:tabs>
        <w:tab w:val="center" w:pos="4153"/>
        <w:tab w:val="right" w:pos="8306"/>
      </w:tabs>
      <w:autoSpaceDE/>
      <w:autoSpaceDN/>
      <w:snapToGrid w:val="0"/>
    </w:pPr>
    <w:rPr>
      <w:rFonts w:ascii="Times New Roman" w:hAnsi="Times New Roman" w:cs="Times New Roman"/>
      <w:kern w:val="2"/>
      <w:sz w:val="18"/>
      <w:szCs w:val="18"/>
      <w:lang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5"/>
    <w:link w:val="16"/>
    <w:semiHidden/>
    <w:unhideWhenUsed/>
    <w:qFormat/>
    <w:uiPriority w:val="99"/>
    <w:pPr>
      <w:ind w:firstLine="420" w:firstLineChars="200"/>
    </w:pPr>
  </w:style>
  <w:style w:type="character" w:styleId="11">
    <w:name w:val="page number"/>
    <w:basedOn w:val="10"/>
    <w:qFormat/>
    <w:uiPriority w:val="0"/>
  </w:style>
  <w:style w:type="character" w:customStyle="1" w:styleId="12">
    <w:name w:val="标题 1 字符"/>
    <w:basedOn w:val="10"/>
    <w:link w:val="3"/>
    <w:qFormat/>
    <w:uiPriority w:val="1"/>
    <w:rPr>
      <w:rFonts w:ascii="黑体" w:hAnsi="黑体" w:eastAsia="黑体" w:cs="黑体"/>
      <w:kern w:val="0"/>
      <w:sz w:val="32"/>
      <w:szCs w:val="32"/>
      <w:lang w:eastAsia="en-US" w:bidi="en-US"/>
    </w:rPr>
  </w:style>
  <w:style w:type="character" w:customStyle="1" w:styleId="13">
    <w:name w:val="正文文本 字符"/>
    <w:basedOn w:val="10"/>
    <w:link w:val="4"/>
    <w:qFormat/>
    <w:uiPriority w:val="1"/>
    <w:rPr>
      <w:rFonts w:ascii="宋体" w:hAnsi="宋体" w:eastAsia="宋体" w:cs="宋体"/>
      <w:kern w:val="0"/>
      <w:szCs w:val="21"/>
      <w:lang w:eastAsia="en-US" w:bidi="en-US"/>
    </w:rPr>
  </w:style>
  <w:style w:type="character" w:customStyle="1" w:styleId="14">
    <w:name w:val="纯文本 字符"/>
    <w:basedOn w:val="10"/>
    <w:link w:val="2"/>
    <w:qFormat/>
    <w:uiPriority w:val="0"/>
    <w:rPr>
      <w:rFonts w:ascii="宋体" w:hAnsi="Courier New" w:eastAsia="宋体" w:cs="黑体"/>
    </w:rPr>
  </w:style>
  <w:style w:type="character" w:customStyle="1" w:styleId="15">
    <w:name w:val="正文文本缩进 字符"/>
    <w:basedOn w:val="10"/>
    <w:link w:val="5"/>
    <w:semiHidden/>
    <w:qFormat/>
    <w:uiPriority w:val="99"/>
    <w:rPr>
      <w:rFonts w:ascii="宋体" w:hAnsi="宋体" w:eastAsia="宋体" w:cs="宋体"/>
      <w:kern w:val="0"/>
      <w:sz w:val="22"/>
      <w:lang w:eastAsia="en-US" w:bidi="en-US"/>
    </w:rPr>
  </w:style>
  <w:style w:type="character" w:customStyle="1" w:styleId="16">
    <w:name w:val="正文文本首行缩进 2 字符"/>
    <w:basedOn w:val="15"/>
    <w:link w:val="8"/>
    <w:semiHidden/>
    <w:qFormat/>
    <w:uiPriority w:val="99"/>
    <w:rPr>
      <w:rFonts w:ascii="宋体" w:hAnsi="宋体" w:eastAsia="宋体" w:cs="宋体"/>
      <w:kern w:val="0"/>
      <w:sz w:val="22"/>
      <w:lang w:eastAsia="en-US" w:bidi="en-US"/>
    </w:rPr>
  </w:style>
  <w:style w:type="paragraph" w:customStyle="1" w:styleId="17">
    <w:name w:val="产品检验测试报告"/>
    <w:basedOn w:val="1"/>
    <w:qFormat/>
    <w:uiPriority w:val="0"/>
    <w:pPr>
      <w:autoSpaceDE/>
      <w:autoSpaceDN/>
      <w:jc w:val="both"/>
    </w:pPr>
    <w:rPr>
      <w:rFonts w:ascii="Times New Roman" w:hAnsi="Times New Roman" w:cs="Times New Roman"/>
      <w:kern w:val="2"/>
      <w:sz w:val="21"/>
      <w:szCs w:val="24"/>
      <w:lang w:eastAsia="zh-CN" w:bidi="ar-SA"/>
    </w:rPr>
  </w:style>
  <w:style w:type="paragraph" w:customStyle="1" w:styleId="18">
    <w:name w:val="Char Char Char Char Char Char Char"/>
    <w:basedOn w:val="1"/>
    <w:qFormat/>
    <w:uiPriority w:val="0"/>
    <w:pPr>
      <w:autoSpaceDE/>
      <w:autoSpaceDN/>
      <w:jc w:val="both"/>
    </w:pPr>
    <w:rPr>
      <w:rFonts w:cs="Times New Roman"/>
      <w:sz w:val="18"/>
      <w:szCs w:val="20"/>
      <w:lang w:eastAsia="zh-CN" w:bidi="ar-SA"/>
    </w:rPr>
  </w:style>
  <w:style w:type="character" w:customStyle="1" w:styleId="19">
    <w:name w:val="页脚 字符"/>
    <w:basedOn w:val="10"/>
    <w:link w:val="6"/>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418</Words>
  <Characters>2384</Characters>
  <Lines>19</Lines>
  <Paragraphs>5</Paragraphs>
  <TotalTime>0</TotalTime>
  <ScaleCrop>false</ScaleCrop>
  <LinksUpToDate>false</LinksUpToDate>
  <CharactersWithSpaces>2797</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2023-05-04T07:11:00Z</dcterms:created>
  <dc:creator>wml</dc:creator>
  <cp:lastModifiedBy>杨丹</cp:lastModifiedBy>
  <dcterms:modified xsi:type="dcterms:W3CDTF">2026-03-25T11:38:05Z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DA60053AFB9F4CB9973C4602174E10D0_13</vt:lpwstr>
  </property>
  <property fmtid="{D5CDD505-2E9C-101B-9397-08002B2CF9AE}" pid="4" name="KSOTemplateDocerSaveRecord">
    <vt:lpwstr>eyJoZGlkIjoiODA2MTJiYjc1NmUxZTY0MTNhMjFmNjhjMDQ0MTFjZDUiLCJ1c2VySWQiOiIxMTY3NTI1NTk3In0=</vt:lpwstr>
  </property>
</Properties>
</file>