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黑体" w:cs="Times New Roman"/>
          <w:snapToGrid w:val="0"/>
          <w:kern w:val="0"/>
          <w:sz w:val="44"/>
          <w:szCs w:val="44"/>
        </w:rPr>
      </w:pPr>
      <w:bookmarkStart w:id="3" w:name="_GoBack"/>
      <w:bookmarkEnd w:id="3"/>
    </w:p>
    <w:p>
      <w:pPr>
        <w:pStyle w:val="2"/>
      </w:pPr>
    </w:p>
    <w:p>
      <w:pPr>
        <w:widowControl/>
        <w:jc w:val="center"/>
        <w:rPr>
          <w:rFonts w:eastAsia="黑体" w:cs="Times New Roman"/>
          <w:snapToGrid w:val="0"/>
          <w:kern w:val="0"/>
          <w:sz w:val="44"/>
          <w:szCs w:val="44"/>
        </w:rPr>
      </w:pPr>
    </w:p>
    <w:p>
      <w:pPr>
        <w:widowControl/>
        <w:jc w:val="center"/>
        <w:rPr>
          <w:rFonts w:eastAsia="黑体" w:cs="Times New Roman"/>
          <w:snapToGrid w:val="0"/>
          <w:kern w:val="0"/>
          <w:sz w:val="44"/>
          <w:szCs w:val="44"/>
        </w:rPr>
      </w:pPr>
      <w:r>
        <w:rPr>
          <w:rFonts w:hint="eastAsia" w:eastAsia="黑体" w:cs="Times New Roman"/>
          <w:snapToGrid w:val="0"/>
          <w:kern w:val="0"/>
          <w:sz w:val="44"/>
          <w:szCs w:val="44"/>
        </w:rPr>
        <w:t>《</w:t>
      </w:r>
      <w:r>
        <w:rPr>
          <w:rFonts w:hint="default" w:ascii="Times New Roman" w:hAnsi="Times New Roman" w:eastAsia="黑体" w:cs="Times New Roman"/>
          <w:sz w:val="48"/>
          <w:szCs w:val="48"/>
          <w:lang w:val="en-US" w:eastAsia="zh-CN"/>
        </w:rPr>
        <w:t>水资源论证后评估技术导则</w:t>
      </w:r>
      <w:r>
        <w:rPr>
          <w:rFonts w:hint="eastAsia" w:eastAsia="黑体" w:cs="Times New Roman"/>
          <w:snapToGrid w:val="0"/>
          <w:kern w:val="0"/>
          <w:sz w:val="44"/>
          <w:szCs w:val="44"/>
        </w:rPr>
        <w:t>》</w:t>
      </w:r>
    </w:p>
    <w:p>
      <w:pPr>
        <w:widowControl/>
        <w:jc w:val="center"/>
        <w:rPr>
          <w:rFonts w:eastAsia="仿宋_GB2312" w:cs="Times New Roman"/>
          <w:snapToGrid w:val="0"/>
          <w:kern w:val="0"/>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widowControl/>
        <w:jc w:val="center"/>
        <w:rPr>
          <w:rFonts w:eastAsia="黑体" w:cs="Times New Roman"/>
          <w:snapToGrid w:val="0"/>
          <w:kern w:val="0"/>
          <w:sz w:val="44"/>
          <w:szCs w:val="44"/>
        </w:rPr>
      </w:pPr>
      <w:r>
        <w:rPr>
          <w:rFonts w:hint="eastAsia" w:eastAsia="黑体" w:cs="Times New Roman"/>
          <w:snapToGrid w:val="0"/>
          <w:kern w:val="0"/>
          <w:sz w:val="44"/>
          <w:szCs w:val="44"/>
        </w:rPr>
        <w:t>编制说明</w:t>
      </w: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pStyle w:val="2"/>
        <w:rPr>
          <w:rFonts w:ascii="Times New Roman" w:hAnsi="Times New Roman" w:cs="Times New Roman"/>
        </w:rPr>
      </w:pPr>
    </w:p>
    <w:p>
      <w:pPr>
        <w:rPr>
          <w:color w:val="000000"/>
          <w:sz w:val="48"/>
          <w:szCs w:val="48"/>
          <w:u w:val="single"/>
          <w:lang w:eastAsia="zh-CN"/>
        </w:rPr>
      </w:pPr>
    </w:p>
    <w:p>
      <w:pPr>
        <w:pStyle w:val="2"/>
        <w:rPr>
          <w:color w:val="000000"/>
          <w:sz w:val="48"/>
          <w:szCs w:val="48"/>
          <w:u w:val="single"/>
          <w:lang w:eastAsia="zh-CN"/>
        </w:rPr>
      </w:pPr>
    </w:p>
    <w:p>
      <w:pPr>
        <w:pStyle w:val="8"/>
        <w:ind w:left="440" w:firstLine="440"/>
        <w:rPr>
          <w:rFonts w:hint="eastAsia"/>
          <w:lang w:eastAsia="zh-CN"/>
        </w:rPr>
      </w:pPr>
    </w:p>
    <w:p>
      <w:pPr>
        <w:jc w:val="center"/>
        <w:rPr>
          <w:rFonts w:hint="eastAsia"/>
          <w:sz w:val="28"/>
          <w:szCs w:val="28"/>
          <w:lang w:eastAsia="zh-CN"/>
        </w:rPr>
        <w:sectPr>
          <w:footerReference r:id="rId3" w:type="default"/>
          <w:footerReference r:id="rId4" w:type="even"/>
          <w:pgSz w:w="11906" w:h="16838"/>
          <w:pgMar w:top="1440" w:right="1418" w:bottom="1440" w:left="1418" w:header="851" w:footer="992" w:gutter="0"/>
          <w:cols w:space="425" w:num="1"/>
          <w:docGrid w:type="lines" w:linePitch="312" w:charSpace="0"/>
        </w:sectPr>
      </w:pPr>
    </w:p>
    <w:p>
      <w:pPr>
        <w:pStyle w:val="3"/>
        <w:rPr>
          <w:rFonts w:ascii="宋体" w:hAnsi="宋体"/>
          <w:lang w:eastAsia="zh-CN"/>
        </w:rPr>
      </w:pPr>
      <w:r>
        <w:rPr>
          <w:rFonts w:hint="eastAsia" w:ascii="宋体" w:hAnsi="宋体"/>
          <w:lang w:eastAsia="zh-CN"/>
        </w:rPr>
        <w:t>编制说明</w:t>
      </w:r>
    </w:p>
    <w:p>
      <w:pPr>
        <w:pStyle w:val="3"/>
        <w:spacing w:line="360" w:lineRule="auto"/>
        <w:jc w:val="both"/>
        <w:rPr>
          <w:rFonts w:hint="eastAsia" w:eastAsia="黑体" w:cs="Times New Roman"/>
          <w:sz w:val="28"/>
          <w:szCs w:val="28"/>
          <w:lang w:eastAsia="zh-CN"/>
        </w:rPr>
      </w:pPr>
      <w:r>
        <w:rPr>
          <w:rFonts w:hint="eastAsia" w:eastAsia="黑体" w:cs="Times New Roman"/>
          <w:sz w:val="28"/>
          <w:szCs w:val="28"/>
          <w:lang w:eastAsia="zh-CN"/>
        </w:rPr>
        <w:t>一、工作简况</w:t>
      </w:r>
    </w:p>
    <w:p>
      <w:pPr>
        <w:snapToGrid w:val="0"/>
        <w:spacing w:line="360" w:lineRule="auto"/>
        <w:ind w:firstLine="480" w:firstLineChars="200"/>
        <w:rPr>
          <w:rFonts w:hint="eastAsia" w:eastAsia="仿宋_GB2312" w:cs="Times New Roman"/>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水资源论证是为贯彻落实水资源刚性约束要求和“以水定城、以水定地、以水定人、以水定产”原则，促进经济社会发展与水资源条件相适应，必须开展的一项重要工作。</w:t>
      </w:r>
    </w:p>
    <w:p>
      <w:pPr>
        <w:snapToGrid w:val="0"/>
        <w:spacing w:line="360" w:lineRule="auto"/>
        <w:ind w:firstLine="480" w:firstLineChars="200"/>
        <w:rPr>
          <w:rFonts w:hint="eastAsia" w:eastAsia="仿宋_GB2312" w:cs="Times New Roman"/>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为实行最严格的水资源管理制度，进一步落实水资源论证对建设项目取水、用水、退水的各项要求，促进水资源的合理配置和高效利用，2011年7月18日，水利部印发了《关于开展建设项目水资源论证后评估工作的通知》（办资源〔2011]329号），对已通过水资源论证审批并建成、运行的建设项目，开展水资源论证后评估工作，要求审查机关及时组织对报告书开展后评估工作。水利部于2020年制定印发了《关于进一步加强水资源论证工作的意见》（水资管〔2020〕225号），对“强化事中事后监管”等作出部署要求。</w:t>
      </w:r>
    </w:p>
    <w:p>
      <w:pPr>
        <w:spacing w:line="360" w:lineRule="auto"/>
        <w:ind w:firstLine="480" w:firstLineChars="200"/>
        <w:rPr>
          <w:rFonts w:ascii="Times New Roman" w:hAnsi="Times New Roman" w:eastAsia="仿宋_GB2312" w:cs="Times New Roman"/>
          <w:color w:val="000000" w:themeColor="text1"/>
          <w:kern w:val="0"/>
          <w:sz w:val="24"/>
          <w:szCs w:val="24"/>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目前水资源论证后评估工作缺少相关的技术准则和权威依据，难以准确把握好评估重点要点。本次提出的水资源论证后评估导则的制定与实施，将加强标准体系的建设和实施，确保水资源论证后评估的开展，将能加强企业节约用水与水资源保护的意识，对完善水资源论证制度和实施最严格的水资源管理制度具有重要的意义。</w:t>
      </w:r>
    </w:p>
    <w:p>
      <w:pPr>
        <w:pStyle w:val="3"/>
        <w:spacing w:line="360" w:lineRule="auto"/>
        <w:jc w:val="both"/>
        <w:rPr>
          <w:rFonts w:hint="eastAsia" w:eastAsia="黑体" w:cs="Times New Roman"/>
          <w:sz w:val="28"/>
          <w:szCs w:val="28"/>
          <w:lang w:eastAsia="zh-CN"/>
        </w:rPr>
      </w:pPr>
      <w:bookmarkStart w:id="0" w:name="_Toc121238108"/>
      <w:r>
        <w:rPr>
          <w:rFonts w:hint="eastAsia" w:eastAsia="黑体" w:cs="Times New Roman"/>
          <w:sz w:val="28"/>
          <w:szCs w:val="28"/>
          <w:lang w:eastAsia="zh-CN"/>
        </w:rPr>
        <w:t>二、主要内容说明及来源依据</w:t>
      </w:r>
      <w:bookmarkEnd w:id="0"/>
    </w:p>
    <w:p>
      <w:pPr>
        <w:spacing w:line="360" w:lineRule="auto"/>
        <w:ind w:firstLine="480" w:firstLineChars="200"/>
        <w:rPr>
          <w:rFonts w:hint="eastAsia" w:ascii="宋体" w:hAnsi="宋体" w:eastAsia="仿宋_GB2312" w:cs="宋体"/>
          <w:color w:val="000000" w:themeColor="text1"/>
          <w:sz w:val="24"/>
          <w:szCs w:val="24"/>
          <w:lang w:val="en-US" w:eastAsia="zh-CN"/>
          <w14:textFill>
            <w14:solidFill>
              <w14:schemeClr w14:val="tx1"/>
            </w14:solidFill>
          </w14:textFill>
        </w:rPr>
      </w:pPr>
      <w:r>
        <w:rPr>
          <w:rFonts w:hint="eastAsia" w:ascii="宋体" w:hAnsi="宋体" w:eastAsia="仿宋_GB2312" w:cs="宋体"/>
          <w:color w:val="000000" w:themeColor="text1"/>
          <w:sz w:val="24"/>
          <w:szCs w:val="24"/>
          <w:lang w:val="en-US" w:eastAsia="zh-CN"/>
          <w14:textFill>
            <w14:solidFill>
              <w14:schemeClr w14:val="tx1"/>
            </w14:solidFill>
          </w14:textFill>
        </w:rPr>
        <w:t>（一）主要内容</w:t>
      </w:r>
    </w:p>
    <w:p>
      <w:pPr>
        <w:spacing w:line="360" w:lineRule="auto"/>
        <w:ind w:firstLine="480" w:firstLineChars="200"/>
        <w:rPr>
          <w:rFonts w:hint="eastAsia" w:ascii="宋体" w:hAnsi="宋体" w:eastAsia="仿宋_GB2312" w:cs="宋体"/>
          <w:color w:val="000000" w:themeColor="text1"/>
          <w:sz w:val="24"/>
          <w:szCs w:val="24"/>
          <w:lang w:val="en-US" w:eastAsia="zh-CN"/>
          <w14:textFill>
            <w14:solidFill>
              <w14:schemeClr w14:val="tx1"/>
            </w14:solidFill>
          </w14:textFill>
        </w:rPr>
      </w:pPr>
      <w:r>
        <w:rPr>
          <w:rFonts w:hint="eastAsia" w:ascii="宋体" w:hAnsi="宋体" w:eastAsia="仿宋_GB2312" w:cs="宋体"/>
          <w:color w:val="000000" w:themeColor="text1"/>
          <w:sz w:val="24"/>
          <w:szCs w:val="24"/>
          <w:lang w:val="en-US" w:eastAsia="zh-CN"/>
          <w14:textFill>
            <w14:solidFill>
              <w14:schemeClr w14:val="tx1"/>
            </w14:solidFill>
          </w14:textFill>
        </w:rPr>
        <w:t>内容包括</w:t>
      </w:r>
      <w:r>
        <w:rPr>
          <w:rFonts w:hint="eastAsia" w:eastAsia="仿宋_GB2312" w:cs="宋体"/>
          <w:color w:val="000000" w:themeColor="text1"/>
          <w:sz w:val="24"/>
          <w:szCs w:val="24"/>
          <w:lang w:val="en-US" w:eastAsia="zh-CN"/>
          <w14:textFill>
            <w14:solidFill>
              <w14:schemeClr w14:val="tx1"/>
            </w14:solidFill>
          </w14:textFill>
        </w:rPr>
        <w:t>：</w:t>
      </w:r>
      <w:r>
        <w:rPr>
          <w:rFonts w:hint="eastAsia" w:ascii="宋体" w:hAnsi="宋体" w:eastAsia="仿宋_GB2312" w:cs="宋体"/>
          <w:color w:val="000000" w:themeColor="text1"/>
          <w:sz w:val="24"/>
          <w:szCs w:val="24"/>
          <w:lang w:val="en-US" w:eastAsia="zh-CN"/>
          <w14:textFill>
            <w14:solidFill>
              <w14:schemeClr w14:val="tx1"/>
            </w14:solidFill>
          </w14:textFill>
        </w:rPr>
        <w:t>1 范围、2 规范性引用文件、3 术语和定义、4 基本规定、5 建设项目水资源论证后评估、6 水资源论证区域评估、规划水资源论证后评估、7 附录</w:t>
      </w:r>
      <w:r>
        <w:rPr>
          <w:rFonts w:hint="eastAsia" w:eastAsia="仿宋_GB2312" w:cs="宋体"/>
          <w:color w:val="000000" w:themeColor="text1"/>
          <w:sz w:val="24"/>
          <w:szCs w:val="24"/>
          <w:lang w:val="en-US" w:eastAsia="zh-CN"/>
          <w14:textFill>
            <w14:solidFill>
              <w14:schemeClr w14:val="tx1"/>
            </w14:solidFill>
          </w14:textFill>
        </w:rPr>
        <w:t>（包括</w:t>
      </w:r>
      <w:r>
        <w:rPr>
          <w:rFonts w:hint="eastAsia" w:ascii="宋体" w:hAnsi="宋体" w:eastAsia="仿宋_GB2312" w:cs="宋体"/>
          <w:color w:val="000000" w:themeColor="text1"/>
          <w:sz w:val="24"/>
          <w:szCs w:val="24"/>
          <w:lang w:val="en-US" w:eastAsia="zh-CN"/>
          <w14:textFill>
            <w14:solidFill>
              <w14:schemeClr w14:val="tx1"/>
            </w14:solidFill>
          </w14:textFill>
        </w:rPr>
        <w:t xml:space="preserve">附录A 报告编制大纲、附录B </w:t>
      </w:r>
      <w:r>
        <w:rPr>
          <w:rFonts w:hint="eastAsia" w:eastAsia="仿宋_GB2312" w:cs="宋体"/>
          <w:color w:val="000000" w:themeColor="text1"/>
          <w:sz w:val="24"/>
          <w:szCs w:val="24"/>
          <w:lang w:val="en-US" w:eastAsia="zh-CN"/>
          <w14:textFill>
            <w14:solidFill>
              <w14:schemeClr w14:val="tx1"/>
            </w14:solidFill>
          </w14:textFill>
        </w:rPr>
        <w:t>附图附件</w:t>
      </w:r>
      <w:r>
        <w:rPr>
          <w:rFonts w:hint="eastAsia" w:ascii="宋体" w:hAnsi="宋体" w:eastAsia="仿宋_GB2312" w:cs="宋体"/>
          <w:color w:val="000000" w:themeColor="text1"/>
          <w:sz w:val="24"/>
          <w:szCs w:val="24"/>
          <w:lang w:val="en-US" w:eastAsia="zh-CN"/>
          <w14:textFill>
            <w14:solidFill>
              <w14:schemeClr w14:val="tx1"/>
            </w14:solidFill>
          </w14:textFill>
        </w:rPr>
        <w:t>、附录</w:t>
      </w:r>
      <w:r>
        <w:rPr>
          <w:rFonts w:hint="eastAsia" w:eastAsia="仿宋_GB2312" w:cs="宋体"/>
          <w:color w:val="000000" w:themeColor="text1"/>
          <w:sz w:val="24"/>
          <w:szCs w:val="24"/>
          <w:lang w:val="en-US" w:eastAsia="zh-CN"/>
          <w14:textFill>
            <w14:solidFill>
              <w14:schemeClr w14:val="tx1"/>
            </w14:solidFill>
          </w14:textFill>
        </w:rPr>
        <w:t>C</w:t>
      </w:r>
      <w:r>
        <w:rPr>
          <w:rFonts w:hint="eastAsia" w:ascii="宋体" w:hAnsi="宋体" w:eastAsia="仿宋_GB2312" w:cs="宋体"/>
          <w:color w:val="000000" w:themeColor="text1"/>
          <w:sz w:val="24"/>
          <w:szCs w:val="24"/>
          <w:lang w:val="en-US" w:eastAsia="zh-CN"/>
          <w14:textFill>
            <w14:solidFill>
              <w14:schemeClr w14:val="tx1"/>
            </w14:solidFill>
          </w14:textFill>
        </w:rPr>
        <w:t xml:space="preserve"> 基本情况表</w:t>
      </w:r>
      <w:r>
        <w:rPr>
          <w:rFonts w:hint="eastAsia" w:eastAsia="仿宋_GB2312" w:cs="宋体"/>
          <w:color w:val="000000" w:themeColor="text1"/>
          <w:sz w:val="24"/>
          <w:szCs w:val="24"/>
          <w:lang w:val="en-US" w:eastAsia="zh-CN"/>
          <w14:textFill>
            <w14:solidFill>
              <w14:schemeClr w14:val="tx1"/>
            </w14:solidFill>
          </w14:textFill>
        </w:rPr>
        <w:t>、</w:t>
      </w:r>
      <w:r>
        <w:rPr>
          <w:rFonts w:hint="eastAsia" w:ascii="宋体" w:hAnsi="宋体" w:eastAsia="仿宋_GB2312" w:cs="宋体"/>
          <w:color w:val="000000" w:themeColor="text1"/>
          <w:sz w:val="24"/>
          <w:szCs w:val="24"/>
          <w:lang w:val="en-US" w:eastAsia="zh-CN"/>
          <w14:textFill>
            <w14:solidFill>
              <w14:schemeClr w14:val="tx1"/>
            </w14:solidFill>
          </w14:textFill>
        </w:rPr>
        <w:t>附录</w:t>
      </w:r>
      <w:r>
        <w:rPr>
          <w:rFonts w:hint="eastAsia" w:eastAsia="仿宋_GB2312" w:cs="宋体"/>
          <w:color w:val="000000" w:themeColor="text1"/>
          <w:sz w:val="24"/>
          <w:szCs w:val="24"/>
          <w:lang w:val="en-US" w:eastAsia="zh-CN"/>
          <w14:textFill>
            <w14:solidFill>
              <w14:schemeClr w14:val="tx1"/>
            </w14:solidFill>
          </w14:textFill>
        </w:rPr>
        <w:t>D</w:t>
      </w:r>
      <w:r>
        <w:rPr>
          <w:rFonts w:hint="eastAsia" w:ascii="宋体" w:hAnsi="宋体" w:eastAsia="仿宋_GB2312" w:cs="宋体"/>
          <w:color w:val="000000" w:themeColor="text1"/>
          <w:sz w:val="24"/>
          <w:szCs w:val="24"/>
          <w:lang w:val="en-US" w:eastAsia="zh-CN"/>
          <w14:textFill>
            <w14:solidFill>
              <w14:schemeClr w14:val="tx1"/>
            </w14:solidFill>
          </w14:textFill>
        </w:rPr>
        <w:t xml:space="preserve"> </w:t>
      </w:r>
      <w:r>
        <w:rPr>
          <w:rFonts w:hint="eastAsia" w:eastAsia="仿宋_GB2312" w:cs="宋体"/>
          <w:color w:val="000000" w:themeColor="text1"/>
          <w:sz w:val="24"/>
          <w:szCs w:val="24"/>
          <w:lang w:val="en-US" w:eastAsia="zh-CN"/>
          <w14:textFill>
            <w14:solidFill>
              <w14:schemeClr w14:val="tx1"/>
            </w14:solidFill>
          </w14:textFill>
        </w:rPr>
        <w:t>问题清单）</w:t>
      </w:r>
      <w:r>
        <w:rPr>
          <w:rFonts w:hint="eastAsia" w:ascii="宋体" w:hAnsi="宋体" w:eastAsia="仿宋_GB2312" w:cs="宋体"/>
          <w:color w:val="000000" w:themeColor="text1"/>
          <w:sz w:val="24"/>
          <w:szCs w:val="24"/>
          <w:lang w:val="en-US" w:eastAsia="zh-CN"/>
          <w14:textFill>
            <w14:solidFill>
              <w14:schemeClr w14:val="tx1"/>
            </w14:solidFill>
          </w14:textFill>
        </w:rPr>
        <w:t>。</w:t>
      </w:r>
    </w:p>
    <w:p>
      <w:pPr>
        <w:widowControl/>
        <w:spacing w:line="360" w:lineRule="auto"/>
        <w:ind w:firstLine="481" w:firstLineChars="200"/>
        <w:rPr>
          <w:rFonts w:cs="Times New Roman"/>
          <w:sz w:val="24"/>
          <w:szCs w:val="24"/>
          <w:lang w:eastAsia="zh-CN"/>
        </w:rPr>
      </w:pPr>
      <w:r>
        <w:rPr>
          <w:rFonts w:eastAsia="仿宋_GB2312" w:cs="Times New Roman"/>
          <w:b/>
          <w:bCs/>
          <w:color w:val="000000"/>
          <w:sz w:val="24"/>
          <w:szCs w:val="24"/>
          <w:lang w:eastAsia="zh-CN" w:bidi="ar"/>
        </w:rPr>
        <w:t>范围</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 xml:space="preserve">适用范围； </w:t>
      </w:r>
    </w:p>
    <w:p>
      <w:pPr>
        <w:widowControl/>
        <w:spacing w:line="360" w:lineRule="auto"/>
        <w:ind w:firstLine="481" w:firstLineChars="200"/>
        <w:rPr>
          <w:rFonts w:cs="Times New Roman"/>
          <w:sz w:val="24"/>
          <w:szCs w:val="24"/>
          <w:lang w:eastAsia="zh-CN"/>
        </w:rPr>
      </w:pPr>
      <w:r>
        <w:rPr>
          <w:rFonts w:eastAsia="仿宋_GB2312" w:cs="Times New Roman"/>
          <w:b/>
          <w:bCs/>
          <w:color w:val="000000"/>
          <w:sz w:val="24"/>
          <w:szCs w:val="24"/>
          <w:lang w:eastAsia="zh-CN" w:bidi="ar"/>
        </w:rPr>
        <w:t>规范性引用文件</w:t>
      </w:r>
      <w:r>
        <w:rPr>
          <w:rFonts w:eastAsia="仿宋_GB2312" w:cs="Times New Roman"/>
          <w:color w:val="000000"/>
          <w:sz w:val="24"/>
          <w:szCs w:val="24"/>
          <w:lang w:eastAsia="zh-CN" w:bidi="ar"/>
        </w:rPr>
        <w:t>--</w:t>
      </w:r>
      <w:r>
        <w:rPr>
          <w:rFonts w:eastAsia="仿宋_GB2312" w:cs="Times New Roman"/>
          <w:sz w:val="24"/>
          <w:szCs w:val="24"/>
          <w:lang w:eastAsia="zh-CN" w:bidi="ar"/>
        </w:rPr>
        <w:t>列出</w:t>
      </w:r>
      <w:r>
        <w:rPr>
          <w:rFonts w:eastAsia="仿宋_GB2312" w:cs="Times New Roman"/>
          <w:color w:val="000000"/>
          <w:sz w:val="24"/>
          <w:szCs w:val="24"/>
          <w:lang w:eastAsia="zh-CN" w:bidi="ar"/>
        </w:rPr>
        <w:t>了</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参照的国家标准和行业标准</w:t>
      </w:r>
      <w:r>
        <w:rPr>
          <w:rFonts w:hint="eastAsia" w:eastAsia="仿宋_GB2312" w:cs="Times New Roman"/>
          <w:color w:val="000000"/>
          <w:sz w:val="24"/>
          <w:szCs w:val="24"/>
          <w:lang w:eastAsia="zh-CN" w:bidi="ar"/>
        </w:rPr>
        <w:t>、</w:t>
      </w:r>
      <w:r>
        <w:rPr>
          <w:rFonts w:hint="eastAsia" w:eastAsia="仿宋_GB2312" w:cs="Times New Roman"/>
          <w:color w:val="000000"/>
          <w:sz w:val="24"/>
          <w:szCs w:val="24"/>
          <w:lang w:val="en-US" w:eastAsia="zh-CN" w:bidi="ar"/>
        </w:rPr>
        <w:t>地方标准</w:t>
      </w:r>
      <w:r>
        <w:rPr>
          <w:rFonts w:eastAsia="仿宋_GB2312" w:cs="Times New Roman"/>
          <w:color w:val="000000"/>
          <w:sz w:val="24"/>
          <w:szCs w:val="24"/>
          <w:lang w:eastAsia="zh-CN" w:bidi="ar"/>
        </w:rPr>
        <w:t xml:space="preserve">； </w:t>
      </w:r>
    </w:p>
    <w:p>
      <w:pPr>
        <w:widowControl/>
        <w:spacing w:line="360" w:lineRule="auto"/>
        <w:ind w:firstLine="481" w:firstLineChars="200"/>
        <w:rPr>
          <w:rFonts w:eastAsia="仿宋_GB2312" w:cs="Times New Roman"/>
          <w:color w:val="000000"/>
          <w:sz w:val="24"/>
          <w:szCs w:val="24"/>
          <w:lang w:eastAsia="zh-CN" w:bidi="ar"/>
        </w:rPr>
      </w:pPr>
      <w:r>
        <w:rPr>
          <w:rFonts w:eastAsia="仿宋_GB2312" w:cs="Times New Roman"/>
          <w:b/>
          <w:bCs/>
          <w:color w:val="000000"/>
          <w:sz w:val="24"/>
          <w:szCs w:val="24"/>
          <w:lang w:eastAsia="zh-CN" w:bidi="ar"/>
        </w:rPr>
        <w:t>术语和定义</w:t>
      </w:r>
      <w:r>
        <w:rPr>
          <w:rFonts w:eastAsia="仿宋_GB2312" w:cs="Times New Roman"/>
          <w:color w:val="000000"/>
          <w:sz w:val="24"/>
          <w:szCs w:val="24"/>
          <w:lang w:eastAsia="zh-CN" w:bidi="ar"/>
        </w:rPr>
        <w:t>--对</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涉及的专业术语进行了定义和说明；</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基本规定</w:t>
      </w:r>
      <w:r>
        <w:rPr>
          <w:rFonts w:eastAsia="仿宋_GB2312" w:cs="Times New Roman"/>
          <w:color w:val="000000"/>
          <w:sz w:val="24"/>
          <w:szCs w:val="24"/>
          <w:lang w:eastAsia="zh-CN" w:bidi="ar"/>
        </w:rPr>
        <w:t>--规定了</w:t>
      </w:r>
      <w:r>
        <w:rPr>
          <w:rFonts w:hint="eastAsia" w:eastAsia="仿宋_GB2312" w:cs="Times New Roman"/>
          <w:color w:val="000000"/>
          <w:sz w:val="24"/>
          <w:szCs w:val="24"/>
          <w:lang w:val="en-US" w:eastAsia="zh-CN" w:bidi="ar"/>
        </w:rPr>
        <w:t>评估</w:t>
      </w:r>
      <w:r>
        <w:rPr>
          <w:rFonts w:hint="eastAsia" w:eastAsia="仿宋_GB2312" w:cs="Times New Roman"/>
          <w:color w:val="000000"/>
          <w:sz w:val="24"/>
          <w:szCs w:val="24"/>
          <w:lang w:eastAsia="zh-CN" w:bidi="ar"/>
        </w:rPr>
        <w:t>原则、评估要求、资料收集等</w:t>
      </w:r>
      <w:r>
        <w:rPr>
          <w:rFonts w:eastAsia="仿宋_GB2312" w:cs="Times New Roman"/>
          <w:color w:val="000000"/>
          <w:sz w:val="24"/>
          <w:szCs w:val="24"/>
          <w:lang w:eastAsia="zh-CN" w:bidi="ar"/>
        </w:rPr>
        <w:t>内容；</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建设项目水资源论证后评估</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建设项目水资源论证后评估</w:t>
      </w:r>
      <w:r>
        <w:rPr>
          <w:rFonts w:eastAsia="仿宋_GB2312" w:cs="Times New Roman"/>
          <w:color w:val="000000"/>
          <w:sz w:val="24"/>
          <w:szCs w:val="24"/>
          <w:lang w:eastAsia="zh-CN" w:bidi="ar"/>
        </w:rPr>
        <w:t>应包括的主要内容；</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水资源论证区域评估、规划水资源论证后评估</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水资源论证区域评估、规划水资源论证的后评估</w:t>
      </w:r>
      <w:r>
        <w:rPr>
          <w:rFonts w:eastAsia="仿宋_GB2312" w:cs="Times New Roman"/>
          <w:color w:val="000000"/>
          <w:sz w:val="24"/>
          <w:szCs w:val="24"/>
          <w:lang w:eastAsia="zh-CN" w:bidi="ar"/>
        </w:rPr>
        <w:t>应包括的主要内容；</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val="en-US" w:eastAsia="zh-CN" w:bidi="ar"/>
        </w:rPr>
        <w:t>附录</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报告编制大纲、附图附件、基本情况表、问题清单</w:t>
      </w:r>
      <w:r>
        <w:rPr>
          <w:rFonts w:hint="eastAsia" w:eastAsia="仿宋_GB2312" w:cs="Times New Roman"/>
          <w:color w:val="000000"/>
          <w:sz w:val="24"/>
          <w:szCs w:val="24"/>
          <w:lang w:val="en-US" w:eastAsia="zh-CN" w:bidi="ar"/>
        </w:rPr>
        <w:t>等</w:t>
      </w:r>
      <w:r>
        <w:rPr>
          <w:rFonts w:hint="eastAsia" w:eastAsia="仿宋_GB2312" w:cs="Times New Roman"/>
          <w:color w:val="000000"/>
          <w:sz w:val="24"/>
          <w:szCs w:val="24"/>
          <w:lang w:eastAsia="zh-CN" w:bidi="ar"/>
        </w:rPr>
        <w:t>内容</w:t>
      </w:r>
      <w:r>
        <w:rPr>
          <w:rFonts w:eastAsia="仿宋_GB2312" w:cs="Times New Roman"/>
          <w:color w:val="000000"/>
          <w:sz w:val="24"/>
          <w:szCs w:val="24"/>
          <w:lang w:eastAsia="zh-CN" w:bidi="ar"/>
        </w:rPr>
        <w:t>。</w:t>
      </w:r>
    </w:p>
    <w:p>
      <w:pPr>
        <w:pStyle w:val="2"/>
        <w:spacing w:line="360" w:lineRule="auto"/>
        <w:ind w:left="440" w:firstLine="440"/>
        <w:rPr>
          <w:sz w:val="24"/>
          <w:szCs w:val="24"/>
          <w:lang w:bidi="ar"/>
        </w:rPr>
      </w:pPr>
    </w:p>
    <w:p>
      <w:pPr>
        <w:widowControl/>
        <w:spacing w:line="360" w:lineRule="auto"/>
        <w:ind w:firstLine="480" w:firstLineChars="200"/>
        <w:rPr>
          <w:rFonts w:eastAsia="仿宋_GB2312" w:cs="Times New Roman"/>
          <w:sz w:val="24"/>
          <w:szCs w:val="24"/>
          <w:lang w:eastAsia="zh-CN" w:bidi="ar"/>
        </w:rPr>
      </w:pPr>
      <w:r>
        <w:rPr>
          <w:rFonts w:eastAsia="仿宋_GB2312" w:cs="Times New Roman"/>
          <w:sz w:val="24"/>
          <w:szCs w:val="24"/>
          <w:lang w:eastAsia="zh-CN" w:bidi="ar"/>
        </w:rPr>
        <w:t>（二）来源依据</w:t>
      </w:r>
    </w:p>
    <w:p>
      <w:pPr>
        <w:widowControl/>
        <w:spacing w:line="360" w:lineRule="auto"/>
        <w:ind w:firstLine="480" w:firstLineChars="200"/>
        <w:rPr>
          <w:rFonts w:eastAsia="仿宋_GB2312" w:cs="Times New Roman"/>
          <w:sz w:val="24"/>
          <w:szCs w:val="24"/>
          <w:lang w:eastAsia="zh-CN" w:bidi="ar"/>
        </w:rPr>
      </w:pPr>
      <w:r>
        <w:rPr>
          <w:rFonts w:eastAsia="仿宋_GB2312" w:cs="Times New Roman"/>
          <w:sz w:val="24"/>
          <w:szCs w:val="24"/>
          <w:lang w:eastAsia="zh-CN" w:bidi="ar"/>
        </w:rPr>
        <w:t>1、文件依据</w:t>
      </w:r>
    </w:p>
    <w:p>
      <w:pPr>
        <w:spacing w:line="360" w:lineRule="auto"/>
        <w:ind w:firstLine="480" w:firstLineChars="200"/>
        <w:rPr>
          <w:rFonts w:eastAsia="仿宋_GB2312" w:cs="Times New Roman"/>
          <w:color w:val="000000"/>
          <w:sz w:val="24"/>
          <w:szCs w:val="24"/>
          <w:lang w:eastAsia="zh-CN" w:bidi="ar"/>
        </w:rPr>
      </w:pPr>
      <w:r>
        <w:rPr>
          <w:rFonts w:eastAsia="仿宋_GB2312" w:cs="Times New Roman"/>
          <w:color w:val="000000"/>
          <w:sz w:val="24"/>
          <w:szCs w:val="24"/>
          <w:lang w:eastAsia="zh-CN" w:bidi="ar"/>
        </w:rPr>
        <w:t>《</w:t>
      </w:r>
      <w:r>
        <w:rPr>
          <w:rFonts w:eastAsia="仿宋_GB2312" w:cs="Times New Roman"/>
          <w:color w:val="000000"/>
          <w:sz w:val="24"/>
          <w:szCs w:val="24"/>
          <w:shd w:val="clear" w:color="auto" w:fill="FFFFFF"/>
          <w:lang w:eastAsia="zh-CN" w:bidi="ar"/>
        </w:rPr>
        <w:t>中华人民共和国水法</w:t>
      </w:r>
      <w:r>
        <w:rPr>
          <w:rFonts w:eastAsia="仿宋_GB2312" w:cs="Times New Roman"/>
          <w:color w:val="000000"/>
          <w:sz w:val="24"/>
          <w:szCs w:val="24"/>
          <w:lang w:eastAsia="zh-CN" w:bidi="ar"/>
        </w:rPr>
        <w:t>》</w:t>
      </w:r>
      <w:r>
        <w:rPr>
          <w:rFonts w:hint="eastAsia" w:eastAsia="仿宋_GB2312" w:cs="Times New Roman"/>
          <w:color w:val="000000"/>
          <w:sz w:val="24"/>
          <w:szCs w:val="24"/>
          <w:lang w:eastAsia="zh-CN" w:bidi="ar"/>
        </w:rPr>
        <w:t>、</w:t>
      </w:r>
      <w:r>
        <w:rPr>
          <w:rFonts w:eastAsia="仿宋_GB2312" w:cs="Times New Roman"/>
          <w:color w:val="000000"/>
          <w:sz w:val="24"/>
          <w:szCs w:val="24"/>
          <w:lang w:eastAsia="zh-CN" w:bidi="ar"/>
        </w:rPr>
        <w:t>《取水许可和水资源费征收管理条例》、《</w:t>
      </w:r>
      <w:r>
        <w:rPr>
          <w:rFonts w:eastAsia="仿宋_GB2312" w:cs="Times New Roman"/>
          <w:color w:val="000000"/>
          <w:sz w:val="24"/>
          <w:szCs w:val="24"/>
          <w:shd w:val="clear" w:color="auto" w:fill="FFFFFF"/>
          <w:lang w:eastAsia="zh-CN" w:bidi="ar"/>
        </w:rPr>
        <w:t>取水许可管理办法</w:t>
      </w:r>
      <w:r>
        <w:rPr>
          <w:rFonts w:eastAsia="仿宋_GB2312" w:cs="Times New Roman"/>
          <w:color w:val="000000"/>
          <w:sz w:val="24"/>
          <w:szCs w:val="24"/>
          <w:lang w:eastAsia="zh-CN" w:bidi="ar"/>
        </w:rPr>
        <w:t>》</w:t>
      </w:r>
      <w:r>
        <w:rPr>
          <w:rFonts w:hint="eastAsia" w:eastAsia="仿宋_GB2312" w:cs="Times New Roman"/>
          <w:color w:val="000000"/>
          <w:sz w:val="24"/>
          <w:szCs w:val="24"/>
          <w:lang w:eastAsia="zh-CN" w:bidi="ar"/>
        </w:rPr>
        <w:t>、《关于开展建设项目水资源论证后评估工作的通知》（办资源[2011]329号，水利部2011年7月18日）、《关于进一步加强水资源论证工作的意见》（水资管〔2020〕225号，水利部2020年11月3日）等</w:t>
      </w:r>
      <w:r>
        <w:rPr>
          <w:rFonts w:eastAsia="仿宋_GB2312" w:cs="Times New Roman"/>
          <w:color w:val="000000"/>
          <w:sz w:val="24"/>
          <w:szCs w:val="24"/>
          <w:lang w:eastAsia="zh-CN" w:bidi="ar"/>
        </w:rPr>
        <w:t>。</w:t>
      </w:r>
    </w:p>
    <w:p>
      <w:pPr>
        <w:widowControl/>
        <w:spacing w:line="360" w:lineRule="auto"/>
        <w:ind w:firstLine="480" w:firstLineChars="200"/>
        <w:rPr>
          <w:rFonts w:eastAsia="仿宋_GB2312" w:cs="Times New Roman"/>
          <w:sz w:val="24"/>
          <w:szCs w:val="24"/>
          <w:lang w:eastAsia="zh-CN" w:bidi="ar"/>
        </w:rPr>
      </w:pPr>
      <w:r>
        <w:rPr>
          <w:rFonts w:eastAsia="仿宋_GB2312" w:cs="Times New Roman"/>
          <w:sz w:val="24"/>
          <w:szCs w:val="24"/>
          <w:lang w:eastAsia="zh-CN" w:bidi="ar"/>
        </w:rPr>
        <w:t>2、依据</w:t>
      </w:r>
      <w:r>
        <w:rPr>
          <w:rFonts w:hint="eastAsia" w:eastAsia="仿宋_GB2312" w:cs="Times New Roman"/>
          <w:sz w:val="24"/>
          <w:szCs w:val="24"/>
          <w:lang w:eastAsia="zh-CN" w:bidi="ar"/>
        </w:rPr>
        <w:t>规范、标准、导则</w:t>
      </w:r>
    </w:p>
    <w:p>
      <w:pPr>
        <w:spacing w:line="360" w:lineRule="auto"/>
        <w:ind w:firstLine="560"/>
        <w:rPr>
          <w:rFonts w:hint="eastAsia" w:eastAsia="仿宋_GB2312" w:cs="Times New Roman"/>
          <w:color w:val="000000"/>
          <w:sz w:val="24"/>
          <w:szCs w:val="24"/>
          <w:lang w:eastAsia="zh-CN" w:bidi="ar"/>
        </w:rPr>
      </w:pPr>
      <w:bookmarkStart w:id="1" w:name="_Toc121238110"/>
      <w:r>
        <w:rPr>
          <w:rFonts w:hint="eastAsia" w:eastAsia="仿宋_GB2312" w:cs="Times New Roman"/>
          <w:color w:val="000000"/>
          <w:sz w:val="24"/>
          <w:szCs w:val="24"/>
          <w:lang w:eastAsia="zh-CN" w:bidi="ar"/>
        </w:rPr>
        <w:t>GB 3838 地表水环境质量标准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12452 水平衡测试通则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14848 地下水质量标准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18916 （所有部分）取水定额</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24789 用水单位水计量器具配备和管理通则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28714 取水计量技术导则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35580 建设项目水资源论证导则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42031 用水单位水平衡图绘制方法</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50625 机井工程技术标准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238 水资源评价导则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365 水资源水量监测技术导则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395 地表水资源质量评价技术规程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525.1 建设项目水资源论证导则 第1部分:水利水电建设项目</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763 火电建设项目水资源论证导则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769 农田灌溉建设项目水资源论证导则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813 规划水资源论证技术导则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819 水库生态流量泄放规程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820 水利水电工程生态流量计算与泄放设计规范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835 节水评价技术导则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T/CHES 138 建设项目取水工程核验技术规范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T/CHES 161 延续取水许可评估技术规程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DB50/T 1578 水资源论证区域评估技术导则</w:t>
      </w:r>
    </w:p>
    <w:p>
      <w:pPr>
        <w:pStyle w:val="3"/>
        <w:spacing w:line="360" w:lineRule="auto"/>
        <w:jc w:val="both"/>
        <w:rPr>
          <w:rFonts w:hint="eastAsia" w:eastAsia="黑体" w:cs="Times New Roman"/>
          <w:sz w:val="28"/>
          <w:szCs w:val="28"/>
          <w:lang w:eastAsia="zh-CN"/>
        </w:rPr>
      </w:pPr>
      <w:r>
        <w:rPr>
          <w:rFonts w:hint="eastAsia" w:eastAsia="黑体" w:cs="Times New Roman"/>
          <w:sz w:val="28"/>
          <w:szCs w:val="28"/>
          <w:lang w:eastAsia="zh-CN"/>
        </w:rPr>
        <w:t>三、专利情况说明</w:t>
      </w:r>
    </w:p>
    <w:p>
      <w:pPr>
        <w:spacing w:line="360" w:lineRule="auto"/>
        <w:ind w:firstLine="560"/>
        <w:rPr>
          <w:rFonts w:hint="default" w:ascii="宋体" w:hAnsi="宋体" w:eastAsia="仿宋_GB2312" w:cs="Times New Roman"/>
          <w:color w:val="000000"/>
          <w:sz w:val="24"/>
          <w:szCs w:val="24"/>
          <w:lang w:eastAsia="zh-CN" w:bidi="ar"/>
        </w:rPr>
      </w:pPr>
      <w:r>
        <w:rPr>
          <w:rFonts w:hint="default" w:ascii="宋体" w:hAnsi="宋体" w:eastAsia="仿宋_GB2312" w:cs="Times New Roman"/>
          <w:color w:val="000000"/>
          <w:sz w:val="24"/>
          <w:szCs w:val="24"/>
          <w:lang w:val="en-US" w:eastAsia="zh-CN" w:bidi="ar"/>
        </w:rPr>
        <w:t>1、</w:t>
      </w:r>
      <w:r>
        <w:rPr>
          <w:rFonts w:hint="default" w:ascii="宋体" w:hAnsi="宋体" w:eastAsia="仿宋_GB2312" w:cs="Times New Roman"/>
          <w:color w:val="000000"/>
          <w:sz w:val="24"/>
          <w:szCs w:val="24"/>
          <w:lang w:eastAsia="zh-CN" w:bidi="ar"/>
        </w:rPr>
        <w:t>目前尚未</w:t>
      </w:r>
      <w:r>
        <w:rPr>
          <w:rFonts w:hint="eastAsia" w:ascii="宋体" w:hAnsi="宋体" w:eastAsia="仿宋_GB2312" w:cs="Times New Roman"/>
          <w:color w:val="000000"/>
          <w:sz w:val="24"/>
          <w:szCs w:val="24"/>
          <w:lang w:eastAsia="zh-CN" w:bidi="ar"/>
        </w:rPr>
        <w:t>收到</w:t>
      </w:r>
      <w:r>
        <w:rPr>
          <w:rFonts w:hint="default" w:ascii="宋体" w:hAnsi="宋体" w:eastAsia="仿宋_GB2312" w:cs="Times New Roman"/>
          <w:color w:val="000000"/>
          <w:sz w:val="24"/>
          <w:szCs w:val="24"/>
          <w:lang w:eastAsia="zh-CN" w:bidi="ar"/>
        </w:rPr>
        <w:t>标准涉及专利的反馈信息。</w:t>
      </w:r>
    </w:p>
    <w:p>
      <w:pPr>
        <w:spacing w:line="360" w:lineRule="auto"/>
        <w:ind w:firstLine="560"/>
        <w:rPr>
          <w:rFonts w:hint="default" w:ascii="宋体" w:hAnsi="宋体" w:eastAsia="仿宋_GB2312" w:cs="Times New Roman"/>
          <w:color w:val="000000"/>
          <w:sz w:val="24"/>
          <w:szCs w:val="24"/>
          <w:lang w:val="en-US" w:eastAsia="zh-CN" w:bidi="ar"/>
        </w:rPr>
      </w:pPr>
      <w:r>
        <w:rPr>
          <w:rFonts w:hint="default" w:ascii="宋体" w:hAnsi="宋体" w:eastAsia="仿宋_GB2312" w:cs="Times New Roman"/>
          <w:color w:val="000000"/>
          <w:sz w:val="24"/>
          <w:szCs w:val="24"/>
          <w:lang w:val="en-US" w:eastAsia="zh-CN" w:bidi="ar"/>
        </w:rPr>
        <w:t>2、</w:t>
      </w:r>
      <w:r>
        <w:rPr>
          <w:rFonts w:hint="eastAsia" w:ascii="宋体" w:hAnsi="宋体" w:eastAsia="仿宋_GB2312" w:cs="Times New Roman"/>
          <w:color w:val="000000"/>
          <w:sz w:val="24"/>
          <w:szCs w:val="24"/>
          <w:lang w:val="en-US" w:eastAsia="zh-CN" w:bidi="ar"/>
        </w:rPr>
        <w:t>在征求意见稿、送审稿封面上，写上专利通</w:t>
      </w:r>
      <w:r>
        <w:rPr>
          <w:rFonts w:hint="default" w:ascii="宋体" w:hAnsi="宋体" w:eastAsia="仿宋_GB2312" w:cs="Times New Roman"/>
          <w:color w:val="000000"/>
          <w:sz w:val="24"/>
          <w:szCs w:val="24"/>
          <w:lang w:val="en-US" w:eastAsia="zh-CN" w:bidi="ar"/>
        </w:rPr>
        <w:t>知性的文字：“</w:t>
      </w:r>
      <w:r>
        <w:rPr>
          <w:rFonts w:hint="eastAsia" w:ascii="宋体" w:hAnsi="宋体" w:eastAsia="仿宋_GB2312" w:cs="Times New Roman"/>
          <w:color w:val="000000"/>
          <w:sz w:val="24"/>
          <w:szCs w:val="24"/>
          <w:lang w:val="en-US" w:eastAsia="zh-CN" w:bidi="ar"/>
        </w:rPr>
        <w:t>在提交反馈意见时，请将您知道的相关专利连同支持性文件一并附上。</w:t>
      </w:r>
      <w:r>
        <w:rPr>
          <w:rFonts w:hint="default" w:ascii="宋体" w:hAnsi="宋体" w:eastAsia="仿宋_GB2312" w:cs="Times New Roman"/>
          <w:color w:val="000000"/>
          <w:sz w:val="24"/>
          <w:szCs w:val="24"/>
          <w:lang w:val="en-US" w:eastAsia="zh-CN" w:bidi="ar"/>
        </w:rPr>
        <w:t>”。</w:t>
      </w:r>
    </w:p>
    <w:p>
      <w:pPr>
        <w:spacing w:line="360" w:lineRule="auto"/>
        <w:ind w:firstLine="560"/>
        <w:rPr>
          <w:rFonts w:hint="eastAsia" w:ascii="宋体" w:hAnsi="宋体" w:eastAsia="仿宋_GB2312" w:cs="Times New Roman"/>
          <w:color w:val="000000"/>
          <w:sz w:val="24"/>
          <w:szCs w:val="24"/>
          <w:lang w:eastAsia="zh-CN" w:bidi="ar"/>
        </w:rPr>
      </w:pPr>
      <w:r>
        <w:rPr>
          <w:rFonts w:hint="default" w:ascii="宋体" w:hAnsi="宋体" w:eastAsia="仿宋_GB2312" w:cs="Times New Roman"/>
          <w:color w:val="000000"/>
          <w:sz w:val="24"/>
          <w:szCs w:val="24"/>
          <w:lang w:val="en-US" w:eastAsia="zh-CN" w:bidi="ar"/>
        </w:rPr>
        <w:t>3</w:t>
      </w:r>
      <w:r>
        <w:rPr>
          <w:rFonts w:hint="eastAsia" w:ascii="宋体" w:hAnsi="宋体" w:eastAsia="仿宋_GB2312" w:cs="Times New Roman"/>
          <w:color w:val="000000"/>
          <w:sz w:val="24"/>
          <w:szCs w:val="24"/>
          <w:lang w:val="en-US" w:eastAsia="zh-CN" w:bidi="ar"/>
        </w:rPr>
        <w:t>、在标准的前言中对专利的处置进行了声明：“</w:t>
      </w:r>
      <w:r>
        <w:rPr>
          <w:rFonts w:hint="default" w:ascii="宋体" w:hAnsi="宋体" w:eastAsia="仿宋_GB2312" w:cs="Times New Roman"/>
          <w:color w:val="000000"/>
          <w:sz w:val="24"/>
          <w:szCs w:val="24"/>
          <w:lang w:eastAsia="zh-CN" w:bidi="ar"/>
        </w:rPr>
        <w:t>请注意本标准的某些内容可能涉及专利，本标准的发布机构不承担识别这些专利的责任。</w:t>
      </w:r>
      <w:r>
        <w:rPr>
          <w:rFonts w:hint="default" w:ascii="宋体" w:hAnsi="宋体" w:eastAsia="仿宋_GB2312" w:cs="Times New Roman"/>
          <w:color w:val="000000"/>
          <w:sz w:val="24"/>
          <w:szCs w:val="24"/>
          <w:lang w:val="en-US" w:eastAsia="zh-CN" w:bidi="ar"/>
        </w:rPr>
        <w:t>”</w:t>
      </w:r>
    </w:p>
    <w:p>
      <w:pPr>
        <w:pStyle w:val="3"/>
        <w:spacing w:line="360" w:lineRule="auto"/>
        <w:jc w:val="both"/>
        <w:rPr>
          <w:rFonts w:hint="eastAsia" w:eastAsia="黑体" w:cs="Times New Roman"/>
          <w:sz w:val="28"/>
          <w:szCs w:val="28"/>
        </w:rPr>
      </w:pPr>
      <w:r>
        <w:rPr>
          <w:rFonts w:hint="eastAsia" w:eastAsia="黑体" w:cs="Times New Roman"/>
          <w:sz w:val="28"/>
          <w:szCs w:val="28"/>
        </w:rPr>
        <w:t>四、与相关标准的关系分析</w:t>
      </w:r>
    </w:p>
    <w:bookmarkEnd w:id="1"/>
    <w:p>
      <w:pPr>
        <w:spacing w:line="360" w:lineRule="auto"/>
        <w:ind w:firstLine="560"/>
        <w:rPr>
          <w:rFonts w:hint="eastAsia" w:ascii="宋体" w:hAnsi="宋体" w:eastAsia="仿宋_GB2312" w:cs="Times New Roman"/>
          <w:color w:val="000000"/>
          <w:sz w:val="24"/>
          <w:szCs w:val="24"/>
          <w:lang w:val="en-US" w:eastAsia="zh-CN" w:bidi="ar"/>
        </w:rPr>
      </w:pPr>
      <w:r>
        <w:rPr>
          <w:rFonts w:hint="default" w:ascii="宋体" w:hAnsi="宋体" w:eastAsia="仿宋_GB2312" w:cs="Times New Roman"/>
          <w:color w:val="000000"/>
          <w:sz w:val="24"/>
          <w:szCs w:val="24"/>
          <w:lang w:val="en-US" w:eastAsia="zh-CN" w:bidi="ar"/>
        </w:rPr>
        <w:t>制定本标准时依据并引用了国内有关现行标准，也不违背国内其它行业标准、法律、法规及强制性标准的有关规定。本标准中涉及相关标准的引用信息，均进行了协调一致性的校核。</w:t>
      </w:r>
    </w:p>
    <w:p>
      <w:pPr>
        <w:spacing w:line="360" w:lineRule="auto"/>
        <w:ind w:firstLine="560"/>
        <w:rPr>
          <w:rFonts w:hint="default" w:ascii="宋体" w:hAnsi="宋体" w:eastAsia="仿宋_GB2312" w:cs="Times New Roman"/>
          <w:color w:val="000000"/>
          <w:sz w:val="24"/>
          <w:szCs w:val="24"/>
          <w:lang w:val="en-US" w:eastAsia="zh-CN" w:bidi="ar"/>
        </w:rPr>
      </w:pPr>
    </w:p>
    <w:p>
      <w:pPr>
        <w:pStyle w:val="3"/>
        <w:spacing w:line="360" w:lineRule="auto"/>
        <w:jc w:val="both"/>
        <w:rPr>
          <w:rFonts w:hint="eastAsia" w:eastAsia="黑体" w:cs="Times New Roman"/>
          <w:sz w:val="28"/>
          <w:szCs w:val="28"/>
          <w:lang w:eastAsia="zh-CN"/>
        </w:rPr>
      </w:pPr>
      <w:bookmarkStart w:id="2" w:name="_Toc121238111"/>
      <w:r>
        <w:rPr>
          <w:rFonts w:hint="eastAsia" w:eastAsia="黑体" w:cs="Times New Roman"/>
          <w:sz w:val="28"/>
          <w:szCs w:val="28"/>
          <w:lang w:val="en-US" w:eastAsia="zh-CN"/>
        </w:rPr>
        <w:t>五</w:t>
      </w:r>
      <w:r>
        <w:rPr>
          <w:rFonts w:hint="eastAsia" w:eastAsia="黑体" w:cs="Times New Roman"/>
          <w:sz w:val="28"/>
          <w:szCs w:val="28"/>
          <w:lang w:eastAsia="zh-CN"/>
        </w:rPr>
        <w:t>、重大分歧或重难点的处理经过和依据</w:t>
      </w:r>
      <w:bookmarkEnd w:id="2"/>
    </w:p>
    <w:p>
      <w:pPr>
        <w:spacing w:line="360" w:lineRule="auto"/>
        <w:ind w:firstLine="560"/>
        <w:rPr>
          <w:rFonts w:hint="eastAsia"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无。</w:t>
      </w:r>
    </w:p>
    <w:p>
      <w:pPr>
        <w:pStyle w:val="3"/>
        <w:spacing w:line="360" w:lineRule="auto"/>
        <w:jc w:val="both"/>
        <w:rPr>
          <w:rFonts w:hint="eastAsia" w:eastAsia="黑体" w:cs="Times New Roman"/>
          <w:sz w:val="28"/>
          <w:szCs w:val="28"/>
          <w:lang w:val="en-US" w:eastAsia="zh-CN"/>
        </w:rPr>
      </w:pPr>
      <w:r>
        <w:rPr>
          <w:rFonts w:hint="eastAsia" w:eastAsia="黑体" w:cs="Times New Roman"/>
          <w:sz w:val="28"/>
          <w:szCs w:val="28"/>
          <w:lang w:val="en-US" w:eastAsia="zh-CN"/>
        </w:rPr>
        <w:t>六、预期效益（报批阶段填写）</w:t>
      </w:r>
    </w:p>
    <w:p>
      <w:pPr>
        <w:spacing w:line="360" w:lineRule="auto"/>
        <w:ind w:firstLine="560"/>
        <w:rPr>
          <w:rFonts w:hint="default"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报批阶段填写。</w:t>
      </w:r>
    </w:p>
    <w:p>
      <w:pPr>
        <w:pStyle w:val="3"/>
        <w:spacing w:line="360" w:lineRule="auto"/>
        <w:jc w:val="both"/>
        <w:rPr>
          <w:rFonts w:hint="eastAsia" w:eastAsia="黑体" w:cs="Times New Roman"/>
          <w:sz w:val="28"/>
          <w:szCs w:val="28"/>
          <w:lang w:val="en-US" w:eastAsia="zh-CN"/>
        </w:rPr>
      </w:pPr>
      <w:r>
        <w:rPr>
          <w:rFonts w:hint="eastAsia" w:eastAsia="黑体" w:cs="Times New Roman"/>
          <w:sz w:val="28"/>
          <w:szCs w:val="28"/>
          <w:lang w:val="en-US" w:eastAsia="zh-CN"/>
        </w:rPr>
        <w:t>七、其他说明事项</w:t>
      </w:r>
    </w:p>
    <w:p>
      <w:pPr>
        <w:spacing w:line="360" w:lineRule="auto"/>
        <w:ind w:firstLine="560"/>
        <w:rPr>
          <w:rFonts w:hint="eastAsia"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无。</w:t>
      </w:r>
    </w:p>
    <w:p/>
    <w:sectPr>
      <w:headerReference r:id="rId5" w:type="even"/>
      <w:footerReference r:id="rId6" w:type="even"/>
      <w:pgSz w:w="11910" w:h="16840"/>
      <w:pgMar w:top="1531" w:right="1985" w:bottom="1531" w:left="19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xN2MyNjUyMDIzODhlNTRlZjZjOTMzOTJhMGVjZDMifQ=="/>
  </w:docVars>
  <w:rsids>
    <w:rsidRoot w:val="008D332C"/>
    <w:rsid w:val="008D332C"/>
    <w:rsid w:val="00E57EE2"/>
    <w:rsid w:val="032633D2"/>
    <w:rsid w:val="08607E95"/>
    <w:rsid w:val="0AAC0660"/>
    <w:rsid w:val="0BCA3494"/>
    <w:rsid w:val="10823D2D"/>
    <w:rsid w:val="167F7356"/>
    <w:rsid w:val="182E6840"/>
    <w:rsid w:val="1C7C7712"/>
    <w:rsid w:val="1D440BCC"/>
    <w:rsid w:val="1EC73863"/>
    <w:rsid w:val="28665E9B"/>
    <w:rsid w:val="28D64DCE"/>
    <w:rsid w:val="29D44611"/>
    <w:rsid w:val="2DF20275"/>
    <w:rsid w:val="30A61DF3"/>
    <w:rsid w:val="30C220DC"/>
    <w:rsid w:val="311227D0"/>
    <w:rsid w:val="3484562C"/>
    <w:rsid w:val="357B19C5"/>
    <w:rsid w:val="372D2697"/>
    <w:rsid w:val="3744384B"/>
    <w:rsid w:val="3B1245AD"/>
    <w:rsid w:val="3B8F5FC8"/>
    <w:rsid w:val="3C0E5615"/>
    <w:rsid w:val="3EFA6DD7"/>
    <w:rsid w:val="3F165537"/>
    <w:rsid w:val="3F2830F9"/>
    <w:rsid w:val="412A365C"/>
    <w:rsid w:val="419F4DAC"/>
    <w:rsid w:val="46690BD8"/>
    <w:rsid w:val="4FBE3A78"/>
    <w:rsid w:val="5A987E65"/>
    <w:rsid w:val="5CDC48C5"/>
    <w:rsid w:val="61985F01"/>
    <w:rsid w:val="62DA6C60"/>
    <w:rsid w:val="63FF1835"/>
    <w:rsid w:val="644C4DD7"/>
    <w:rsid w:val="667E01F8"/>
    <w:rsid w:val="669C24AC"/>
    <w:rsid w:val="68540EE4"/>
    <w:rsid w:val="6A7A2B04"/>
    <w:rsid w:val="6D1B05CF"/>
    <w:rsid w:val="6D1E4EB1"/>
    <w:rsid w:val="6E4F0506"/>
    <w:rsid w:val="70F83053"/>
    <w:rsid w:val="79176C1A"/>
    <w:rsid w:val="7BEB3862"/>
    <w:rsid w:val="7D0E30D2"/>
    <w:rsid w:val="7D376633"/>
    <w:rsid w:val="7E8104AE"/>
    <w:rsid w:val="7FAB0E78"/>
    <w:rsid w:val="7FFEA2EF"/>
    <w:rsid w:val="ABDFC900"/>
    <w:rsid w:val="B5AFABBE"/>
    <w:rsid w:val="BF973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en-US"/>
    </w:rPr>
  </w:style>
  <w:style w:type="paragraph" w:styleId="3">
    <w:name w:val="heading 1"/>
    <w:basedOn w:val="1"/>
    <w:next w:val="1"/>
    <w:link w:val="12"/>
    <w:qFormat/>
    <w:uiPriority w:val="1"/>
    <w:pPr>
      <w:spacing w:before="56"/>
      <w:jc w:val="center"/>
      <w:outlineLvl w:val="0"/>
    </w:pPr>
    <w:rPr>
      <w:rFonts w:ascii="黑体" w:hAnsi="黑体" w:eastAsia="黑体" w:cs="黑体"/>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autoSpaceDE/>
      <w:autoSpaceDN/>
      <w:jc w:val="both"/>
    </w:pPr>
    <w:rPr>
      <w:rFonts w:hAnsi="Courier New" w:cs="黑体"/>
      <w:kern w:val="2"/>
      <w:sz w:val="21"/>
      <w:lang w:eastAsia="zh-CN" w:bidi="ar-SA"/>
    </w:rPr>
  </w:style>
  <w:style w:type="paragraph" w:styleId="4">
    <w:name w:val="Body Text"/>
    <w:basedOn w:val="1"/>
    <w:next w:val="1"/>
    <w:link w:val="13"/>
    <w:qFormat/>
    <w:uiPriority w:val="1"/>
    <w:rPr>
      <w:sz w:val="21"/>
      <w:szCs w:val="21"/>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9"/>
    <w:qFormat/>
    <w:uiPriority w:val="0"/>
    <w:pPr>
      <w:tabs>
        <w:tab w:val="center" w:pos="4153"/>
        <w:tab w:val="right" w:pos="8306"/>
      </w:tabs>
      <w:autoSpaceDE/>
      <w:autoSpaceDN/>
      <w:snapToGrid w:val="0"/>
    </w:pPr>
    <w:rPr>
      <w:rFonts w:ascii="Times New Roman" w:hAnsi="Times New Roman" w:cs="Times New Roman"/>
      <w:kern w:val="2"/>
      <w:sz w:val="18"/>
      <w:szCs w:val="18"/>
      <w:lang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Body Text First Indent 2"/>
    <w:basedOn w:val="5"/>
    <w:link w:val="16"/>
    <w:semiHidden/>
    <w:unhideWhenUsed/>
    <w:qFormat/>
    <w:uiPriority w:val="99"/>
    <w:pPr>
      <w:ind w:firstLine="420" w:firstLineChars="200"/>
    </w:pPr>
  </w:style>
  <w:style w:type="character" w:styleId="11">
    <w:name w:val="page number"/>
    <w:basedOn w:val="10"/>
    <w:qFormat/>
    <w:uiPriority w:val="0"/>
  </w:style>
  <w:style w:type="character" w:customStyle="1" w:styleId="12">
    <w:name w:val="标题 1 字符"/>
    <w:basedOn w:val="10"/>
    <w:link w:val="3"/>
    <w:qFormat/>
    <w:uiPriority w:val="1"/>
    <w:rPr>
      <w:rFonts w:ascii="黑体" w:hAnsi="黑体" w:eastAsia="黑体" w:cs="黑体"/>
      <w:kern w:val="0"/>
      <w:sz w:val="32"/>
      <w:szCs w:val="32"/>
      <w:lang w:eastAsia="en-US" w:bidi="en-US"/>
    </w:rPr>
  </w:style>
  <w:style w:type="character" w:customStyle="1" w:styleId="13">
    <w:name w:val="正文文本 字符"/>
    <w:basedOn w:val="10"/>
    <w:link w:val="4"/>
    <w:qFormat/>
    <w:uiPriority w:val="1"/>
    <w:rPr>
      <w:rFonts w:ascii="宋体" w:hAnsi="宋体" w:eastAsia="宋体" w:cs="宋体"/>
      <w:kern w:val="0"/>
      <w:szCs w:val="21"/>
      <w:lang w:eastAsia="en-US" w:bidi="en-US"/>
    </w:rPr>
  </w:style>
  <w:style w:type="character" w:customStyle="1" w:styleId="14">
    <w:name w:val="纯文本 字符"/>
    <w:basedOn w:val="10"/>
    <w:link w:val="2"/>
    <w:qFormat/>
    <w:uiPriority w:val="0"/>
    <w:rPr>
      <w:rFonts w:ascii="宋体" w:hAnsi="Courier New" w:eastAsia="宋体" w:cs="黑体"/>
    </w:rPr>
  </w:style>
  <w:style w:type="character" w:customStyle="1" w:styleId="15">
    <w:name w:val="正文文本缩进 字符"/>
    <w:basedOn w:val="10"/>
    <w:link w:val="5"/>
    <w:semiHidden/>
    <w:qFormat/>
    <w:uiPriority w:val="99"/>
    <w:rPr>
      <w:rFonts w:ascii="宋体" w:hAnsi="宋体" w:eastAsia="宋体" w:cs="宋体"/>
      <w:kern w:val="0"/>
      <w:sz w:val="22"/>
      <w:lang w:eastAsia="en-US" w:bidi="en-US"/>
    </w:rPr>
  </w:style>
  <w:style w:type="character" w:customStyle="1" w:styleId="16">
    <w:name w:val="正文文本首行缩进 2 字符"/>
    <w:basedOn w:val="15"/>
    <w:link w:val="8"/>
    <w:semiHidden/>
    <w:qFormat/>
    <w:uiPriority w:val="99"/>
    <w:rPr>
      <w:rFonts w:ascii="宋体" w:hAnsi="宋体" w:eastAsia="宋体" w:cs="宋体"/>
      <w:kern w:val="0"/>
      <w:sz w:val="22"/>
      <w:lang w:eastAsia="en-US" w:bidi="en-US"/>
    </w:rPr>
  </w:style>
  <w:style w:type="paragraph" w:customStyle="1" w:styleId="17">
    <w:name w:val="产品检验测试报告"/>
    <w:basedOn w:val="1"/>
    <w:qFormat/>
    <w:uiPriority w:val="0"/>
    <w:pPr>
      <w:autoSpaceDE/>
      <w:autoSpaceDN/>
      <w:jc w:val="both"/>
    </w:pPr>
    <w:rPr>
      <w:rFonts w:ascii="Times New Roman" w:hAnsi="Times New Roman" w:cs="Times New Roman"/>
      <w:kern w:val="2"/>
      <w:sz w:val="21"/>
      <w:szCs w:val="24"/>
      <w:lang w:eastAsia="zh-CN" w:bidi="ar-SA"/>
    </w:rPr>
  </w:style>
  <w:style w:type="paragraph" w:customStyle="1" w:styleId="18">
    <w:name w:val=" Char Char Char Char Char Char Char"/>
    <w:basedOn w:val="1"/>
    <w:qFormat/>
    <w:uiPriority w:val="0"/>
    <w:pPr>
      <w:autoSpaceDE/>
      <w:autoSpaceDN/>
      <w:jc w:val="both"/>
    </w:pPr>
    <w:rPr>
      <w:rFonts w:cs="Times New Roman"/>
      <w:sz w:val="18"/>
      <w:szCs w:val="20"/>
      <w:lang w:eastAsia="zh-CN" w:bidi="ar-SA"/>
    </w:rPr>
  </w:style>
  <w:style w:type="character" w:customStyle="1" w:styleId="19">
    <w:name w:val="页脚 字符"/>
    <w:basedOn w:val="10"/>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2457</Words>
  <Characters>2687</Characters>
  <Lines>22</Lines>
  <Paragraphs>6</Paragraphs>
  <TotalTime>3</TotalTime>
  <ScaleCrop>false</ScaleCrop>
  <LinksUpToDate>false</LinksUpToDate>
  <CharactersWithSpaces>2754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2023-05-04T07:11:00Z</dcterms:created>
  <dc:creator>wml</dc:creator>
  <cp:lastModifiedBy>杨丹</cp:lastModifiedBy>
  <cp:lastPrinted>2026-03-21T06:57:00Z</cp:lastPrinted>
  <dcterms:modified xsi:type="dcterms:W3CDTF">2026-03-25T11:39:05Z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DA60053AFB9F4CB9973C4602174E10D0_13</vt:lpwstr>
  </property>
  <property fmtid="{D5CDD505-2E9C-101B-9397-08002B2CF9AE}" pid="4" name="KSOTemplateDocerSaveRecord">
    <vt:lpwstr>eyJoZGlkIjoiYWMxN2MyNjUyMDIzODhlNTRlZjZjOTMzOTJhMGVjZDMiLCJ1c2VySWQiOiIxMTY3NTI1NTk3In0=</vt:lpwstr>
  </property>
</Properties>
</file>