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ind w:left="0"/>
        <w:jc w:val="center"/>
        <w:textAlignment w:val="auto"/>
        <w:rPr>
          <w:rFonts w:hint="eastAsia" w:ascii="Times New Roman" w:hAnsi="Times New Roman" w:eastAsia="方正小标宋_GBK" w:cs="方正小标宋_GBK"/>
          <w:snapToGrid w:val="0"/>
          <w:color w:val="auto"/>
          <w:spacing w:val="0"/>
          <w:w w:val="95"/>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jc w:val="center"/>
        <w:textAlignment w:val="auto"/>
        <w:rPr>
          <w:rFonts w:hint="eastAsia" w:ascii="Times New Roman" w:hAnsi="Times New Roman" w:eastAsia="方正小标宋_GBK" w:cs="方正小标宋_GBK"/>
          <w:b w:val="0"/>
          <w:bCs w:val="0"/>
          <w:snapToGrid w:val="0"/>
          <w:color w:val="auto"/>
          <w:spacing w:val="0"/>
          <w:w w:val="95"/>
          <w:kern w:val="0"/>
          <w:sz w:val="44"/>
          <w:szCs w:val="44"/>
          <w:lang w:val="en-US" w:eastAsia="zh-CN" w:bidi="ar"/>
        </w:rPr>
      </w:pPr>
      <w:r>
        <w:rPr>
          <w:rFonts w:hint="eastAsia" w:ascii="Times New Roman" w:hAnsi="Times New Roman" w:eastAsia="方正小标宋_GBK" w:cs="方正小标宋_GBK"/>
          <w:snapToGrid w:val="0"/>
          <w:color w:val="auto"/>
          <w:spacing w:val="0"/>
          <w:w w:val="95"/>
          <w:kern w:val="0"/>
          <w:sz w:val="44"/>
          <w:szCs w:val="44"/>
          <w:lang w:val="en-US" w:eastAsia="zh-CN"/>
        </w:rPr>
        <w:t>重庆市水利局办公室</w:t>
      </w:r>
    </w:p>
    <w:p>
      <w:pPr>
        <w:keepNext w:val="0"/>
        <w:keepLines w:val="0"/>
        <w:pageBreakBefore w:val="0"/>
        <w:widowControl w:val="0"/>
        <w:kinsoku/>
        <w:wordWrap/>
        <w:overflowPunct/>
        <w:topLinePunct w:val="0"/>
        <w:autoSpaceDE/>
        <w:autoSpaceDN/>
        <w:bidi w:val="0"/>
        <w:adjustRightInd/>
        <w:snapToGrid w:val="0"/>
        <w:spacing w:line="594" w:lineRule="exact"/>
        <w:ind w:left="0"/>
        <w:jc w:val="center"/>
        <w:textAlignment w:val="auto"/>
        <w:rPr>
          <w:rFonts w:hint="eastAsia" w:ascii="Times New Roman" w:hAnsi="Times New Roman" w:eastAsia="方正小标宋_GBK" w:cs="方正小标宋_GBK"/>
          <w:snapToGrid w:val="0"/>
          <w:color w:val="auto"/>
          <w:spacing w:val="0"/>
          <w:w w:val="95"/>
          <w:kern w:val="0"/>
          <w:sz w:val="44"/>
          <w:szCs w:val="44"/>
          <w:lang w:val="en-US" w:eastAsia="zh-CN"/>
        </w:rPr>
      </w:pPr>
      <w:r>
        <w:rPr>
          <w:rFonts w:hint="eastAsia" w:ascii="Times New Roman" w:hAnsi="Times New Roman" w:eastAsia="方正小标宋_GBK" w:cs="方正小标宋_GBK"/>
          <w:snapToGrid w:val="0"/>
          <w:color w:val="auto"/>
          <w:spacing w:val="0"/>
          <w:w w:val="95"/>
          <w:kern w:val="0"/>
          <w:sz w:val="44"/>
          <w:szCs w:val="44"/>
          <w:lang w:val="en-US" w:eastAsia="zh-CN"/>
        </w:rPr>
        <w:t>关于推动全市水利施工项目危险性较大单项工程</w:t>
      </w:r>
    </w:p>
    <w:p>
      <w:pPr>
        <w:keepNext w:val="0"/>
        <w:keepLines w:val="0"/>
        <w:pageBreakBefore w:val="0"/>
        <w:widowControl w:val="0"/>
        <w:kinsoku/>
        <w:wordWrap/>
        <w:overflowPunct/>
        <w:topLinePunct w:val="0"/>
        <w:autoSpaceDE/>
        <w:autoSpaceDN/>
        <w:bidi w:val="0"/>
        <w:adjustRightInd/>
        <w:snapToGrid w:val="0"/>
        <w:spacing w:line="594" w:lineRule="exact"/>
        <w:ind w:left="0"/>
        <w:jc w:val="center"/>
        <w:textAlignment w:val="auto"/>
        <w:rPr>
          <w:rFonts w:hint="eastAsia" w:ascii="Times New Roman" w:hAnsi="Times New Roman" w:eastAsia="方正小标宋_GBK" w:cs="方正小标宋_GBK"/>
          <w:snapToGrid w:val="0"/>
          <w:color w:val="auto"/>
          <w:spacing w:val="0"/>
          <w:w w:val="95"/>
          <w:kern w:val="0"/>
          <w:sz w:val="44"/>
          <w:szCs w:val="44"/>
          <w:lang w:val="en-US" w:eastAsia="zh-CN"/>
        </w:rPr>
      </w:pPr>
      <w:r>
        <w:rPr>
          <w:rFonts w:hint="eastAsia" w:ascii="Times New Roman" w:hAnsi="Times New Roman" w:eastAsia="方正小标宋_GBK" w:cs="方正小标宋_GBK"/>
          <w:snapToGrid w:val="0"/>
          <w:color w:val="auto"/>
          <w:spacing w:val="0"/>
          <w:w w:val="95"/>
          <w:kern w:val="0"/>
          <w:sz w:val="44"/>
          <w:szCs w:val="44"/>
          <w:lang w:val="en-US" w:eastAsia="zh-CN"/>
        </w:rPr>
        <w:t>开展第三方监测的通知</w:t>
      </w:r>
      <w:r>
        <w:rPr>
          <w:rFonts w:hint="eastAsia" w:eastAsia="方正小标宋_GBK" w:cs="方正小标宋_GBK"/>
          <w:snapToGrid w:val="0"/>
          <w:color w:val="auto"/>
          <w:spacing w:val="0"/>
          <w:w w:val="95"/>
          <w:kern w:val="0"/>
          <w:sz w:val="44"/>
          <w:szCs w:val="44"/>
          <w:lang w:val="en-US" w:eastAsia="zh-CN"/>
        </w:rPr>
        <w:t>（试行）</w:t>
      </w:r>
    </w:p>
    <w:p>
      <w:pPr>
        <w:pStyle w:val="2"/>
        <w:keepNext w:val="0"/>
        <w:keepLines w:val="0"/>
        <w:pageBreakBefore w:val="0"/>
        <w:widowControl w:val="0"/>
        <w:kinsoku/>
        <w:wordWrap/>
        <w:overflowPunct/>
        <w:topLinePunct w:val="0"/>
        <w:autoSpaceDE/>
        <w:autoSpaceDN/>
        <w:bidi w:val="0"/>
        <w:snapToGrid w:val="0"/>
        <w:spacing w:line="594" w:lineRule="exact"/>
        <w:jc w:val="both"/>
        <w:rPr>
          <w:rFonts w:hint="eastAsia" w:ascii="Times New Roman" w:hAnsi="Times New Roman" w:eastAsia="方正仿宋_GBK" w:cs="方正仿宋_GBK"/>
          <w:color w:val="auto"/>
          <w:spacing w:val="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jc w:val="both"/>
        <w:rPr>
          <w:rFonts w:hint="eastAsia" w:ascii="Times New Roman" w:hAnsi="Times New Roman" w:eastAsia="方正仿宋_GBK" w:cs="方正仿宋_GBK"/>
          <w:b w:val="0"/>
          <w:bCs w:val="0"/>
          <w:color w:val="auto"/>
          <w:spacing w:val="0"/>
          <w:kern w:val="0"/>
          <w:sz w:val="32"/>
          <w:szCs w:val="32"/>
          <w:lang w:eastAsia="zh-CN"/>
        </w:rPr>
      </w:pPr>
      <w:r>
        <w:rPr>
          <w:rFonts w:hint="eastAsia" w:ascii="Times New Roman" w:hAnsi="Times New Roman" w:eastAsia="方正仿宋_GBK" w:cs="方正仿宋_GBK"/>
          <w:b w:val="0"/>
          <w:bCs w:val="0"/>
          <w:color w:val="auto"/>
          <w:spacing w:val="0"/>
          <w:kern w:val="0"/>
          <w:sz w:val="32"/>
          <w:szCs w:val="32"/>
          <w:lang w:eastAsia="zh-CN"/>
        </w:rPr>
        <w:t>各区县（自治县）、两江新区、西部科学城重庆高新区、万盛经开区水行政主管部门，各有关单位：</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en-US" w:bidi="ar-SA"/>
        </w:rPr>
        <w:t>为</w:t>
      </w:r>
      <w:r>
        <w:rPr>
          <w:rFonts w:hint="eastAsia" w:ascii="Times New Roman" w:hAnsi="Times New Roman" w:eastAsia="方正仿宋_GBK" w:cs="方正仿宋_GBK"/>
          <w:b w:val="0"/>
          <w:bCs w:val="0"/>
          <w:snapToGrid/>
          <w:color w:val="auto"/>
          <w:spacing w:val="0"/>
          <w:kern w:val="0"/>
          <w:sz w:val="32"/>
          <w:szCs w:val="32"/>
          <w:lang w:val="en-US" w:eastAsia="zh-CN" w:bidi="ar-SA"/>
        </w:rPr>
        <w:t>进一步加强全市水利施工项目危险性较大单项工程（以下简称“危大工程”）施工期安全管理，强化风险防控能力，提升我市水利行业本质安全水平</w:t>
      </w:r>
      <w:r>
        <w:rPr>
          <w:rFonts w:hint="eastAsia" w:ascii="Times New Roman" w:hAnsi="Times New Roman" w:eastAsia="方正仿宋_GBK" w:cs="方正仿宋_GBK"/>
          <w:b w:val="0"/>
          <w:bCs w:val="0"/>
          <w:snapToGrid/>
          <w:color w:val="auto"/>
          <w:spacing w:val="0"/>
          <w:kern w:val="0"/>
          <w:sz w:val="32"/>
          <w:szCs w:val="32"/>
          <w:lang w:val="en-US" w:eastAsia="en-US" w:bidi="ar-SA"/>
        </w:rPr>
        <w:t>，减少生产安全事故发生，</w:t>
      </w:r>
      <w:r>
        <w:rPr>
          <w:rFonts w:hint="eastAsia" w:ascii="Times New Roman" w:hAnsi="Times New Roman" w:eastAsia="方正仿宋_GBK" w:cs="方正仿宋_GBK"/>
          <w:b w:val="0"/>
          <w:bCs w:val="0"/>
          <w:snapToGrid/>
          <w:color w:val="auto"/>
          <w:spacing w:val="0"/>
          <w:kern w:val="0"/>
          <w:sz w:val="32"/>
          <w:szCs w:val="32"/>
          <w:lang w:val="en-US" w:eastAsia="zh-CN" w:bidi="ar-SA"/>
        </w:rPr>
        <w:t>依据</w:t>
      </w:r>
      <w:r>
        <w:rPr>
          <w:rFonts w:hint="eastAsia" w:ascii="Times New Roman" w:hAnsi="Times New Roman" w:eastAsia="方正仿宋_GBK" w:cs="方正仿宋_GBK"/>
          <w:b w:val="0"/>
          <w:bCs w:val="0"/>
          <w:color w:val="auto"/>
          <w:spacing w:val="0"/>
          <w:kern w:val="0"/>
          <w:sz w:val="32"/>
          <w:szCs w:val="32"/>
          <w:lang w:eastAsia="zh-CN"/>
        </w:rPr>
        <w:t>《水利工程建设安全生产管理规定》（水利部令第</w:t>
      </w:r>
      <w:r>
        <w:rPr>
          <w:rFonts w:hint="eastAsia" w:ascii="Times New Roman" w:hAnsi="Times New Roman" w:eastAsia="方正仿宋_GBK" w:cs="方正仿宋_GBK"/>
          <w:b w:val="0"/>
          <w:bCs w:val="0"/>
          <w:color w:val="auto"/>
          <w:spacing w:val="0"/>
          <w:kern w:val="0"/>
          <w:sz w:val="32"/>
          <w:szCs w:val="32"/>
          <w:lang w:val="en-US" w:eastAsia="zh-CN"/>
        </w:rPr>
        <w:t>26号</w:t>
      </w:r>
      <w:r>
        <w:rPr>
          <w:rFonts w:hint="eastAsia" w:ascii="Times New Roman" w:hAnsi="Times New Roman" w:eastAsia="方正仿宋_GBK" w:cs="方正仿宋_GBK"/>
          <w:b w:val="0"/>
          <w:bCs w:val="0"/>
          <w:color w:val="auto"/>
          <w:spacing w:val="0"/>
          <w:kern w:val="0"/>
          <w:sz w:val="32"/>
          <w:szCs w:val="32"/>
          <w:lang w:eastAsia="zh-CN"/>
        </w:rPr>
        <w:t>）、</w:t>
      </w:r>
      <w:r>
        <w:rPr>
          <w:rFonts w:hint="eastAsia" w:ascii="Times New Roman" w:hAnsi="Times New Roman" w:eastAsia="方正仿宋_GBK" w:cs="方正仿宋_GBK"/>
          <w:b w:val="0"/>
          <w:bCs w:val="0"/>
          <w:snapToGrid/>
          <w:color w:val="auto"/>
          <w:spacing w:val="0"/>
          <w:kern w:val="0"/>
          <w:sz w:val="32"/>
          <w:szCs w:val="32"/>
          <w:lang w:val="en-US" w:eastAsia="zh-CN" w:bidi="ar-SA"/>
        </w:rPr>
        <w:t>《建筑基坑工程监测技术标准》（GB50497—2019）、《建筑边坡工程技术规范》（GB50330—2013）、《水工建筑物地下开挖工程施工规范》（SL378—2007）、《水利水电工程施工安全管理导则》（SL721—2015）、《关于进一步加强隧道工程安全管理的指导意见》（安委办〔2023〕2号）等法规意见，结合本市水利行业实际情况，现就推动全市水利施工项目危大工程开展第三方监测工作有关事项通知如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4" w:lineRule="exact"/>
        <w:ind w:left="0" w:right="0" w:firstLine="640" w:firstLineChars="200"/>
        <w:jc w:val="both"/>
        <w:textAlignment w:val="auto"/>
        <w:rPr>
          <w:rFonts w:hint="eastAsia" w:ascii="Times New Roman" w:hAnsi="Times New Roman" w:eastAsia="方正黑体_GBK" w:cs="方正黑体_GBK"/>
          <w:snapToGrid/>
          <w:color w:val="auto"/>
          <w:spacing w:val="0"/>
          <w:kern w:val="0"/>
          <w:sz w:val="32"/>
          <w:szCs w:val="32"/>
          <w:lang w:val="en-US" w:eastAsia="zh-CN" w:bidi="ar"/>
        </w:rPr>
      </w:pPr>
      <w:r>
        <w:rPr>
          <w:rFonts w:hint="eastAsia" w:ascii="Times New Roman" w:hAnsi="Times New Roman" w:eastAsia="方正黑体_GBK" w:cs="方正黑体_GBK"/>
          <w:snapToGrid/>
          <w:color w:val="auto"/>
          <w:spacing w:val="0"/>
          <w:kern w:val="0"/>
          <w:sz w:val="32"/>
          <w:szCs w:val="32"/>
          <w:lang w:val="en-US" w:eastAsia="zh-CN" w:bidi="ar"/>
        </w:rPr>
        <w:t>一、深刻认识开展第三方监测的必要性</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近年来，全市水利行业危大工程施工安全形势严峻，全市在建水利工程涉及高边坡、深基坑、隧洞等危大工程项目数量多、分布范围广、安全风险大，且部分施工项目风险辨识不足、监测手段单一、项目法人未严格按照相关要求开展第三方监测，个别项目因监测预警不及时导致险情发生。开展第三方监测是落实安全生产主体责任、强化风险源头管控的重要举措，第三方监测机构具有专业技术优势，可客观、独立开展动态监测与数据分析，有效弥补施工企业安全管理短板，提升风险预判和应急处置能力，对防范遏制安全事故、保障人民群众生命财产安全具有重要意义。</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94" w:lineRule="exact"/>
        <w:ind w:left="0" w:right="0" w:firstLine="640" w:firstLineChars="200"/>
        <w:jc w:val="both"/>
        <w:textAlignment w:val="auto"/>
        <w:rPr>
          <w:rFonts w:hint="eastAsia" w:ascii="Times New Roman" w:hAnsi="Times New Roman" w:eastAsia="方正黑体_GBK" w:cs="方正黑体_GBK"/>
          <w:snapToGrid/>
          <w:color w:val="auto"/>
          <w:spacing w:val="0"/>
          <w:kern w:val="0"/>
          <w:sz w:val="32"/>
          <w:szCs w:val="32"/>
          <w:lang w:val="en-US" w:eastAsia="zh-CN" w:bidi="ar"/>
        </w:rPr>
      </w:pPr>
      <w:r>
        <w:rPr>
          <w:rFonts w:hint="eastAsia" w:ascii="Times New Roman" w:hAnsi="Times New Roman" w:eastAsia="方正黑体_GBK" w:cs="方正黑体_GBK"/>
          <w:snapToGrid/>
          <w:color w:val="auto"/>
          <w:spacing w:val="0"/>
          <w:kern w:val="0"/>
          <w:sz w:val="32"/>
          <w:szCs w:val="32"/>
          <w:lang w:val="en-US" w:eastAsia="zh-CN" w:bidi="ar"/>
        </w:rPr>
        <w:t>二、严格依法依规开展第三方监测</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楷体_GBK" w:cs="方正楷体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（一）第三方监测有关定义</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1</w:t>
      </w:r>
      <w:r>
        <w:rPr>
          <w:rFonts w:hint="eastAsia" w:ascii="Times New Roman" w:hAnsi="Times New Roman" w:eastAsia="方正楷体_GBK" w:cs="方正楷体_GBK"/>
          <w:snapToGrid w:val="0"/>
          <w:color w:val="auto"/>
          <w:kern w:val="2"/>
          <w:sz w:val="32"/>
          <w:szCs w:val="32"/>
          <w:lang w:val="en-US" w:eastAsia="zh-CN" w:bidi="ar"/>
        </w:rPr>
        <w:t>．</w:t>
      </w:r>
      <w:r>
        <w:rPr>
          <w:rFonts w:hint="eastAsia" w:ascii="Times New Roman" w:hAnsi="Times New Roman" w:eastAsia="方正仿宋_GBK" w:cs="方正仿宋_GBK"/>
          <w:b w:val="0"/>
          <w:bCs w:val="0"/>
          <w:snapToGrid/>
          <w:color w:val="auto"/>
          <w:spacing w:val="0"/>
          <w:kern w:val="0"/>
          <w:sz w:val="32"/>
          <w:szCs w:val="32"/>
          <w:lang w:val="en-US" w:eastAsia="zh-CN" w:bidi="ar-SA"/>
        </w:rPr>
        <w:t>第三方监测。本通知所称的第三方监测是指按照监测方案对危大工程施工期间的围（支）护结构、岩土体及周边环境的变化情况按有关规范要求进行量测和巡查，并及时计算、分析量测巡查信息和反馈监测成果的活动。</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Times New Roman"/>
          <w:b w:val="0"/>
          <w:bCs w:val="0"/>
          <w:snapToGrid/>
          <w:color w:val="auto"/>
          <w:kern w:val="2"/>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2</w:t>
      </w:r>
      <w:r>
        <w:rPr>
          <w:rFonts w:hint="eastAsia" w:ascii="Times New Roman" w:hAnsi="Times New Roman" w:eastAsia="方正楷体_GBK" w:cs="方正楷体_GBK"/>
          <w:snapToGrid w:val="0"/>
          <w:color w:val="auto"/>
          <w:kern w:val="2"/>
          <w:sz w:val="32"/>
          <w:szCs w:val="32"/>
          <w:lang w:val="en-US" w:eastAsia="zh-CN" w:bidi="ar"/>
        </w:rPr>
        <w:t>．</w:t>
      </w:r>
      <w:r>
        <w:rPr>
          <w:rFonts w:hint="eastAsia" w:ascii="Times New Roman" w:hAnsi="Times New Roman" w:eastAsia="方正仿宋_GBK" w:cs="方正仿宋_GBK"/>
          <w:b w:val="0"/>
          <w:bCs w:val="0"/>
          <w:snapToGrid/>
          <w:color w:val="auto"/>
          <w:spacing w:val="0"/>
          <w:kern w:val="0"/>
          <w:sz w:val="32"/>
          <w:szCs w:val="32"/>
          <w:lang w:val="en-US" w:eastAsia="zh-CN" w:bidi="ar-SA"/>
        </w:rPr>
        <w:t>第三方监测单位。本通知所称的第三方监测单位是指由建设单位依法委托的第三方监测机构，第三方监测费用根据工作需要从建设管理费中列支。第三方监测单位开展的监测活动不得代替施工单位在危大工程施工过程中开展的安全监测、巡查等活动。</w:t>
      </w:r>
      <w:r>
        <w:rPr>
          <w:rFonts w:hint="eastAsia" w:ascii="Times New Roman" w:hAnsi="Times New Roman" w:eastAsia="方正仿宋_GBK" w:cs="Times New Roman"/>
          <w:b w:val="0"/>
          <w:bCs w:val="0"/>
          <w:snapToGrid/>
          <w:color w:val="auto"/>
          <w:kern w:val="2"/>
          <w:sz w:val="32"/>
          <w:szCs w:val="32"/>
          <w:lang w:val="en-US" w:eastAsia="zh-CN" w:bidi="ar-SA"/>
        </w:rPr>
        <w:t>第三方监测单位不能为在建项目的参建单位</w:t>
      </w:r>
      <w:r>
        <w:rPr>
          <w:rFonts w:hint="default" w:ascii="Times New Roman" w:hAnsi="Times New Roman" w:eastAsia="方正仿宋_GBK" w:cs="Times New Roman"/>
          <w:b w:val="0"/>
          <w:bCs w:val="0"/>
          <w:snapToGrid/>
          <w:color w:val="auto"/>
          <w:kern w:val="2"/>
          <w:sz w:val="32"/>
          <w:szCs w:val="32"/>
          <w:lang w:val="en" w:eastAsia="zh-CN" w:bidi="ar-SA"/>
        </w:rPr>
        <w:t>，确保监测独立性</w:t>
      </w:r>
      <w:r>
        <w:rPr>
          <w:rFonts w:hint="eastAsia" w:ascii="Times New Roman" w:hAnsi="Times New Roman" w:eastAsia="方正仿宋_GBK" w:cs="Times New Roman"/>
          <w:b w:val="0"/>
          <w:bCs w:val="0"/>
          <w:snapToGrid/>
          <w:color w:val="auto"/>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Times New Roman"/>
          <w:b w:val="0"/>
          <w:bCs w:val="0"/>
          <w:snapToGrid/>
          <w:color w:val="auto"/>
          <w:kern w:val="2"/>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（二）第三方监测单位资质要求</w:t>
      </w:r>
    </w:p>
    <w:p>
      <w:pPr>
        <w:pStyle w:val="3"/>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第三方监测单位资质应满足被监测对象所需的勘察和测绘资质，第三方监测人员须为本单位专业技术人员。</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楷体_GBK" w:cs="方正楷体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（三）第三方监测范围</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第三方监测范围主要包括全市水利施工项目中符合《水利水电工程施工安全管理导则》（SL721—2015）附录A所列的基坑支护与降水、土方和石方开挖、地下暗挖、围堰等危大及超危大工程的项目。</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黑体_GBK" w:cs="方正黑体_GBK"/>
          <w:snapToGrid/>
          <w:color w:val="auto"/>
          <w:spacing w:val="0"/>
          <w:kern w:val="0"/>
          <w:sz w:val="32"/>
          <w:szCs w:val="32"/>
          <w:lang w:val="en-US" w:eastAsia="zh-CN" w:bidi="ar"/>
        </w:rPr>
      </w:pPr>
      <w:r>
        <w:rPr>
          <w:rFonts w:hint="eastAsia" w:ascii="Times New Roman" w:hAnsi="Times New Roman" w:eastAsia="方正黑体_GBK" w:cs="方正黑体_GBK"/>
          <w:snapToGrid/>
          <w:color w:val="auto"/>
          <w:spacing w:val="0"/>
          <w:kern w:val="0"/>
          <w:sz w:val="32"/>
          <w:szCs w:val="32"/>
          <w:lang w:val="en-US" w:eastAsia="zh-CN" w:bidi="ar"/>
        </w:rPr>
        <w:t>三、加强第三方监测单位与参建单位协同配合</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楷体_GBK" w:cs="方正楷体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（一）强化设计协作</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设计单位应在设计文件中明确监测对象、监测频率、监测点数量及位置、监测控制值和报警值等技术要求，并应参与第三方监测方案的评审、参与预警问题的处理。</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楷体_GBK" w:cs="方正楷体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（二）强化施工协作</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施工单位应配合第三方监测单位开展测点埋设和保护工作，及时响应监测预警并开展抢险处理工作，施工单位开展的施工监测工作接受第三方监测单位的指导及监督。</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楷体_GBK" w:cs="方正楷体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（三）强化监理协作</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监理单位应按照监测实施细则督促施工监测及第三方监测单位严格按照监测方案实施监测，与第三方监测单位共同做好施工监测测点验收工作，对危大工程的重要部位的监测实施旁站。</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黑体_GBK" w:cs="方正黑体_GBK"/>
          <w:b w:val="0"/>
          <w:bCs w:val="0"/>
          <w:snapToGrid/>
          <w:color w:val="auto"/>
          <w:spacing w:val="0"/>
          <w:kern w:val="0"/>
          <w:sz w:val="32"/>
          <w:szCs w:val="32"/>
          <w:lang w:val="en-US" w:eastAsia="zh-CN" w:bidi="ar-SA"/>
        </w:rPr>
      </w:pPr>
      <w:r>
        <w:rPr>
          <w:rFonts w:hint="eastAsia" w:ascii="Times New Roman" w:hAnsi="Times New Roman" w:eastAsia="方正黑体_GBK" w:cs="方正黑体_GBK"/>
          <w:b w:val="0"/>
          <w:bCs w:val="0"/>
          <w:snapToGrid/>
          <w:color w:val="auto"/>
          <w:spacing w:val="0"/>
          <w:kern w:val="0"/>
          <w:sz w:val="32"/>
          <w:szCs w:val="32"/>
          <w:lang w:val="en-US" w:eastAsia="zh-CN" w:bidi="ar-SA"/>
        </w:rPr>
        <w:t>四、加强第三方监测单位管理</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楷体_GBK" w:cs="方正楷体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（一）明确工作职责</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建设单位应向第三方监测单位提供必要的技术资料和工作条件。第三方监测单位应依据法律法规、规范标准、施工图设计文件要求及合同约定编制监测方案，根据方案实施监测工作，保证监测数据信息真实、准确、及时，并对量测、巡视信息进行客观分析；第三方监测单位应对其作出的监测成果承担相应责任，不得分包第三方监测合同任务。</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楷体_GBK" w:cs="方正楷体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（二）建立预警机制</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仿宋_GBK" w:cs="方正仿宋_GBK"/>
          <w:b w:val="0"/>
          <w:bCs w:val="0"/>
          <w:snapToGrid/>
          <w:color w:val="auto"/>
          <w:spacing w:val="0"/>
          <w:kern w:val="0"/>
          <w:sz w:val="32"/>
          <w:szCs w:val="32"/>
          <w:lang w:val="en-US" w:eastAsia="zh-CN" w:bidi="ar-SA"/>
        </w:rPr>
        <w:t>建设单位应建立第三方监测预警机制，并根据监测单位报送的预警信息分级处置。第三方监测预警级别由建设单位根据监测技术要求、现场可能发生安全质量事故的紧急程度及危害程度设定并在应急预案中明确。第三方监测单位的预警信息应及时报告建设单位和其他相关单位。</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baseline"/>
        <w:rPr>
          <w:rFonts w:hint="eastAsia" w:ascii="Times New Roman" w:hAnsi="Times New Roman" w:eastAsia="方正黑体_GBK" w:cs="方正黑体_GBK"/>
          <w:snapToGrid/>
          <w:color w:val="auto"/>
          <w:spacing w:val="0"/>
          <w:kern w:val="0"/>
          <w:sz w:val="32"/>
          <w:szCs w:val="32"/>
          <w:lang w:val="en-US" w:eastAsia="zh-CN" w:bidi="ar"/>
        </w:rPr>
      </w:pPr>
      <w:r>
        <w:rPr>
          <w:rFonts w:hint="eastAsia" w:ascii="Times New Roman" w:hAnsi="Times New Roman" w:eastAsia="方正黑体_GBK" w:cs="方正黑体_GBK"/>
          <w:snapToGrid/>
          <w:color w:val="auto"/>
          <w:spacing w:val="0"/>
          <w:kern w:val="0"/>
          <w:sz w:val="32"/>
          <w:szCs w:val="32"/>
          <w:lang w:val="en-US" w:eastAsia="zh-CN" w:bidi="ar"/>
        </w:rPr>
        <w:t>五、有关工作要求</w:t>
      </w:r>
    </w:p>
    <w:p>
      <w:pPr>
        <w:pStyle w:val="3"/>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（一）加强组织领导。</w:t>
      </w:r>
      <w:r>
        <w:rPr>
          <w:rFonts w:hint="eastAsia" w:ascii="Times New Roman" w:hAnsi="Times New Roman" w:eastAsia="方正仿宋_GBK" w:cs="方正仿宋_GBK"/>
          <w:b w:val="0"/>
          <w:bCs w:val="0"/>
          <w:snapToGrid/>
          <w:color w:val="auto"/>
          <w:spacing w:val="0"/>
          <w:kern w:val="0"/>
          <w:sz w:val="32"/>
          <w:szCs w:val="32"/>
          <w:lang w:val="en-US" w:eastAsia="zh-CN" w:bidi="ar-SA"/>
        </w:rPr>
        <w:t>各区县（自治县）水行政主管部门和相关水利生产经营单位要高度重视，强化组织领导，加快部署，</w:t>
      </w:r>
      <w:r>
        <w:rPr>
          <w:rFonts w:hint="eastAsia" w:ascii="Times New Roman" w:hAnsi="Times New Roman" w:eastAsia="方正仿宋_GBK" w:cs="方正仿宋_GBK"/>
          <w:b w:val="0"/>
          <w:bCs w:val="0"/>
          <w:snapToGrid w:val="0"/>
          <w:color w:val="auto"/>
          <w:spacing w:val="-6"/>
          <w:kern w:val="0"/>
          <w:sz w:val="32"/>
          <w:szCs w:val="32"/>
          <w:lang w:val="en-US" w:eastAsia="zh-CN" w:bidi="ar-SA"/>
        </w:rPr>
        <w:t>严格按照要求推进第三方监测工作，确保第三方监测工作落地见</w:t>
      </w:r>
      <w:r>
        <w:rPr>
          <w:rFonts w:hint="eastAsia" w:ascii="Times New Roman" w:hAnsi="Times New Roman" w:eastAsia="方正仿宋_GBK" w:cs="方正仿宋_GBK"/>
          <w:b w:val="0"/>
          <w:bCs w:val="0"/>
          <w:snapToGrid/>
          <w:color w:val="auto"/>
          <w:spacing w:val="0"/>
          <w:kern w:val="0"/>
          <w:sz w:val="32"/>
          <w:szCs w:val="32"/>
          <w:lang w:val="en-US" w:eastAsia="zh-CN" w:bidi="ar-SA"/>
        </w:rPr>
        <w:t>效。自本通知印发之日起，原则上全市所有符合第三方监测范围新开工的水利工程项目遵照执行，印发前已开始实施的项目参照执行。</w:t>
      </w:r>
    </w:p>
    <w:p>
      <w:pPr>
        <w:pStyle w:val="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（二）加强信息报送。</w:t>
      </w:r>
      <w:r>
        <w:rPr>
          <w:rFonts w:hint="eastAsia" w:ascii="Times New Roman" w:hAnsi="Times New Roman" w:eastAsia="方正仿宋_GBK" w:cs="方正仿宋_GBK"/>
          <w:b w:val="0"/>
          <w:bCs w:val="0"/>
          <w:snapToGrid/>
          <w:color w:val="auto"/>
          <w:spacing w:val="0"/>
          <w:kern w:val="0"/>
          <w:sz w:val="32"/>
          <w:szCs w:val="32"/>
          <w:lang w:val="en-US" w:eastAsia="zh-CN" w:bidi="ar-SA"/>
        </w:rPr>
        <w:t>建设单位应将第三方监测单位提交的监测报告每月报属地区县水行政主管部门备案，区县水行政主管部门</w:t>
      </w:r>
      <w:r>
        <w:rPr>
          <w:rFonts w:hint="eastAsia" w:ascii="Times New Roman" w:hAnsi="Times New Roman" w:eastAsia="方正仿宋_GBK" w:cs="方正仿宋_GBK"/>
          <w:b w:val="0"/>
          <w:bCs w:val="0"/>
          <w:snapToGrid w:val="0"/>
          <w:color w:val="auto"/>
          <w:spacing w:val="-6"/>
          <w:kern w:val="0"/>
          <w:sz w:val="32"/>
          <w:szCs w:val="32"/>
          <w:lang w:val="en-US" w:eastAsia="zh-CN" w:bidi="ar-SA"/>
        </w:rPr>
        <w:t>应建立本地区危大工程监管台账并按季度向市水利局报送（详见附表</w:t>
      </w:r>
      <w:r>
        <w:rPr>
          <w:rFonts w:hint="eastAsia" w:ascii="Times New Roman" w:hAnsi="Times New Roman" w:eastAsia="方正仿宋_GBK" w:cs="方正仿宋_GBK"/>
          <w:b w:val="0"/>
          <w:bCs w:val="0"/>
          <w:snapToGrid/>
          <w:color w:val="auto"/>
          <w:spacing w:val="0"/>
          <w:kern w:val="0"/>
          <w:sz w:val="32"/>
          <w:szCs w:val="32"/>
          <w:lang w:val="en-US" w:eastAsia="zh-CN" w:bidi="ar-SA"/>
        </w:rPr>
        <w:t>）。</w:t>
      </w:r>
    </w:p>
    <w:p>
      <w:pPr>
        <w:pStyle w:val="3"/>
        <w:keepNext w:val="0"/>
        <w:keepLines w:val="0"/>
        <w:pageBreakBefore w:val="0"/>
        <w:widowControl w:val="0"/>
        <w:kinsoku/>
        <w:wordWrap/>
        <w:overflowPunct/>
        <w:topLinePunct w:val="0"/>
        <w:autoSpaceDE/>
        <w:autoSpaceDN/>
        <w:bidi w:val="0"/>
        <w:snapToGrid w:val="0"/>
        <w:spacing w:line="594" w:lineRule="exact"/>
        <w:ind w:firstLine="640" w:firstLineChars="200"/>
        <w:jc w:val="both"/>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eastAsia" w:ascii="Times New Roman" w:hAnsi="Times New Roman" w:eastAsia="方正楷体_GBK" w:cs="方正楷体_GBK"/>
          <w:b w:val="0"/>
          <w:bCs w:val="0"/>
          <w:snapToGrid/>
          <w:color w:val="auto"/>
          <w:spacing w:val="0"/>
          <w:kern w:val="0"/>
          <w:sz w:val="32"/>
          <w:szCs w:val="32"/>
          <w:lang w:val="en-US" w:eastAsia="zh-CN" w:bidi="ar-SA"/>
        </w:rPr>
        <w:t>（三）加强跟踪督导。</w:t>
      </w:r>
      <w:r>
        <w:rPr>
          <w:rFonts w:hint="eastAsia" w:ascii="Times New Roman" w:hAnsi="Times New Roman" w:eastAsia="方正仿宋_GBK" w:cs="方正仿宋_GBK"/>
          <w:b w:val="0"/>
          <w:bCs w:val="0"/>
          <w:snapToGrid/>
          <w:color w:val="auto"/>
          <w:spacing w:val="0"/>
          <w:kern w:val="0"/>
          <w:sz w:val="32"/>
          <w:szCs w:val="32"/>
          <w:lang w:val="en-US" w:eastAsia="zh-CN" w:bidi="ar-SA"/>
        </w:rPr>
        <w:t>各</w:t>
      </w:r>
      <w:r>
        <w:rPr>
          <w:rFonts w:hint="eastAsia" w:ascii="Times New Roman" w:hAnsi="Times New Roman" w:eastAsia="方正仿宋_GBK" w:cs="方正仿宋_GBK"/>
          <w:b w:val="0"/>
          <w:bCs w:val="0"/>
          <w:color w:val="auto"/>
          <w:spacing w:val="0"/>
          <w:kern w:val="0"/>
          <w:sz w:val="32"/>
          <w:szCs w:val="32"/>
          <w:lang w:eastAsia="zh-CN"/>
        </w:rPr>
        <w:t>区县（自治县）</w:t>
      </w:r>
      <w:r>
        <w:rPr>
          <w:rFonts w:hint="eastAsia" w:ascii="Times New Roman" w:hAnsi="Times New Roman" w:eastAsia="方正仿宋_GBK" w:cs="方正仿宋_GBK"/>
          <w:b w:val="0"/>
          <w:bCs w:val="0"/>
          <w:snapToGrid/>
          <w:color w:val="auto"/>
          <w:spacing w:val="0"/>
          <w:kern w:val="0"/>
          <w:sz w:val="32"/>
          <w:szCs w:val="32"/>
          <w:lang w:val="en-US" w:eastAsia="zh-CN" w:bidi="ar-SA"/>
        </w:rPr>
        <w:t>水行政主管部门应将危大工程第三方监测纳入水利工程安全监督范围，对辖区内危大工程第三方监测开展情况进行指导帮扶和监督检查，督促相关单位按其职责有效实施第三方监测工作。市水利局将结合安全生产监督检查，对区县该项工作开展情况进行督导，对试行期间的相关情况进行收集，查找试行过程中的堵点难点，根据实际情况适时对该工作进行调整。</w:t>
      </w:r>
    </w:p>
    <w:p>
      <w:pPr>
        <w:pStyle w:val="2"/>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baseline"/>
        <w:rPr>
          <w:rFonts w:hint="eastAsia" w:ascii="Times New Roman" w:hAnsi="Times New Roman" w:eastAsia="方正仿宋_GBK" w:cs="方正仿宋_GBK"/>
          <w:b w:val="0"/>
          <w:bCs w:val="0"/>
          <w:snapToGrid/>
          <w:color w:val="auto"/>
          <w:spacing w:val="0"/>
          <w:kern w:val="0"/>
          <w:sz w:val="32"/>
          <w:szCs w:val="32"/>
          <w:lang w:val="en-US" w:eastAsia="zh-CN" w:bidi="ar-SA"/>
        </w:rPr>
      </w:pPr>
      <w:r>
        <w:rPr>
          <w:rFonts w:hint="default" w:ascii="Times New Roman" w:hAnsi="Times New Roman" w:eastAsia="方正仿宋_GBK" w:cs="方正仿宋_GBK"/>
          <w:b w:val="0"/>
          <w:bCs w:val="0"/>
          <w:snapToGrid/>
          <w:color w:val="auto"/>
          <w:spacing w:val="0"/>
          <w:kern w:val="0"/>
          <w:sz w:val="32"/>
          <w:szCs w:val="32"/>
          <w:lang w:val="en-US" w:eastAsia="zh-CN" w:bidi="ar-SA"/>
        </w:rPr>
        <w:t>附表</w:t>
      </w:r>
      <w:r>
        <w:rPr>
          <w:rFonts w:hint="eastAsia" w:ascii="Times New Roman" w:hAnsi="Times New Roman" w:eastAsia="方正仿宋_GBK" w:cs="方正仿宋_GBK"/>
          <w:b w:val="0"/>
          <w:bCs w:val="0"/>
          <w:snapToGrid/>
          <w:color w:val="auto"/>
          <w:spacing w:val="0"/>
          <w:kern w:val="0"/>
          <w:sz w:val="32"/>
          <w:szCs w:val="32"/>
          <w:lang w:val="en-US" w:eastAsia="zh-CN" w:bidi="ar-SA"/>
        </w:rPr>
        <w:t>：××区（县）危大工程第×季度监管台账</w:t>
      </w:r>
    </w:p>
    <w:p>
      <w:pPr>
        <w:pStyle w:val="3"/>
        <w:keepNext w:val="0"/>
        <w:keepLines w:val="0"/>
        <w:pageBreakBefore w:val="0"/>
        <w:widowControl w:val="0"/>
        <w:kinsoku/>
        <w:wordWrap/>
        <w:overflowPunct/>
        <w:topLinePunct w:val="0"/>
        <w:autoSpaceDE/>
        <w:autoSpaceDN/>
        <w:bidi w:val="0"/>
        <w:snapToGrid w:val="0"/>
        <w:spacing w:line="594" w:lineRule="exact"/>
        <w:ind w:left="0" w:leftChars="0" w:firstLine="0" w:firstLineChars="0"/>
        <w:rPr>
          <w:rFonts w:hint="eastAsia" w:ascii="Times New Roman" w:hAnsi="Times New Roman"/>
          <w:color w:val="auto"/>
          <w:lang w:val="en-US" w:eastAsia="zh-CN"/>
        </w:rPr>
      </w:pPr>
    </w:p>
    <w:p>
      <w:pPr>
        <w:pStyle w:val="3"/>
        <w:keepNext w:val="0"/>
        <w:keepLines w:val="0"/>
        <w:pageBreakBefore w:val="0"/>
        <w:widowControl w:val="0"/>
        <w:kinsoku/>
        <w:wordWrap/>
        <w:overflowPunct/>
        <w:topLinePunct w:val="0"/>
        <w:autoSpaceDE/>
        <w:autoSpaceDN/>
        <w:bidi w:val="0"/>
        <w:snapToGrid w:val="0"/>
        <w:spacing w:line="594" w:lineRule="exact"/>
        <w:ind w:left="0" w:leftChars="0" w:firstLine="0" w:firstLineChars="0"/>
        <w:rPr>
          <w:rFonts w:hint="eastAsia" w:ascii="Times New Roman" w:hAnsi="Times New Roman"/>
          <w:color w:val="auto"/>
          <w:lang w:val="en-US" w:eastAsia="zh-CN"/>
        </w:rPr>
      </w:pPr>
    </w:p>
    <w:p>
      <w:pPr>
        <w:pStyle w:val="3"/>
        <w:keepNext w:val="0"/>
        <w:keepLines w:val="0"/>
        <w:pageBreakBefore w:val="0"/>
        <w:widowControl w:val="0"/>
        <w:kinsoku/>
        <w:wordWrap/>
        <w:overflowPunct/>
        <w:topLinePunct w:val="0"/>
        <w:autoSpaceDE/>
        <w:autoSpaceDN/>
        <w:bidi w:val="0"/>
        <w:snapToGrid w:val="0"/>
        <w:spacing w:line="594" w:lineRule="exact"/>
        <w:ind w:left="0" w:leftChars="0" w:firstLine="0" w:firstLineChars="0"/>
        <w:rPr>
          <w:rFonts w:hint="eastAsia" w:ascii="Times New Roman" w:hAnsi="Times New Roman"/>
          <w:color w:val="auto"/>
          <w:lang w:val="en-US" w:eastAsia="zh-CN"/>
        </w:rPr>
      </w:pPr>
    </w:p>
    <w:p>
      <w:pPr>
        <w:pStyle w:val="2"/>
        <w:keepNext w:val="0"/>
        <w:keepLines w:val="0"/>
        <w:pageBreakBefore w:val="0"/>
        <w:widowControl w:val="0"/>
        <w:kinsoku/>
        <w:wordWrap/>
        <w:overflowPunct/>
        <w:topLinePunct w:val="0"/>
        <w:autoSpaceDE/>
        <w:autoSpaceDN/>
        <w:bidi w:val="0"/>
        <w:snapToGrid w:val="0"/>
        <w:spacing w:line="594" w:lineRule="exact"/>
        <w:ind w:firstLine="4800" w:firstLineChars="1500"/>
        <w:jc w:val="both"/>
        <w:rPr>
          <w:rFonts w:hint="eastAsia" w:ascii="Times New Roman" w:hAnsi="Times New Roman" w:eastAsia="方正仿宋_GBK" w:cs="方正仿宋_GBK"/>
          <w:snapToGrid w:val="0"/>
          <w:color w:val="auto"/>
          <w:spacing w:val="0"/>
          <w:kern w:val="0"/>
          <w:sz w:val="32"/>
          <w:szCs w:val="32"/>
          <w:lang w:val="en-US" w:eastAsia="zh-CN" w:bidi="ar-SA"/>
        </w:rPr>
      </w:pPr>
      <w:r>
        <w:rPr>
          <w:rFonts w:hint="eastAsia" w:ascii="Times New Roman" w:hAnsi="Times New Roman" w:eastAsia="方正仿宋_GBK" w:cs="方正仿宋_GBK"/>
          <w:snapToGrid w:val="0"/>
          <w:color w:val="auto"/>
          <w:spacing w:val="0"/>
          <w:kern w:val="0"/>
          <w:sz w:val="32"/>
          <w:szCs w:val="32"/>
          <w:lang w:val="en-US" w:eastAsia="zh-CN" w:bidi="ar-SA"/>
        </w:rPr>
        <w:t>重庆市水利局办公室</w:t>
      </w:r>
    </w:p>
    <w:p>
      <w:pPr>
        <w:pStyle w:val="2"/>
        <w:keepNext w:val="0"/>
        <w:keepLines w:val="0"/>
        <w:pageBreakBefore w:val="0"/>
        <w:widowControl w:val="0"/>
        <w:kinsoku/>
        <w:wordWrap/>
        <w:overflowPunct/>
        <w:topLinePunct w:val="0"/>
        <w:autoSpaceDE/>
        <w:autoSpaceDN/>
        <w:bidi w:val="0"/>
        <w:snapToGrid w:val="0"/>
        <w:spacing w:line="594" w:lineRule="exact"/>
        <w:ind w:firstLine="4800" w:firstLineChars="1500"/>
        <w:jc w:val="both"/>
        <w:rPr>
          <w:rFonts w:hint="eastAsia" w:ascii="Times New Roman" w:hAnsi="Times New Roman" w:eastAsia="方正仿宋_GBK" w:cs="方正仿宋_GBK"/>
          <w:color w:val="auto"/>
          <w:spacing w:val="0"/>
          <w:kern w:val="0"/>
          <w:sz w:val="32"/>
          <w:szCs w:val="32"/>
        </w:rPr>
      </w:pPr>
      <w:r>
        <w:rPr>
          <w:rFonts w:hint="eastAsia" w:ascii="Times New Roman" w:hAnsi="Times New Roman" w:eastAsia="方正仿宋_GBK" w:cs="方正仿宋_GBK"/>
          <w:snapToGrid w:val="0"/>
          <w:color w:val="auto"/>
          <w:spacing w:val="0"/>
          <w:kern w:val="0"/>
          <w:sz w:val="32"/>
          <w:szCs w:val="32"/>
          <w:lang w:val="en-US" w:eastAsia="zh-CN" w:bidi="ar-SA"/>
        </w:rPr>
        <w:t xml:space="preserve">  2025年</w:t>
      </w:r>
      <w:bookmarkStart w:id="0" w:name="_GoBack"/>
      <w:bookmarkEnd w:id="0"/>
      <w:r>
        <w:rPr>
          <w:rFonts w:hint="eastAsia" w:ascii="Times New Roman" w:hAnsi="Times New Roman" w:eastAsia="方正仿宋_GBK" w:cs="方正仿宋_GBK"/>
          <w:snapToGrid w:val="0"/>
          <w:color w:val="auto"/>
          <w:spacing w:val="0"/>
          <w:kern w:val="0"/>
          <w:sz w:val="32"/>
          <w:szCs w:val="32"/>
          <w:lang w:val="en-US" w:eastAsia="zh-CN" w:bidi="ar-SA"/>
        </w:rPr>
        <w:t>5月20日</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b w:val="0"/>
          <w:bCs w:val="0"/>
          <w:color w:val="auto"/>
          <w:spacing w:val="0"/>
          <w:kern w:val="0"/>
          <w:sz w:val="32"/>
          <w:szCs w:val="32"/>
          <w:lang w:eastAsia="zh-CN"/>
        </w:rPr>
      </w:pPr>
      <w:r>
        <w:rPr>
          <w:rFonts w:hint="eastAsia" w:ascii="Times New Roman" w:hAnsi="Times New Roman" w:eastAsia="方正仿宋_GBK" w:cs="方正仿宋_GBK"/>
          <w:b w:val="0"/>
          <w:bCs w:val="0"/>
          <w:color w:val="auto"/>
          <w:spacing w:val="0"/>
          <w:kern w:val="0"/>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rPr>
          <w:rFonts w:hint="eastAsia" w:ascii="Times New Roman" w:hAnsi="Times New Roman" w:eastAsia="方正仿宋_GBK" w:cs="方正仿宋_GBK"/>
          <w:b w:val="0"/>
          <w:bCs w:val="0"/>
          <w:color w:val="auto"/>
          <w:spacing w:val="0"/>
          <w:kern w:val="0"/>
          <w:sz w:val="32"/>
          <w:szCs w:val="32"/>
          <w:lang w:eastAsia="zh-CN"/>
        </w:rPr>
      </w:pPr>
      <w:r>
        <w:rPr>
          <w:rFonts w:hint="eastAsia" w:ascii="Times New Roman" w:hAnsi="Times New Roman" w:eastAsia="方正仿宋_GBK" w:cs="方正仿宋_GBK"/>
          <w:b w:val="0"/>
          <w:bCs w:val="0"/>
          <w:color w:val="auto"/>
          <w:spacing w:val="0"/>
          <w:kern w:val="0"/>
          <w:sz w:val="32"/>
          <w:szCs w:val="32"/>
          <w:lang w:val="en-US" w:eastAsia="zh-CN"/>
        </w:rPr>
        <w:t>（联系人：陈茂；联系电话：023</w:t>
      </w:r>
      <w:r>
        <w:rPr>
          <w:rFonts w:hint="eastAsia" w:eastAsia="方正仿宋_GBK" w:cs="方正仿宋_GBK"/>
          <w:b w:val="0"/>
          <w:bCs w:val="0"/>
          <w:color w:val="auto"/>
          <w:spacing w:val="0"/>
          <w:kern w:val="0"/>
          <w:sz w:val="32"/>
          <w:szCs w:val="32"/>
          <w:lang w:val="en-US" w:eastAsia="zh-CN"/>
        </w:rPr>
        <w:t>-</w:t>
      </w:r>
      <w:r>
        <w:rPr>
          <w:rFonts w:hint="eastAsia" w:ascii="Times New Roman" w:hAnsi="Times New Roman" w:eastAsia="方正仿宋_GBK" w:cs="方正仿宋_GBK"/>
          <w:b w:val="0"/>
          <w:bCs w:val="0"/>
          <w:color w:val="auto"/>
          <w:spacing w:val="0"/>
          <w:kern w:val="0"/>
          <w:sz w:val="32"/>
          <w:szCs w:val="32"/>
          <w:lang w:val="en-US" w:eastAsia="zh-CN"/>
        </w:rPr>
        <w:t>88707133）</w:t>
      </w:r>
    </w:p>
    <w:p>
      <w:pPr>
        <w:keepNext w:val="0"/>
        <w:keepLines w:val="0"/>
        <w:pageBreakBefore w:val="0"/>
        <w:widowControl w:val="0"/>
        <w:kinsoku/>
        <w:wordWrap/>
        <w:overflowPunct/>
        <w:topLinePunct w:val="0"/>
        <w:autoSpaceDE/>
        <w:autoSpaceDN/>
        <w:bidi w:val="0"/>
        <w:snapToGrid w:val="0"/>
        <w:spacing w:line="594" w:lineRule="exact"/>
        <w:ind w:left="0"/>
        <w:jc w:val="both"/>
        <w:rPr>
          <w:rFonts w:hint="eastAsia" w:ascii="Times New Roman" w:hAnsi="Times New Roman" w:eastAsia="方正仿宋_GBK" w:cs="方正仿宋_GBK"/>
          <w:color w:val="auto"/>
          <w:spacing w:val="0"/>
          <w:kern w:val="0"/>
          <w:sz w:val="32"/>
          <w:szCs w:val="32"/>
          <w:lang w:eastAsia="zh-CN"/>
        </w:rPr>
        <w:sectPr>
          <w:footerReference r:id="rId3" w:type="default"/>
          <w:pgSz w:w="11906" w:h="16838"/>
          <w:pgMar w:top="1984" w:right="1446" w:bottom="1644" w:left="1446" w:header="851" w:footer="1474" w:gutter="0"/>
          <w:cols w:space="720" w:num="1"/>
          <w:rtlGutter w:val="0"/>
          <w:docGrid w:type="lines" w:linePitch="312" w:charSpace="0"/>
        </w:sectPr>
      </w:pPr>
    </w:p>
    <w:p>
      <w:pPr>
        <w:keepNext w:val="0"/>
        <w:keepLines w:val="0"/>
        <w:pageBreakBefore w:val="0"/>
        <w:widowControl w:val="0"/>
        <w:kinsoku/>
        <w:wordWrap/>
        <w:overflowPunct/>
        <w:topLinePunct w:val="0"/>
        <w:bidi w:val="0"/>
        <w:snapToGrid w:val="0"/>
        <w:spacing w:line="594" w:lineRule="exact"/>
        <w:ind w:left="0"/>
        <w:jc w:val="both"/>
        <w:rPr>
          <w:rFonts w:hint="default" w:ascii="Times New Roman" w:hAnsi="Times New Roman" w:eastAsia="方正黑体_GBK" w:cs="Times New Roman"/>
          <w:b w:val="0"/>
          <w:bCs w:val="0"/>
          <w:snapToGrid/>
          <w:color w:val="auto"/>
          <w:spacing w:val="0"/>
          <w:kern w:val="0"/>
          <w:sz w:val="32"/>
          <w:szCs w:val="32"/>
          <w:lang w:val="en-US" w:eastAsia="zh-CN" w:bidi="ar-SA"/>
        </w:rPr>
      </w:pPr>
      <w:r>
        <w:rPr>
          <w:rFonts w:hint="default" w:ascii="Times New Roman" w:hAnsi="Times New Roman" w:eastAsia="方正黑体_GBK" w:cs="Times New Roman"/>
          <w:b w:val="0"/>
          <w:bCs w:val="0"/>
          <w:snapToGrid/>
          <w:color w:val="auto"/>
          <w:spacing w:val="0"/>
          <w:kern w:val="0"/>
          <w:sz w:val="32"/>
          <w:szCs w:val="32"/>
          <w:lang w:val="en-US" w:eastAsia="zh-CN" w:bidi="ar-SA"/>
        </w:rPr>
        <w:t>附表</w:t>
      </w:r>
    </w:p>
    <w:p>
      <w:pPr>
        <w:pStyle w:val="3"/>
        <w:keepNext w:val="0"/>
        <w:keepLines w:val="0"/>
        <w:pageBreakBefore w:val="0"/>
        <w:widowControl w:val="0"/>
        <w:kinsoku/>
        <w:wordWrap/>
        <w:overflowPunct/>
        <w:topLinePunct w:val="0"/>
        <w:autoSpaceDE/>
        <w:autoSpaceDN/>
        <w:bidi w:val="0"/>
        <w:adjustRightInd/>
        <w:snapToGrid w:val="0"/>
        <w:spacing w:after="95" w:afterLines="30" w:line="594" w:lineRule="exact"/>
        <w:ind w:left="0" w:leftChars="0" w:firstLine="0" w:firstLineChars="0"/>
        <w:jc w:val="center"/>
        <w:textAlignment w:val="auto"/>
        <w:rPr>
          <w:rFonts w:hint="eastAsia" w:ascii="Times New Roman" w:hAnsi="Times New Roman" w:eastAsia="方正小标宋_GBK" w:cs="方正小标宋_GBK"/>
          <w:b w:val="0"/>
          <w:bCs w:val="0"/>
          <w:snapToGrid/>
          <w:color w:val="auto"/>
          <w:spacing w:val="0"/>
          <w:kern w:val="0"/>
          <w:sz w:val="44"/>
          <w:szCs w:val="44"/>
          <w:lang w:val="en-US" w:eastAsia="zh-CN" w:bidi="ar-SA"/>
        </w:rPr>
      </w:pPr>
      <w:r>
        <w:rPr>
          <w:rFonts w:hint="eastAsia" w:ascii="Times New Roman" w:hAnsi="Times New Roman" w:eastAsia="方正小标宋_GBK" w:cs="方正小标宋_GBK"/>
          <w:b w:val="0"/>
          <w:bCs w:val="0"/>
          <w:snapToGrid/>
          <w:color w:val="auto"/>
          <w:spacing w:val="0"/>
          <w:kern w:val="0"/>
          <w:sz w:val="44"/>
          <w:szCs w:val="44"/>
          <w:lang w:val="en-US" w:eastAsia="zh-CN" w:bidi="ar-SA"/>
        </w:rPr>
        <w:t>××</w:t>
      </w:r>
      <w:r>
        <w:rPr>
          <w:rFonts w:hint="eastAsia" w:ascii="Times New Roman" w:hAnsi="Times New Roman" w:eastAsia="方正小标宋_GBK" w:cs="方正小标宋_GBK"/>
          <w:color w:val="auto"/>
          <w:spacing w:val="0"/>
          <w:kern w:val="0"/>
          <w:sz w:val="44"/>
          <w:szCs w:val="44"/>
          <w:lang w:val="en-US" w:eastAsia="zh-CN"/>
        </w:rPr>
        <w:t>区（县）</w:t>
      </w:r>
      <w:r>
        <w:rPr>
          <w:rFonts w:hint="eastAsia" w:ascii="Times New Roman" w:hAnsi="Times New Roman" w:eastAsia="方正小标宋_GBK" w:cs="方正小标宋_GBK"/>
          <w:b w:val="0"/>
          <w:bCs w:val="0"/>
          <w:snapToGrid/>
          <w:color w:val="auto"/>
          <w:spacing w:val="0"/>
          <w:kern w:val="0"/>
          <w:sz w:val="44"/>
          <w:szCs w:val="44"/>
          <w:lang w:val="en-US" w:eastAsia="zh-CN" w:bidi="ar-SA"/>
        </w:rPr>
        <w:t>危大工程第×季度监管台账</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437"/>
        <w:gridCol w:w="2188"/>
        <w:gridCol w:w="1559"/>
        <w:gridCol w:w="1253"/>
        <w:gridCol w:w="1329"/>
        <w:gridCol w:w="2015"/>
        <w:gridCol w:w="2108"/>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8"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××区</w:t>
            </w:r>
          </w:p>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（县）</w:t>
            </w:r>
          </w:p>
        </w:tc>
        <w:tc>
          <w:tcPr>
            <w:tcW w:w="507"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w:t>
            </w:r>
          </w:p>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项目</w:t>
            </w:r>
          </w:p>
        </w:tc>
        <w:tc>
          <w:tcPr>
            <w:tcW w:w="772"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危大工程名称：</w:t>
            </w:r>
          </w:p>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（简要描述内容）</w:t>
            </w:r>
          </w:p>
        </w:tc>
        <w:tc>
          <w:tcPr>
            <w:tcW w:w="550"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危大工程计划</w:t>
            </w:r>
          </w:p>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施工时间</w:t>
            </w:r>
          </w:p>
        </w:tc>
        <w:tc>
          <w:tcPr>
            <w:tcW w:w="442"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建设</w:t>
            </w:r>
          </w:p>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单位</w:t>
            </w:r>
          </w:p>
        </w:tc>
        <w:tc>
          <w:tcPr>
            <w:tcW w:w="469"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第三方监测</w:t>
            </w:r>
          </w:p>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单位</w:t>
            </w:r>
          </w:p>
        </w:tc>
        <w:tc>
          <w:tcPr>
            <w:tcW w:w="711"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第×季度监测预警</w:t>
            </w:r>
          </w:p>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信息描述</w:t>
            </w:r>
          </w:p>
        </w:tc>
        <w:tc>
          <w:tcPr>
            <w:tcW w:w="744"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预警信息处置情况</w:t>
            </w:r>
          </w:p>
        </w:tc>
        <w:tc>
          <w:tcPr>
            <w:tcW w:w="452" w:type="pct"/>
            <w:noWrap w:val="0"/>
            <w:vAlign w:val="center"/>
          </w:tcPr>
          <w:p>
            <w:pPr>
              <w:pStyle w:val="3"/>
              <w:keepNext w:val="0"/>
              <w:keepLines w:val="0"/>
              <w:pageBreakBefore w:val="0"/>
              <w:widowControl w:val="0"/>
              <w:kinsoku/>
              <w:wordWrap/>
              <w:overflowPunct/>
              <w:topLinePunct w:val="0"/>
              <w:autoSpaceDE w:val="0"/>
              <w:autoSpaceDN w:val="0"/>
              <w:bidi w:val="0"/>
              <w:adjustRightInd w:val="0"/>
              <w:snapToGrid w:val="0"/>
              <w:spacing w:line="300" w:lineRule="exact"/>
              <w:ind w:left="0" w:leftChars="0" w:firstLine="0" w:firstLineChars="0"/>
              <w:jc w:val="center"/>
              <w:textAlignment w:val="baseline"/>
              <w:rPr>
                <w:rFonts w:hint="eastAsia" w:ascii="Times New Roman" w:hAnsi="Times New Roman" w:eastAsia="宋体" w:cs="宋体"/>
                <w:b/>
                <w:bCs/>
                <w:snapToGrid/>
                <w:color w:val="auto"/>
                <w:spacing w:val="0"/>
                <w:kern w:val="0"/>
                <w:sz w:val="21"/>
                <w:szCs w:val="21"/>
                <w:lang w:val="en-US" w:eastAsia="zh-CN" w:bidi="ar-SA"/>
              </w:rPr>
            </w:pPr>
            <w:r>
              <w:rPr>
                <w:rFonts w:hint="eastAsia" w:ascii="Times New Roman" w:hAnsi="Times New Roman" w:eastAsia="宋体" w:cs="宋体"/>
                <w:b/>
                <w:bCs/>
                <w:snapToGrid/>
                <w:color w:val="auto"/>
                <w:spacing w:val="0"/>
                <w:kern w:val="0"/>
                <w:sz w:val="21"/>
                <w:szCs w:val="2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8"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07"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72"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50"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42"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69"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11"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44"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52"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8"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07"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72"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50"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42"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69"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11"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44"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52"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8"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07"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72"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50"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42"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69"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11"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44"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52"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8"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07"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72"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50"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42"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69"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11"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44"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52"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8"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07"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72"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50"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42"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69"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11"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44"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52" w:type="pct"/>
            <w:vMerge w:val="restar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8"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07"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72"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550" w:type="pct"/>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42"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69"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11"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744"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c>
          <w:tcPr>
            <w:tcW w:w="452" w:type="pct"/>
            <w:vMerge w:val="continue"/>
            <w:noWrap w:val="0"/>
            <w:vAlign w:val="center"/>
          </w:tcPr>
          <w:p>
            <w:pPr>
              <w:pStyle w:val="3"/>
              <w:keepNext w:val="0"/>
              <w:keepLines w:val="0"/>
              <w:pageBreakBefore w:val="0"/>
              <w:widowControl w:val="0"/>
              <w:kinsoku/>
              <w:wordWrap/>
              <w:overflowPunct/>
              <w:topLinePunct w:val="0"/>
              <w:bidi w:val="0"/>
              <w:snapToGrid w:val="0"/>
              <w:spacing w:line="300" w:lineRule="exact"/>
              <w:ind w:left="0"/>
              <w:jc w:val="center"/>
              <w:rPr>
                <w:rFonts w:hint="eastAsia" w:ascii="Times New Roman" w:hAnsi="Times New Roman" w:eastAsia="宋体" w:cs="宋体"/>
                <w:b w:val="0"/>
                <w:bCs w:val="0"/>
                <w:snapToGrid/>
                <w:color w:val="auto"/>
                <w:spacing w:val="0"/>
                <w:kern w:val="0"/>
                <w:sz w:val="21"/>
                <w:szCs w:val="21"/>
                <w:vertAlign w:val="baseline"/>
                <w:lang w:val="en-US" w:eastAsia="zh-CN" w:bidi="ar-SA"/>
              </w:rPr>
            </w:pPr>
          </w:p>
        </w:tc>
      </w:tr>
    </w:tbl>
    <w:p>
      <w:pPr>
        <w:pStyle w:val="3"/>
        <w:keepNext w:val="0"/>
        <w:keepLines w:val="0"/>
        <w:pageBreakBefore w:val="0"/>
        <w:widowControl w:val="0"/>
        <w:kinsoku/>
        <w:wordWrap/>
        <w:overflowPunct/>
        <w:topLinePunct w:val="0"/>
        <w:autoSpaceDE w:val="0"/>
        <w:autoSpaceDN w:val="0"/>
        <w:bidi w:val="0"/>
        <w:adjustRightInd w:val="0"/>
        <w:snapToGrid w:val="0"/>
        <w:spacing w:line="594" w:lineRule="exact"/>
        <w:ind w:left="0" w:leftChars="0" w:firstLine="0" w:firstLineChars="0"/>
        <w:jc w:val="left"/>
        <w:textAlignment w:val="baseline"/>
        <w:rPr>
          <w:rFonts w:hint="eastAsia"/>
          <w:lang w:val="en-US" w:eastAsia="zh-CN"/>
        </w:rPr>
      </w:pPr>
      <w:r>
        <w:rPr>
          <w:rFonts w:hint="eastAsia" w:ascii="Times New Roman" w:hAnsi="Times New Roman" w:eastAsia="宋体" w:cs="宋体"/>
          <w:b w:val="0"/>
          <w:bCs w:val="0"/>
          <w:snapToGrid/>
          <w:color w:val="auto"/>
          <w:spacing w:val="0"/>
          <w:kern w:val="0"/>
          <w:sz w:val="21"/>
          <w:szCs w:val="21"/>
          <w:lang w:val="en-US" w:eastAsia="zh-CN" w:bidi="ar-SA"/>
        </w:rPr>
        <w:t>注：监管信息台账包括但不限于以上主要内容，填报单位可根据工程内容按需调整。</w:t>
      </w:r>
    </w:p>
    <w:sectPr>
      <w:footerReference r:id="rId4" w:type="default"/>
      <w:pgSz w:w="16838" w:h="11906" w:orient="landscape"/>
      <w:pgMar w:top="1984" w:right="1446" w:bottom="1644" w:left="1446" w:header="851" w:footer="147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sz w:val="28"/>
        <w:szCs w:val="28"/>
        <w:lang w:eastAsia="zh-CN"/>
      </w:rPr>
    </w:pPr>
    <w:r>
      <w:rPr>
        <w:rStyle w:val="8"/>
        <w:rFonts w:hint="eastAsia" w:ascii="宋体" w:hAnsi="宋体" w:eastAsia="宋体"/>
        <w:sz w:val="28"/>
        <w:szCs w:val="28"/>
        <w:lang w:eastAsia="zh-CN"/>
      </w:rPr>
      <w:t xml:space="preserve">— </w:t>
    </w:r>
    <w:r>
      <w:rPr>
        <w:rStyle w:val="8"/>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Style w:val="8"/>
        <w:rFonts w:hint="eastAsia" w:ascii="宋体" w:hAnsi="宋体" w:eastAsia="宋体"/>
        <w:sz w:val="28"/>
        <w:szCs w:val="28"/>
      </w:rPr>
      <w:fldChar w:fldCharType="separate"/>
    </w:r>
    <w:r>
      <w:rPr>
        <w:rStyle w:val="8"/>
        <w:rFonts w:ascii="宋体" w:hAnsi="宋体" w:eastAsia="宋体"/>
        <w:sz w:val="28"/>
        <w:szCs w:val="28"/>
      </w:rPr>
      <w:t>1</w:t>
    </w:r>
    <w:r>
      <w:rPr>
        <w:rStyle w:val="8"/>
        <w:rFonts w:hint="eastAsia" w:ascii="宋体" w:hAnsi="宋体" w:eastAsia="宋体"/>
        <w:sz w:val="28"/>
        <w:szCs w:val="28"/>
      </w:rPr>
      <w:fldChar w:fldCharType="end"/>
    </w:r>
    <w:r>
      <w:rPr>
        <w:rStyle w:val="8"/>
        <w:rFonts w:hint="eastAsia" w:ascii="宋体" w:hAnsi="宋体" w:eastAsia="宋体"/>
        <w:sz w:val="28"/>
        <w:szCs w:val="28"/>
        <w:lang w:eastAsia="zh-CN"/>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sz w:val="28"/>
        <w:szCs w:val="28"/>
        <w:lang w:eastAsia="zh-CN"/>
      </w:rPr>
    </w:pPr>
    <w:r>
      <w:rPr>
        <w:rStyle w:val="8"/>
        <w:rFonts w:hint="eastAsia" w:ascii="宋体" w:hAnsi="宋体" w:eastAsia="宋体"/>
        <w:sz w:val="28"/>
        <w:szCs w:val="28"/>
        <w:lang w:eastAsia="zh-CN"/>
      </w:rPr>
      <w:t xml:space="preserve">— </w:t>
    </w:r>
    <w:r>
      <w:rPr>
        <w:rStyle w:val="8"/>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Style w:val="8"/>
        <w:rFonts w:hint="eastAsia" w:ascii="宋体" w:hAnsi="宋体" w:eastAsia="宋体"/>
        <w:sz w:val="28"/>
        <w:szCs w:val="28"/>
      </w:rPr>
      <w:fldChar w:fldCharType="separate"/>
    </w:r>
    <w:r>
      <w:rPr>
        <w:rStyle w:val="8"/>
        <w:rFonts w:ascii="宋体" w:hAnsi="宋体" w:eastAsia="宋体"/>
        <w:sz w:val="28"/>
        <w:szCs w:val="28"/>
      </w:rPr>
      <w:t>1</w:t>
    </w:r>
    <w:r>
      <w:rPr>
        <w:rStyle w:val="8"/>
        <w:rFonts w:hint="eastAsia" w:ascii="宋体" w:hAnsi="宋体" w:eastAsia="宋体"/>
        <w:sz w:val="28"/>
        <w:szCs w:val="28"/>
      </w:rPr>
      <w:fldChar w:fldCharType="end"/>
    </w:r>
    <w:r>
      <w:rPr>
        <w:rStyle w:val="8"/>
        <w:rFonts w:hint="eastAsia" w:ascii="宋体" w:hAnsi="宋体" w:eastAsia="宋体"/>
        <w:sz w:val="28"/>
        <w:szCs w:val="28"/>
        <w:lang w:eastAsia="zh-CN"/>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26778"/>
    <w:rsid w:val="052F0FCE"/>
    <w:rsid w:val="0AD913AA"/>
    <w:rsid w:val="0B86047D"/>
    <w:rsid w:val="123F7117"/>
    <w:rsid w:val="1FDA0995"/>
    <w:rsid w:val="26AA5964"/>
    <w:rsid w:val="282F02E5"/>
    <w:rsid w:val="29426778"/>
    <w:rsid w:val="2C1F5599"/>
    <w:rsid w:val="2EC16D51"/>
    <w:rsid w:val="32832684"/>
    <w:rsid w:val="34855B52"/>
    <w:rsid w:val="35037651"/>
    <w:rsid w:val="38993542"/>
    <w:rsid w:val="39C01C95"/>
    <w:rsid w:val="3C2640B7"/>
    <w:rsid w:val="3E5C3F95"/>
    <w:rsid w:val="3EEFA695"/>
    <w:rsid w:val="432B5DFD"/>
    <w:rsid w:val="466E3784"/>
    <w:rsid w:val="4A861863"/>
    <w:rsid w:val="4CC810FC"/>
    <w:rsid w:val="510E7FD7"/>
    <w:rsid w:val="51D554C2"/>
    <w:rsid w:val="5B150771"/>
    <w:rsid w:val="5BB7485F"/>
    <w:rsid w:val="60F02AB8"/>
    <w:rsid w:val="64EF2632"/>
    <w:rsid w:val="6FEF6623"/>
    <w:rsid w:val="6FFF56C2"/>
    <w:rsid w:val="7027321C"/>
    <w:rsid w:val="723142CC"/>
    <w:rsid w:val="795555D2"/>
    <w:rsid w:val="79EF6B32"/>
    <w:rsid w:val="7DFFEC24"/>
    <w:rsid w:val="7FA7BBC9"/>
    <w:rsid w:val="7FF14372"/>
    <w:rsid w:val="BDEFEC9A"/>
    <w:rsid w:val="BE87BAAB"/>
    <w:rsid w:val="BEAB2C28"/>
    <w:rsid w:val="FB6F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rPr>
      <w:rFonts w:ascii="仿宋" w:hAnsi="仿宋" w:eastAsia="仿宋" w:cs="仿宋"/>
      <w:sz w:val="31"/>
      <w:szCs w:val="31"/>
      <w:lang w:val="en-US" w:eastAsia="en-US" w:bidi="ar-SA"/>
    </w:rPr>
  </w:style>
  <w:style w:type="paragraph" w:styleId="3">
    <w:name w:val="Body Text First Indent"/>
    <w:basedOn w:val="2"/>
    <w:unhideWhenUsed/>
    <w:qFormat/>
    <w:uiPriority w:val="99"/>
    <w:pPr>
      <w:ind w:firstLine="420" w:firstLineChars="100"/>
    </w:pPr>
  </w:style>
  <w:style w:type="paragraph" w:styleId="4">
    <w:name w:val="footer"/>
    <w:basedOn w:val="1"/>
    <w:unhideWhenUsed/>
    <w:qFormat/>
    <w:uiPriority w:val="0"/>
    <w:pPr>
      <w:tabs>
        <w:tab w:val="center" w:pos="4153"/>
        <w:tab w:val="right" w:pos="8306"/>
      </w:tabs>
      <w:snapToGrid w:val="0"/>
      <w:jc w:val="left"/>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nhideWhenUsed/>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2025-05-13T04:03:00Z</dcterms:created>
  <dc:creator>陈茂</dc:creator>
  <cp:lastModifiedBy>Administrator</cp:lastModifiedBy>
  <cp:lastPrinted>2025-05-14T06:57:00Z</cp:lastPrinted>
  <dcterms:modified xsi:type="dcterms:W3CDTF">2025-05-22T01:00:17Z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