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8D0" w:rsidRDefault="004148D0" w:rsidP="004148D0">
      <w:pPr>
        <w:pStyle w:val="a0"/>
        <w:spacing w:after="0" w:line="440" w:lineRule="exact"/>
        <w:jc w:val="left"/>
        <w:rPr>
          <w:rFonts w:eastAsia="方正黑体_GBK" w:cs="方正黑体_GBK"/>
          <w:snapToGrid w:val="0"/>
          <w:kern w:val="0"/>
          <w:sz w:val="32"/>
          <w:szCs w:val="32"/>
        </w:rPr>
      </w:pPr>
      <w:r>
        <w:rPr>
          <w:rFonts w:eastAsia="方正黑体_GBK" w:cs="方正黑体_GBK"/>
          <w:snapToGrid w:val="0"/>
          <w:kern w:val="0"/>
          <w:sz w:val="32"/>
          <w:szCs w:val="32"/>
        </w:rPr>
        <w:t>附件</w:t>
      </w:r>
      <w:r>
        <w:rPr>
          <w:rFonts w:eastAsia="方正黑体_GBK" w:cs="方正黑体_GBK" w:hint="eastAsia"/>
          <w:snapToGrid w:val="0"/>
          <w:kern w:val="0"/>
          <w:sz w:val="32"/>
          <w:szCs w:val="32"/>
        </w:rPr>
        <w:t>2</w:t>
      </w:r>
      <w:r>
        <w:rPr>
          <w:rFonts w:eastAsia="方正黑体_GBK" w:cs="方正黑体_GBK" w:hint="eastAsia"/>
          <w:snapToGrid w:val="0"/>
          <w:kern w:val="0"/>
          <w:sz w:val="32"/>
          <w:szCs w:val="32"/>
        </w:rPr>
        <w:t>：</w:t>
      </w:r>
    </w:p>
    <w:p w:rsidR="004148D0" w:rsidRDefault="004148D0" w:rsidP="004148D0">
      <w:pPr>
        <w:widowControl/>
        <w:spacing w:afterLines="100" w:after="240"/>
        <w:jc w:val="center"/>
        <w:textAlignment w:val="center"/>
        <w:rPr>
          <w:rFonts w:eastAsia="等线"/>
          <w:b/>
          <w:color w:val="000000"/>
          <w:sz w:val="32"/>
          <w:szCs w:val="32"/>
        </w:rPr>
      </w:pPr>
      <w:r>
        <w:rPr>
          <w:b/>
          <w:color w:val="000000"/>
          <w:kern w:val="0"/>
          <w:sz w:val="32"/>
          <w:szCs w:val="32"/>
          <w:lang w:bidi="ar"/>
        </w:rPr>
        <w:t>2025</w:t>
      </w:r>
      <w:r>
        <w:rPr>
          <w:b/>
          <w:color w:val="000000"/>
          <w:kern w:val="0"/>
          <w:sz w:val="32"/>
          <w:szCs w:val="32"/>
          <w:lang w:bidi="ar"/>
        </w:rPr>
        <w:t>年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  <w:lang w:bidi="ar"/>
        </w:rPr>
        <w:t>国家水土保持重点工程竞争比选实施方案专家评分情况</w:t>
      </w:r>
    </w:p>
    <w:tbl>
      <w:tblPr>
        <w:tblW w:w="153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2574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148D0" w:rsidRPr="00141A87" w:rsidTr="00397CC2">
        <w:trPr>
          <w:trHeight w:val="525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1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评分指标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1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评分标准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</w:tr>
      <w:tr w:rsidR="004148D0" w:rsidRPr="00141A87" w:rsidTr="00397CC2">
        <w:trPr>
          <w:trHeight w:val="765"/>
        </w:trPr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1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项目书评分指标（</w:t>
            </w:r>
            <w:r w:rsidRPr="00141A87">
              <w:rPr>
                <w:rFonts w:eastAsia="等线"/>
                <w:b/>
                <w:bCs/>
                <w:color w:val="000000"/>
                <w:kern w:val="0"/>
                <w:szCs w:val="21"/>
                <w:lang w:bidi="ar"/>
              </w:rPr>
              <w:t>100</w:t>
            </w: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Style w:val="font101"/>
                <w:rFonts w:hint="default"/>
                <w:b/>
                <w:bCs/>
                <w:lang w:bidi="ar"/>
              </w:rPr>
              <w:t>高新区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Style w:val="font101"/>
                <w:rFonts w:hint="default"/>
                <w:b/>
                <w:bCs/>
                <w:lang w:bidi="ar"/>
              </w:rPr>
              <w:t>沙坪坝区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Style w:val="font101"/>
                <w:rFonts w:hint="default"/>
                <w:b/>
                <w:bCs/>
                <w:lang w:bidi="ar"/>
              </w:rPr>
              <w:t>渝北区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Style w:val="font101"/>
                <w:rFonts w:hint="default"/>
                <w:b/>
                <w:bCs/>
                <w:lang w:bidi="ar"/>
              </w:rPr>
              <w:t>北碚区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Style w:val="font101"/>
                <w:rFonts w:hint="default"/>
                <w:b/>
                <w:bCs/>
                <w:lang w:bidi="ar"/>
              </w:rPr>
              <w:t>巴南区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Style w:val="font101"/>
                <w:rFonts w:hint="default"/>
                <w:b/>
                <w:bCs/>
                <w:lang w:bidi="ar"/>
              </w:rPr>
              <w:t>万州区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Style w:val="font101"/>
                <w:rFonts w:hint="default"/>
                <w:b/>
                <w:bCs/>
                <w:lang w:bidi="ar"/>
              </w:rPr>
              <w:t>黔江区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涪陵区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Style w:val="font101"/>
                <w:rFonts w:hint="default"/>
                <w:b/>
                <w:bCs/>
                <w:lang w:bidi="ar"/>
              </w:rPr>
              <w:t>万盛区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Style w:val="font101"/>
                <w:rFonts w:hint="default"/>
                <w:b/>
                <w:bCs/>
                <w:lang w:bidi="ar"/>
              </w:rPr>
              <w:t>江津区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永川区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綦江区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潼南区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铜梁区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大足区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荣昌区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梁平区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城口县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南川区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丰都县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垫江县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武隆区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Style w:val="font101"/>
                <w:rFonts w:hint="default"/>
                <w:b/>
                <w:bCs/>
                <w:lang w:bidi="ar"/>
              </w:rPr>
              <w:t>忠县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Style w:val="font101"/>
                <w:rFonts w:hint="default"/>
                <w:b/>
                <w:bCs/>
                <w:lang w:bidi="ar"/>
              </w:rPr>
              <w:t>开州区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云阳县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Style w:val="font101"/>
                <w:rFonts w:hint="default"/>
                <w:b/>
                <w:bCs/>
                <w:lang w:bidi="ar"/>
              </w:rPr>
              <w:t>奉节县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Style w:val="font101"/>
                <w:rFonts w:hint="default"/>
                <w:b/>
                <w:bCs/>
                <w:lang w:bidi="ar"/>
              </w:rPr>
              <w:t>巫山县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Style w:val="font101"/>
                <w:rFonts w:hint="default"/>
                <w:b/>
                <w:bCs/>
                <w:lang w:bidi="ar"/>
              </w:rPr>
              <w:t>巫溪县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石柱县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彭水县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秀山县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酉阳县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长寿区</w:t>
            </w:r>
          </w:p>
        </w:tc>
      </w:tr>
      <w:tr w:rsidR="004148D0" w:rsidTr="00397CC2">
        <w:trPr>
          <w:trHeight w:val="66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坚持以小流域为单元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（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一致得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分，不一致得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4148D0" w:rsidTr="00397CC2">
        <w:trPr>
          <w:trHeight w:val="2222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水土流失现状分析评价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（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水土流失地类、坡度分布明确，图斑落地，水土保持率和动态监测成果数据匹配得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4-7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分；水土流失地类、坡度分布，图斑落地情况不完整，水土保持率和动态监测成果数据不匹配得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1-3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4148D0" w:rsidTr="00397CC2">
        <w:trPr>
          <w:trHeight w:val="705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重点实施小流域基本情况调查和存在的主要问题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（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重点实施小流域自然条件、社会经济、产业、人居环境等基本情况介绍（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4148D0" w:rsidTr="00397CC2">
        <w:trPr>
          <w:trHeight w:val="730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小流域内其他相关部门实施的项目情况（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1-4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</w:tr>
      <w:tr w:rsidR="004148D0" w:rsidTr="00397CC2">
        <w:trPr>
          <w:trHeight w:val="762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小流域存在的问题及水土保持需求分析（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1-5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</w:tr>
      <w:tr w:rsidR="004148D0" w:rsidTr="00397CC2">
        <w:trPr>
          <w:trHeight w:val="975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重点实施小流域发展定位及建设目标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（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小流域发展定位和建设目标明确，得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3-5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分；小流域发展定位和治理方向针对性不强，得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4148D0" w:rsidRPr="00141A87" w:rsidTr="00397CC2">
        <w:trPr>
          <w:trHeight w:val="525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1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评分指标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1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评分标准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</w:tr>
      <w:tr w:rsidR="004148D0" w:rsidRPr="00141A87" w:rsidTr="00397CC2">
        <w:trPr>
          <w:trHeight w:val="765"/>
        </w:trPr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1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项目书评分指标（</w:t>
            </w:r>
            <w:r w:rsidRPr="00141A87">
              <w:rPr>
                <w:rFonts w:eastAsia="等线"/>
                <w:b/>
                <w:bCs/>
                <w:color w:val="000000"/>
                <w:kern w:val="0"/>
                <w:szCs w:val="21"/>
                <w:lang w:bidi="ar"/>
              </w:rPr>
              <w:t>100</w:t>
            </w: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Style w:val="font101"/>
                <w:rFonts w:hint="default"/>
                <w:b/>
                <w:bCs/>
                <w:lang w:bidi="ar"/>
              </w:rPr>
              <w:t>高新区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Style w:val="font101"/>
                <w:rFonts w:hint="default"/>
                <w:b/>
                <w:bCs/>
                <w:lang w:bidi="ar"/>
              </w:rPr>
              <w:t>沙坪坝区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Style w:val="font101"/>
                <w:rFonts w:hint="default"/>
                <w:b/>
                <w:bCs/>
                <w:lang w:bidi="ar"/>
              </w:rPr>
              <w:t>渝北区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Style w:val="font101"/>
                <w:rFonts w:hint="default"/>
                <w:b/>
                <w:bCs/>
                <w:lang w:bidi="ar"/>
              </w:rPr>
              <w:t>北碚区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Style w:val="font101"/>
                <w:rFonts w:hint="default"/>
                <w:b/>
                <w:bCs/>
                <w:lang w:bidi="ar"/>
              </w:rPr>
              <w:t>巴南区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Style w:val="font101"/>
                <w:rFonts w:hint="default"/>
                <w:b/>
                <w:bCs/>
                <w:lang w:bidi="ar"/>
              </w:rPr>
              <w:t>万州区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Style w:val="font101"/>
                <w:rFonts w:hint="default"/>
                <w:b/>
                <w:bCs/>
                <w:lang w:bidi="ar"/>
              </w:rPr>
              <w:t>黔江区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涪陵区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Style w:val="font101"/>
                <w:rFonts w:hint="default"/>
                <w:b/>
                <w:bCs/>
                <w:lang w:bidi="ar"/>
              </w:rPr>
              <w:t>万盛区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Style w:val="font101"/>
                <w:rFonts w:hint="default"/>
                <w:b/>
                <w:bCs/>
                <w:lang w:bidi="ar"/>
              </w:rPr>
              <w:t>江津区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永川区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綦江区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潼南区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铜梁区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大足区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荣昌区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梁平区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城口县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南川区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丰都县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垫江县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武隆区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Style w:val="font101"/>
                <w:rFonts w:hint="default"/>
                <w:b/>
                <w:bCs/>
                <w:lang w:bidi="ar"/>
              </w:rPr>
              <w:t>忠县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Style w:val="font101"/>
                <w:rFonts w:hint="default"/>
                <w:b/>
                <w:bCs/>
                <w:lang w:bidi="ar"/>
              </w:rPr>
              <w:t>开州区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云阳县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Style w:val="font101"/>
                <w:rFonts w:hint="default"/>
                <w:b/>
                <w:bCs/>
                <w:lang w:bidi="ar"/>
              </w:rPr>
              <w:t>奉节县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Style w:val="font101"/>
                <w:rFonts w:hint="default"/>
                <w:b/>
                <w:bCs/>
                <w:lang w:bidi="ar"/>
              </w:rPr>
              <w:t>巫山县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Style w:val="font101"/>
                <w:rFonts w:hint="default"/>
                <w:b/>
                <w:bCs/>
                <w:lang w:bidi="ar"/>
              </w:rPr>
              <w:t>巫溪县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石柱县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彭水县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秀山县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酉阳县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Pr="00141A87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141A8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长寿区</w:t>
            </w:r>
          </w:p>
        </w:tc>
      </w:tr>
      <w:tr w:rsidR="004148D0" w:rsidTr="00397CC2">
        <w:trPr>
          <w:trHeight w:val="510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重点实施小流域水土保持措施布局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（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以小流域为单元整体设计（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4148D0" w:rsidTr="00397CC2">
        <w:trPr>
          <w:trHeight w:val="495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坚持山水林田路村全要素综合治理（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1-3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</w:tr>
      <w:tr w:rsidR="004148D0" w:rsidTr="00397CC2">
        <w:trPr>
          <w:trHeight w:val="450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小流域三道防线划分合理准确（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1-4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4148D0" w:rsidTr="00397CC2">
        <w:trPr>
          <w:trHeight w:val="720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水土保持措施空间布局科学合理、图斑落地（其他相关部门措施落地）（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</w:tr>
      <w:tr w:rsidR="004148D0" w:rsidTr="00397CC2">
        <w:trPr>
          <w:trHeight w:val="675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水土保持措施设计合理、规范，以治理水土流失图斑，提高水土保持率为主（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1-5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</w:tr>
      <w:tr w:rsidR="004148D0" w:rsidTr="00397CC2">
        <w:trPr>
          <w:trHeight w:val="510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水保宣传标识标牌布设合理，设计美观（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1-5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4.25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</w:tr>
      <w:tr w:rsidR="004148D0" w:rsidTr="00397CC2">
        <w:trPr>
          <w:trHeight w:val="480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建设管理模式（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业主明确，管理责任落实，得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1-5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</w:tr>
      <w:tr w:rsidR="004148D0" w:rsidTr="00397CC2">
        <w:trPr>
          <w:trHeight w:val="465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实施以奖代补或以工代赈，得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4148D0" w:rsidTr="00397CC2">
        <w:trPr>
          <w:trHeight w:val="117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项目实施综合成效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（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综合效益好，示范带动作用强，得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8-10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分；效益较好，示范作用一般，得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5-7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分；效益一般，示范作用差，得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1-4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7.5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7.5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8.75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9.5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9.5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9.5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9.5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9.5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</w:tr>
      <w:tr w:rsidR="004148D0" w:rsidTr="00397CC2">
        <w:trPr>
          <w:trHeight w:val="81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项目实施保障措施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（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保障措施有力，得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3-5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分；保障措施一般，得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</w:tr>
      <w:tr w:rsidR="004148D0" w:rsidTr="00397CC2">
        <w:trPr>
          <w:trHeight w:val="525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评分指标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评分标准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</w:tr>
      <w:tr w:rsidR="004148D0" w:rsidTr="00397CC2">
        <w:trPr>
          <w:trHeight w:val="765"/>
        </w:trPr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项目书评分指标（</w:t>
            </w:r>
            <w:r>
              <w:rPr>
                <w:rFonts w:eastAsia="等线"/>
                <w:b/>
                <w:bCs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b/>
                <w:bCs/>
                <w:lang w:bidi="ar"/>
              </w:rPr>
              <w:t>高新区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b/>
                <w:bCs/>
                <w:lang w:bidi="ar"/>
              </w:rPr>
              <w:t>沙坪坝区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b/>
                <w:bCs/>
                <w:lang w:bidi="ar"/>
              </w:rPr>
              <w:t>渝北区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b/>
                <w:bCs/>
                <w:lang w:bidi="ar"/>
              </w:rPr>
              <w:t>北碚区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b/>
                <w:bCs/>
                <w:lang w:bidi="ar"/>
              </w:rPr>
              <w:t>巴南区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b/>
                <w:bCs/>
                <w:lang w:bidi="ar"/>
              </w:rPr>
              <w:t>万州区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b/>
                <w:bCs/>
                <w:lang w:bidi="ar"/>
              </w:rPr>
              <w:t>黔江区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涪陵区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b/>
                <w:bCs/>
                <w:lang w:bidi="ar"/>
              </w:rPr>
              <w:t>万盛区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b/>
                <w:bCs/>
                <w:lang w:bidi="ar"/>
              </w:rPr>
              <w:t>江津区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永川区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綦江区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潼南区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铜梁区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大足区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荣昌区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梁平区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城口县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南川区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丰都县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垫江县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武隆区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b/>
                <w:bCs/>
                <w:lang w:bidi="ar"/>
              </w:rPr>
              <w:t>忠县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b/>
                <w:bCs/>
                <w:lang w:bidi="ar"/>
              </w:rPr>
              <w:t>开州区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云阳县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b/>
                <w:bCs/>
                <w:lang w:bidi="ar"/>
              </w:rPr>
              <w:t>奉节县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b/>
                <w:bCs/>
                <w:lang w:bidi="ar"/>
              </w:rPr>
              <w:t>巫山县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b/>
                <w:bCs/>
                <w:lang w:bidi="ar"/>
              </w:rPr>
              <w:t>巫溪县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石柱县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彭水县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秀山县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酉阳县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长寿区</w:t>
            </w:r>
          </w:p>
        </w:tc>
      </w:tr>
      <w:tr w:rsidR="004148D0" w:rsidTr="00397CC2">
        <w:trPr>
          <w:trHeight w:val="1485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项目投资及筹措方式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（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各项措施费用比例、措施单价及独立费用计算合理，筹资方式明确得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8-12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分；各项措施费用比例、措施单价及独立费用计算基本合理，筹资方式基本明确得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4-7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分；各项措施费用比例、措施单价及独立费用计算不合理，筹资方式不明确，得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0-3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8.25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7.5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8.25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9.5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7.25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9.25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8.75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7.75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8.25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8.75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8.25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9.25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7.75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7.75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7.75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7.75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8.75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9.25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7.75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7.75</w:t>
            </w:r>
          </w:p>
        </w:tc>
      </w:tr>
      <w:tr w:rsidR="004148D0" w:rsidTr="00397CC2">
        <w:trPr>
          <w:trHeight w:val="765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附图附件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（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提供可研批复及初设告批复得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分；仅提供可研批复得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分；仅提供项目初设批复得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4148D0" w:rsidTr="00397CC2">
        <w:trPr>
          <w:trHeight w:val="1050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附图完整、按照规范要求编制，设计深度满足要求得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4-7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分；附图不完整未严格按照规范要求编制，图纸设计深度不足得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1-3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4.75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5.5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</w:tr>
      <w:tr w:rsidR="004148D0" w:rsidTr="00397CC2">
        <w:trPr>
          <w:trHeight w:val="54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6"/>
                <w:szCs w:val="16"/>
              </w:rPr>
            </w:pPr>
            <w:r>
              <w:rPr>
                <w:rStyle w:val="font91"/>
                <w:rFonts w:hint="default"/>
                <w:sz w:val="16"/>
                <w:szCs w:val="16"/>
                <w:lang w:bidi="ar"/>
              </w:rPr>
              <w:t>总分</w:t>
            </w:r>
            <w:r>
              <w:rPr>
                <w:rStyle w:val="font81"/>
                <w:rFonts w:eastAsia="等线"/>
                <w:sz w:val="16"/>
                <w:szCs w:val="16"/>
                <w:lang w:bidi="ar"/>
              </w:rPr>
              <w:t>(100</w:t>
            </w:r>
            <w:r>
              <w:rPr>
                <w:rStyle w:val="font91"/>
                <w:rFonts w:hint="default"/>
                <w:sz w:val="16"/>
                <w:szCs w:val="16"/>
                <w:lang w:bidi="ar"/>
              </w:rPr>
              <w:t>分</w:t>
            </w:r>
            <w:r>
              <w:rPr>
                <w:rStyle w:val="font81"/>
                <w:rFonts w:eastAsia="等线"/>
                <w:sz w:val="16"/>
                <w:szCs w:val="16"/>
                <w:lang w:bidi="ar"/>
              </w:rPr>
              <w:t>)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rPr>
                <w:rFonts w:eastAsia="等线"/>
                <w:b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77.50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77.00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74.25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72.50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66.75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80.00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72.25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73.00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81.75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78.25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64.75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71.25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81.25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81.00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77.75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78.25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74.50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80.00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69.25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70.25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74.25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66.25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81.75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82.25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80.75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78.50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75.50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79.00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74.50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77.00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74.25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78.50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48D0" w:rsidRDefault="004148D0" w:rsidP="00397CC2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13"/>
                <w:szCs w:val="13"/>
              </w:rPr>
            </w:pPr>
            <w:r>
              <w:rPr>
                <w:rFonts w:eastAsia="等线"/>
                <w:b/>
                <w:color w:val="000000"/>
                <w:kern w:val="0"/>
                <w:sz w:val="13"/>
                <w:szCs w:val="13"/>
                <w:lang w:bidi="ar"/>
              </w:rPr>
              <w:t xml:space="preserve">77.75 </w:t>
            </w:r>
          </w:p>
        </w:tc>
      </w:tr>
    </w:tbl>
    <w:p w:rsidR="004148D0" w:rsidRDefault="004148D0" w:rsidP="004148D0">
      <w:pPr>
        <w:pStyle w:val="a0"/>
      </w:pPr>
    </w:p>
    <w:p w:rsidR="004148D0" w:rsidRPr="004148D0" w:rsidRDefault="004148D0" w:rsidP="004148D0"/>
    <w:p w:rsidR="004148D0" w:rsidRPr="004148D0" w:rsidRDefault="004148D0" w:rsidP="004148D0"/>
    <w:p w:rsidR="004148D0" w:rsidRPr="004148D0" w:rsidRDefault="004148D0" w:rsidP="004148D0"/>
    <w:p w:rsidR="004148D0" w:rsidRDefault="004148D0" w:rsidP="004148D0">
      <w:pPr>
        <w:tabs>
          <w:tab w:val="left" w:pos="762"/>
        </w:tabs>
      </w:pPr>
      <w:bookmarkStart w:id="0" w:name="_GoBack"/>
      <w:bookmarkEnd w:id="0"/>
    </w:p>
    <w:p w:rsidR="004148D0" w:rsidRPr="004148D0" w:rsidRDefault="004148D0" w:rsidP="004148D0">
      <w:pPr>
        <w:tabs>
          <w:tab w:val="left" w:pos="762"/>
        </w:tabs>
        <w:sectPr w:rsidR="004148D0" w:rsidRPr="004148D0">
          <w:pgSz w:w="16838" w:h="11906" w:orient="landscape"/>
          <w:pgMar w:top="720" w:right="720" w:bottom="720" w:left="720" w:header="851" w:footer="1247" w:gutter="0"/>
          <w:cols w:space="720"/>
          <w:docGrid w:linePitch="312"/>
        </w:sectPr>
      </w:pPr>
      <w:r>
        <w:tab/>
      </w:r>
    </w:p>
    <w:p w:rsidR="0079588A" w:rsidRDefault="0079588A">
      <w:pPr>
        <w:rPr>
          <w:rFonts w:hint="eastAsia"/>
        </w:rPr>
      </w:pPr>
    </w:p>
    <w:sectPr w:rsidR="00795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FC6" w:rsidRDefault="00B42FC6" w:rsidP="004148D0">
      <w:r>
        <w:separator/>
      </w:r>
    </w:p>
  </w:endnote>
  <w:endnote w:type="continuationSeparator" w:id="0">
    <w:p w:rsidR="00B42FC6" w:rsidRDefault="00B42FC6" w:rsidP="0041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FC6" w:rsidRDefault="00B42FC6" w:rsidP="004148D0">
      <w:r>
        <w:separator/>
      </w:r>
    </w:p>
  </w:footnote>
  <w:footnote w:type="continuationSeparator" w:id="0">
    <w:p w:rsidR="00B42FC6" w:rsidRDefault="00B42FC6" w:rsidP="00414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E4"/>
    <w:rsid w:val="004148D0"/>
    <w:rsid w:val="00484FE4"/>
    <w:rsid w:val="0079588A"/>
    <w:rsid w:val="00B4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E103A1-F910-4753-B006-5AD47353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148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414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148D0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4148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148D0"/>
    <w:rPr>
      <w:sz w:val="18"/>
      <w:szCs w:val="18"/>
    </w:rPr>
  </w:style>
  <w:style w:type="paragraph" w:styleId="a0">
    <w:name w:val="Body Text"/>
    <w:basedOn w:val="a"/>
    <w:next w:val="a6"/>
    <w:link w:val="Char1"/>
    <w:qFormat/>
    <w:rsid w:val="004148D0"/>
    <w:pPr>
      <w:spacing w:after="140" w:line="276" w:lineRule="auto"/>
    </w:pPr>
  </w:style>
  <w:style w:type="character" w:customStyle="1" w:styleId="Char1">
    <w:name w:val="正文文本 Char"/>
    <w:basedOn w:val="a1"/>
    <w:link w:val="a0"/>
    <w:rsid w:val="004148D0"/>
    <w:rPr>
      <w:rFonts w:ascii="Times New Roman" w:eastAsia="宋体" w:hAnsi="Times New Roman" w:cs="Times New Roman"/>
      <w:szCs w:val="24"/>
    </w:rPr>
  </w:style>
  <w:style w:type="paragraph" w:styleId="a6">
    <w:name w:val="Body Text First Indent"/>
    <w:basedOn w:val="a0"/>
    <w:link w:val="Char2"/>
    <w:qFormat/>
    <w:rsid w:val="004148D0"/>
    <w:pPr>
      <w:ind w:firstLineChars="100" w:firstLine="420"/>
    </w:pPr>
  </w:style>
  <w:style w:type="character" w:customStyle="1" w:styleId="Char2">
    <w:name w:val="正文首行缩进 Char"/>
    <w:basedOn w:val="Char1"/>
    <w:link w:val="a6"/>
    <w:rsid w:val="004148D0"/>
    <w:rPr>
      <w:rFonts w:ascii="Times New Roman" w:eastAsia="宋体" w:hAnsi="Times New Roman" w:cs="Times New Roman"/>
      <w:szCs w:val="24"/>
    </w:rPr>
  </w:style>
  <w:style w:type="paragraph" w:styleId="a7">
    <w:name w:val="Body Text Indent"/>
    <w:basedOn w:val="a"/>
    <w:next w:val="a5"/>
    <w:link w:val="Char3"/>
    <w:qFormat/>
    <w:rsid w:val="004148D0"/>
    <w:pPr>
      <w:spacing w:line="560" w:lineRule="exact"/>
      <w:ind w:firstLineChars="200" w:firstLine="624"/>
    </w:pPr>
    <w:rPr>
      <w:rFonts w:ascii="仿宋_GB2312" w:eastAsia="仿宋_GB2312" w:hAnsi="Verdana" w:cs="仿宋_GB2312"/>
      <w:sz w:val="32"/>
      <w:szCs w:val="32"/>
    </w:rPr>
  </w:style>
  <w:style w:type="character" w:customStyle="1" w:styleId="Char3">
    <w:name w:val="正文文本缩进 Char"/>
    <w:basedOn w:val="a1"/>
    <w:link w:val="a7"/>
    <w:rsid w:val="004148D0"/>
    <w:rPr>
      <w:rFonts w:ascii="仿宋_GB2312" w:eastAsia="仿宋_GB2312" w:hAnsi="Verdana" w:cs="仿宋_GB2312"/>
      <w:sz w:val="32"/>
      <w:szCs w:val="32"/>
    </w:rPr>
  </w:style>
  <w:style w:type="paragraph" w:styleId="a8">
    <w:name w:val="Normal (Web)"/>
    <w:basedOn w:val="a"/>
    <w:rsid w:val="004148D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7"/>
    <w:next w:val="a"/>
    <w:link w:val="2Char"/>
    <w:qFormat/>
    <w:rsid w:val="004148D0"/>
    <w:pPr>
      <w:spacing w:line="240" w:lineRule="auto"/>
      <w:ind w:firstLine="420"/>
    </w:pPr>
    <w:rPr>
      <w:rFonts w:ascii="Calibri" w:eastAsia="宋体" w:hAnsi="Calibri" w:cs="Times New Roman"/>
      <w:szCs w:val="20"/>
    </w:rPr>
  </w:style>
  <w:style w:type="character" w:customStyle="1" w:styleId="2Char">
    <w:name w:val="正文首行缩进 2 Char"/>
    <w:basedOn w:val="Char3"/>
    <w:link w:val="2"/>
    <w:rsid w:val="004148D0"/>
    <w:rPr>
      <w:rFonts w:ascii="Calibri" w:eastAsia="宋体" w:hAnsi="Calibri" w:cs="Times New Roman"/>
      <w:sz w:val="32"/>
      <w:szCs w:val="20"/>
    </w:rPr>
  </w:style>
  <w:style w:type="character" w:customStyle="1" w:styleId="font101">
    <w:name w:val="font101"/>
    <w:basedOn w:val="a1"/>
    <w:rsid w:val="004148D0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41">
    <w:name w:val="font41"/>
    <w:basedOn w:val="a1"/>
    <w:rsid w:val="004148D0"/>
    <w:rPr>
      <w:rFonts w:ascii="方正仿宋_GBK" w:eastAsia="方正仿宋_GBK" w:hAnsi="方正仿宋_GBK" w:cs="方正仿宋_GBK"/>
      <w:b/>
      <w:i w:val="0"/>
      <w:color w:val="000000"/>
      <w:sz w:val="22"/>
      <w:szCs w:val="22"/>
      <w:u w:val="none"/>
    </w:rPr>
  </w:style>
  <w:style w:type="character" w:customStyle="1" w:styleId="font31">
    <w:name w:val="font31"/>
    <w:basedOn w:val="a1"/>
    <w:rsid w:val="004148D0"/>
    <w:rPr>
      <w:rFonts w:ascii="方正仿宋_GBK" w:eastAsia="方正仿宋_GBK" w:hAnsi="方正仿宋_GBK" w:cs="方正仿宋_GBK" w:hint="eastAsia"/>
      <w:b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1"/>
    <w:rsid w:val="004148D0"/>
    <w:rPr>
      <w:rFonts w:ascii="方正仿宋_GBK" w:eastAsia="方正仿宋_GBK" w:hAnsi="方正仿宋_GBK" w:cs="方正仿宋_GBK" w:hint="eastAsia"/>
      <w:b/>
      <w:i w:val="0"/>
      <w:color w:val="000000"/>
      <w:sz w:val="22"/>
      <w:szCs w:val="22"/>
      <w:u w:val="none"/>
    </w:rPr>
  </w:style>
  <w:style w:type="character" w:customStyle="1" w:styleId="font01">
    <w:name w:val="font01"/>
    <w:basedOn w:val="a1"/>
    <w:rsid w:val="004148D0"/>
    <w:rPr>
      <w:rFonts w:ascii="Times New Roman" w:hAnsi="Times New Roman" w:cs="Times New Roman" w:hint="default"/>
      <w:b/>
      <w:i w:val="0"/>
      <w:color w:val="000000"/>
      <w:sz w:val="22"/>
      <w:szCs w:val="22"/>
      <w:u w:val="none"/>
    </w:rPr>
  </w:style>
  <w:style w:type="character" w:customStyle="1" w:styleId="font21">
    <w:name w:val="font21"/>
    <w:basedOn w:val="a1"/>
    <w:rsid w:val="004148D0"/>
    <w:rPr>
      <w:rFonts w:ascii="方正仿宋_GBK" w:eastAsia="方正仿宋_GBK" w:hAnsi="方正仿宋_GBK" w:cs="方正仿宋_GBK"/>
      <w:b/>
      <w:i w:val="0"/>
      <w:color w:val="000000"/>
      <w:sz w:val="22"/>
      <w:szCs w:val="22"/>
      <w:u w:val="none"/>
    </w:rPr>
  </w:style>
  <w:style w:type="character" w:customStyle="1" w:styleId="font131">
    <w:name w:val="font131"/>
    <w:basedOn w:val="a1"/>
    <w:rsid w:val="004148D0"/>
    <w:rPr>
      <w:rFonts w:ascii="Times New Roman" w:hAnsi="Times New Roman" w:cs="Times New Roman" w:hint="default"/>
      <w:b/>
      <w:i w:val="0"/>
      <w:color w:val="000000"/>
      <w:sz w:val="32"/>
      <w:szCs w:val="32"/>
      <w:u w:val="none"/>
    </w:rPr>
  </w:style>
  <w:style w:type="character" w:customStyle="1" w:styleId="font51">
    <w:name w:val="font51"/>
    <w:basedOn w:val="a1"/>
    <w:rsid w:val="004148D0"/>
    <w:rPr>
      <w:rFonts w:ascii="Times New Roman" w:hAnsi="Times New Roman" w:cs="Times New Roman" w:hint="default"/>
      <w:b/>
      <w:i w:val="0"/>
      <w:color w:val="000000"/>
      <w:sz w:val="22"/>
      <w:szCs w:val="22"/>
      <w:u w:val="none"/>
    </w:rPr>
  </w:style>
  <w:style w:type="character" w:customStyle="1" w:styleId="font91">
    <w:name w:val="font91"/>
    <w:basedOn w:val="a1"/>
    <w:rsid w:val="004148D0"/>
    <w:rPr>
      <w:rFonts w:ascii="宋体" w:eastAsia="宋体" w:hAnsi="宋体" w:cs="宋体" w:hint="eastAsia"/>
      <w:b/>
      <w:i w:val="0"/>
      <w:color w:val="000000"/>
      <w:sz w:val="21"/>
      <w:szCs w:val="21"/>
      <w:u w:val="none"/>
    </w:rPr>
  </w:style>
  <w:style w:type="character" w:customStyle="1" w:styleId="font81">
    <w:name w:val="font81"/>
    <w:basedOn w:val="a1"/>
    <w:rsid w:val="004148D0"/>
    <w:rPr>
      <w:rFonts w:ascii="Times New Roman" w:hAnsi="Times New Roman" w:cs="Times New Roman" w:hint="default"/>
      <w:b/>
      <w:i w:val="0"/>
      <w:color w:val="000000"/>
      <w:sz w:val="21"/>
      <w:szCs w:val="21"/>
      <w:u w:val="none"/>
    </w:rPr>
  </w:style>
  <w:style w:type="paragraph" w:styleId="a9">
    <w:name w:val="Balloon Text"/>
    <w:basedOn w:val="a"/>
    <w:link w:val="Char4"/>
    <w:rsid w:val="004148D0"/>
    <w:rPr>
      <w:sz w:val="18"/>
      <w:szCs w:val="18"/>
    </w:rPr>
  </w:style>
  <w:style w:type="character" w:customStyle="1" w:styleId="Char4">
    <w:name w:val="批注框文本 Char"/>
    <w:basedOn w:val="a1"/>
    <w:link w:val="a9"/>
    <w:rsid w:val="004148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3211</Characters>
  <Application>Microsoft Office Word</Application>
  <DocSecurity>0</DocSecurity>
  <Lines>26</Lines>
  <Paragraphs>7</Paragraphs>
  <ScaleCrop>false</ScaleCrop>
  <Company>Microsoft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郑明清</dc:creator>
  <cp:keywords/>
  <dc:description/>
  <cp:lastModifiedBy>郑明清</cp:lastModifiedBy>
  <cp:revision>2</cp:revision>
  <dcterms:created xsi:type="dcterms:W3CDTF">2024-10-28T10:25:00Z</dcterms:created>
  <dcterms:modified xsi:type="dcterms:W3CDTF">2024-10-28T10:25:00Z</dcterms:modified>
</cp:coreProperties>
</file>