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ascii="方正小标宋_GBK" w:hAnsi="方正小标宋_GBK" w:eastAsia="方正小标宋_GBK" w:cs="方正小标宋_GBK"/>
          <w:b w:val="0"/>
          <w:spacing w:val="0"/>
          <w:kern w:val="0"/>
          <w:sz w:val="44"/>
          <w:szCs w:val="44"/>
          <w:u w:val="none"/>
          <w:lang w:eastAsia="zh-CN"/>
        </w:rPr>
      </w:pPr>
      <w:bookmarkStart w:id="0" w:name="_GoBack"/>
      <w:bookmarkEnd w:id="0"/>
      <w:r>
        <w:rPr>
          <w:rFonts w:hint="eastAsia" w:ascii="方正小标宋_GBK" w:hAnsi="方正小标宋_GBK" w:eastAsia="方正小标宋_GBK" w:cs="方正小标宋_GBK"/>
          <w:b w:val="0"/>
          <w:spacing w:val="0"/>
          <w:kern w:val="0"/>
          <w:sz w:val="44"/>
          <w:szCs w:val="44"/>
          <w:u w:val="none"/>
          <w:lang w:eastAsia="zh-CN"/>
        </w:rPr>
        <w:t>《重庆市取用水领域信用评价</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ascii="方正小标宋_GBK" w:hAnsi="方正小标宋_GBK" w:eastAsia="方正小标宋_GBK" w:cs="方正小标宋_GBK"/>
          <w:b w:val="0"/>
          <w:spacing w:val="0"/>
          <w:kern w:val="0"/>
          <w:sz w:val="44"/>
          <w:szCs w:val="44"/>
          <w:u w:val="none"/>
          <w:lang w:val="en-US" w:eastAsia="zh-CN"/>
        </w:rPr>
      </w:pPr>
      <w:r>
        <w:rPr>
          <w:rFonts w:hint="eastAsia" w:ascii="方正小标宋_GBK" w:hAnsi="方正小标宋_GBK" w:eastAsia="方正小标宋_GBK" w:cs="方正小标宋_GBK"/>
          <w:b w:val="0"/>
          <w:spacing w:val="0"/>
          <w:kern w:val="0"/>
          <w:sz w:val="44"/>
          <w:szCs w:val="44"/>
          <w:u w:val="none"/>
          <w:lang w:eastAsia="zh-CN"/>
        </w:rPr>
        <w:t>工作方案（试行）》政策解读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eastAsia" w:ascii="Times New Roman" w:hAnsi="Times New Roman" w:eastAsia="方正仿宋_GBK" w:cs="Times New Roman"/>
          <w:b w:val="0"/>
          <w:snapToGrid w:val="0"/>
          <w:color w:val="000000"/>
          <w:spacing w:val="0"/>
          <w:kern w:val="0"/>
          <w:sz w:val="32"/>
          <w:szCs w:val="32"/>
          <w:highlight w:val="none"/>
          <w:lang w:val="en"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eastAsia" w:ascii="Times New Roman" w:hAnsi="Times New Roman" w:eastAsia="方正仿宋_GBK" w:cs="Times New Roman"/>
          <w:b w:val="0"/>
          <w:snapToGrid w:val="0"/>
          <w:color w:val="000000"/>
          <w:spacing w:val="0"/>
          <w:kern w:val="0"/>
          <w:sz w:val="32"/>
          <w:szCs w:val="32"/>
          <w:highlight w:val="none"/>
          <w:lang w:val="en-US" w:eastAsia="zh-CN"/>
        </w:rPr>
      </w:pPr>
      <w:r>
        <w:rPr>
          <w:rFonts w:hint="eastAsia" w:ascii="Times New Roman" w:hAnsi="Times New Roman" w:eastAsia="方正仿宋_GBK" w:cs="Times New Roman"/>
          <w:b w:val="0"/>
          <w:snapToGrid w:val="0"/>
          <w:color w:val="000000"/>
          <w:spacing w:val="0"/>
          <w:kern w:val="0"/>
          <w:sz w:val="32"/>
          <w:szCs w:val="32"/>
          <w:highlight w:val="none"/>
          <w:lang w:val="en-US" w:eastAsia="zh-CN"/>
        </w:rPr>
        <w:t>2026年3月6日，市水利局、市发展改革委联合印发了《重庆市取用水领域信用评价工作方案（试行）》（以下简称《方案》）。为便于社会公众理解和政策执行，现就《方案》相关内容解读如下。</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方正黑体_GBK" w:hAnsi="方正黑体_GBK" w:eastAsia="方正黑体_GBK" w:cs="方正黑体_GBK"/>
          <w:b w:val="0"/>
          <w:bCs w:val="0"/>
          <w:color w:val="auto"/>
          <w:kern w:val="0"/>
          <w:sz w:val="32"/>
          <w:szCs w:val="32"/>
          <w:highlight w:val="none"/>
          <w:u w:val="none"/>
          <w:lang w:val="en-US" w:eastAsia="zh-CN"/>
        </w:rPr>
      </w:pPr>
      <w:r>
        <w:rPr>
          <w:rFonts w:hint="eastAsia" w:ascii="方正黑体_GBK" w:hAnsi="方正黑体_GBK" w:eastAsia="方正黑体_GBK" w:cs="方正黑体_GBK"/>
          <w:b w:val="0"/>
          <w:bCs w:val="0"/>
          <w:color w:val="auto"/>
          <w:kern w:val="0"/>
          <w:sz w:val="32"/>
          <w:szCs w:val="32"/>
          <w:highlight w:val="none"/>
          <w:u w:val="none"/>
          <w:lang w:val="en-US" w:eastAsia="zh-CN"/>
        </w:rPr>
        <w:t>一、出台背景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eastAsia" w:ascii="Times New Roman" w:hAnsi="Times New Roman" w:eastAsia="方正仿宋_GBK" w:cs="Times New Roman"/>
          <w:b w:val="0"/>
          <w:snapToGrid w:val="0"/>
          <w:color w:val="000000"/>
          <w:spacing w:val="0"/>
          <w:kern w:val="0"/>
          <w:sz w:val="32"/>
          <w:szCs w:val="32"/>
          <w:highlight w:val="none"/>
          <w:lang w:val="en-US" w:eastAsia="zh-CN"/>
        </w:rPr>
      </w:pPr>
      <w:r>
        <w:rPr>
          <w:rFonts w:hint="eastAsia" w:ascii="Times New Roman" w:hAnsi="Times New Roman" w:eastAsia="方正仿宋_GBK" w:cs="Times New Roman"/>
          <w:b w:val="0"/>
          <w:snapToGrid w:val="0"/>
          <w:color w:val="000000"/>
          <w:spacing w:val="0"/>
          <w:kern w:val="0"/>
          <w:sz w:val="32"/>
          <w:szCs w:val="32"/>
          <w:highlight w:val="none"/>
          <w:lang w:val="en-US" w:eastAsia="zh-CN"/>
        </w:rPr>
        <w:t>为深入贯彻党中央、国务院关于实行水资源刚性约束制度和关于社会信用体系建设的决策部署，落实水利部和国家发展改革委联合印发的《关于实施取用水领域信用评价的指导意见》文件精神，加快推进重庆市取用水领域信用体系建设，强化取用水领域信用监管，确保水资源合理利用和保护，提升水资源管理的法治化、规范化水平。市水利局会同市发展改革委印发了《方案》，通过信用评价机制的建立，激励守信行为，惩戒失信行为，引导取用水户依法依规取用水资源，促进水资源集约安全利用。</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default" w:ascii="方正黑体_GBK" w:hAnsi="方正黑体_GBK" w:eastAsia="方正黑体_GBK" w:cs="方正黑体_GBK"/>
          <w:b w:val="0"/>
          <w:bCs w:val="0"/>
          <w:color w:val="auto"/>
          <w:kern w:val="0"/>
          <w:sz w:val="32"/>
          <w:szCs w:val="32"/>
          <w:highlight w:val="none"/>
          <w:u w:val="none"/>
          <w:lang w:val="en-US" w:eastAsia="zh-CN"/>
        </w:rPr>
      </w:pPr>
      <w:r>
        <w:rPr>
          <w:rFonts w:hint="eastAsia" w:ascii="方正黑体_GBK" w:hAnsi="方正黑体_GBK" w:eastAsia="方正黑体_GBK" w:cs="方正黑体_GBK"/>
          <w:b w:val="0"/>
          <w:bCs w:val="0"/>
          <w:color w:val="auto"/>
          <w:kern w:val="0"/>
          <w:sz w:val="32"/>
          <w:szCs w:val="32"/>
          <w:highlight w:val="none"/>
          <w:u w:val="none"/>
          <w:lang w:val="en-US" w:eastAsia="zh-CN"/>
        </w:rPr>
        <w:t>二、出台意义</w:t>
      </w:r>
    </w:p>
    <w:p>
      <w:pPr>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color w:val="000000"/>
          <w:spacing w:val="0"/>
          <w:kern w:val="0"/>
          <w:sz w:val="32"/>
          <w:szCs w:val="32"/>
          <w:highlight w:val="none"/>
          <w:lang w:val="en-US" w:eastAsia="zh-CN" w:bidi="ar-SA"/>
        </w:rPr>
        <w:t>（一）水资源监管层面。</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创新引入信用监管手段</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通过把违法违规行为记入信用记录，构建“守信激励、失信惩戒”机制，对不良企业形成震慑，同时结合信用评价结果实行差异化监管，大幅提升了监管的精准性和威慑力。</w:t>
      </w:r>
    </w:p>
    <w:p>
      <w:pPr>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color w:val="000000"/>
          <w:spacing w:val="0"/>
          <w:kern w:val="0"/>
          <w:sz w:val="32"/>
          <w:szCs w:val="32"/>
          <w:highlight w:val="none"/>
          <w:lang w:val="en-US" w:eastAsia="zh-CN" w:bidi="ar-SA"/>
        </w:rPr>
        <w:t>（二）企业行为规范层面。</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建立明确的信用评价体系，为用水户提供清晰的行为指南，引导其从被动服从变为主动守法取用水。不仅有效遏制无序取水等违规行为，也倒逼企业优化用水工艺，为</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提升</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水资源节约集约利用</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水平，</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推广节水技术注入强劲市场动力。</w:t>
      </w:r>
    </w:p>
    <w:p>
      <w:pPr>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b w:val="0"/>
          <w:bCs w:val="0"/>
          <w:snapToGrid w:val="0"/>
          <w:color w:val="000000"/>
          <w:spacing w:val="0"/>
          <w:kern w:val="0"/>
          <w:sz w:val="32"/>
          <w:szCs w:val="32"/>
          <w:highlight w:val="none"/>
          <w:lang w:val="en-US" w:eastAsia="zh-CN" w:bidi="ar-SA"/>
        </w:rPr>
      </w:pPr>
      <w:r>
        <w:rPr>
          <w:rFonts w:hint="eastAsia" w:ascii="方正楷体_GBK" w:hAnsi="方正楷体_GBK" w:eastAsia="方正楷体_GBK" w:cs="方正楷体_GBK"/>
          <w:b w:val="0"/>
          <w:bCs w:val="0"/>
          <w:snapToGrid w:val="0"/>
          <w:color w:val="000000"/>
          <w:spacing w:val="0"/>
          <w:kern w:val="0"/>
          <w:sz w:val="32"/>
          <w:szCs w:val="32"/>
          <w:highlight w:val="none"/>
          <w:lang w:val="en-US" w:eastAsia="zh-CN" w:bidi="ar-SA"/>
        </w:rPr>
        <w:t>（三）制度与政策协同层面。</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实施取用水领域信用评价是落实水资源刚性约束制度的一项重要任务，</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信用评价结果在行政审批、财税金融等多部门间的共享联动，提升了政府服务效能</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w:t>
      </w:r>
    </w:p>
    <w:p>
      <w:pPr>
        <w:pStyle w:val="3"/>
        <w:keepNext/>
        <w:keepLines/>
        <w:pageBreakBefore w:val="0"/>
        <w:widowControl/>
        <w:kinsoku/>
        <w:wordWrap/>
        <w:overflowPunct/>
        <w:topLinePunct w:val="0"/>
        <w:autoSpaceDE/>
        <w:autoSpaceDN/>
        <w:bidi w:val="0"/>
        <w:adjustRightInd/>
        <w:snapToGrid/>
        <w:spacing w:before="0" w:after="0" w:line="594" w:lineRule="exact"/>
        <w:ind w:firstLine="640" w:firstLineChars="200"/>
        <w:textAlignment w:val="auto"/>
        <w:rPr>
          <w:rFonts w:hint="default"/>
          <w:lang w:val="en-US" w:eastAsia="zh-CN"/>
        </w:rPr>
      </w:pPr>
      <w:r>
        <w:rPr>
          <w:rFonts w:hint="eastAsia" w:ascii="方正楷体_GBK" w:hAnsi="方正楷体_GBK" w:eastAsia="方正楷体_GBK" w:cs="方正楷体_GBK"/>
          <w:b w:val="0"/>
          <w:bCs w:val="0"/>
          <w:snapToGrid w:val="0"/>
          <w:color w:val="000000"/>
          <w:spacing w:val="0"/>
          <w:kern w:val="0"/>
          <w:sz w:val="32"/>
          <w:szCs w:val="32"/>
          <w:highlight w:val="none"/>
          <w:lang w:val="en-US" w:eastAsia="zh-CN" w:bidi="ar-SA"/>
        </w:rPr>
        <w:t>（四）行业生态与发展层面。</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营造“守信受益、失信难行”的公平用水氛围，遏制不良竞争。引导水资源向高效率、守信用的企业流动，</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为</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保障经济社会高质量发展提供了有力支撑。</w:t>
      </w:r>
    </w:p>
    <w:p>
      <w:pPr>
        <w:pStyle w:val="11"/>
        <w:keepNext w:val="0"/>
        <w:keepLines w:val="0"/>
        <w:pageBreakBefore w:val="0"/>
        <w:widowControl/>
        <w:numPr>
          <w:ilvl w:val="0"/>
          <w:numId w:val="1"/>
        </w:numPr>
        <w:suppressLineNumbers w:val="0"/>
        <w:shd w:val="clear" w:fill="FFFFFF"/>
        <w:kinsoku w:val="0"/>
        <w:wordWrap/>
        <w:overflowPunct/>
        <w:topLinePunct w:val="0"/>
        <w:autoSpaceDE w:val="0"/>
        <w:autoSpaceDN w:val="0"/>
        <w:bidi w:val="0"/>
        <w:adjustRightInd w:val="0"/>
        <w:snapToGrid w:val="0"/>
        <w:spacing w:before="0" w:beforeAutospacing="0" w:after="0" w:afterAutospacing="0" w:line="594" w:lineRule="exact"/>
        <w:ind w:left="0" w:right="0" w:firstLine="640" w:firstLineChars="200"/>
        <w:jc w:val="both"/>
        <w:textAlignment w:val="baseline"/>
        <w:rPr>
          <w:rFonts w:hint="eastAsia" w:ascii="方正黑体_GBK" w:hAnsi="方正黑体_GBK" w:eastAsia="方正黑体_GBK" w:cs="方正黑体_GBK"/>
          <w:b w:val="0"/>
          <w:bCs w:val="0"/>
          <w:color w:val="auto"/>
          <w:kern w:val="0"/>
          <w:sz w:val="32"/>
          <w:szCs w:val="32"/>
          <w:highlight w:val="none"/>
          <w:u w:val="none"/>
          <w:lang w:val="en-US" w:eastAsia="zh-CN" w:bidi="ar-SA"/>
        </w:rPr>
      </w:pPr>
      <w:r>
        <w:rPr>
          <w:rFonts w:hint="eastAsia" w:ascii="方正黑体_GBK" w:hAnsi="方正黑体_GBK" w:eastAsia="方正黑体_GBK" w:cs="方正黑体_GBK"/>
          <w:b w:val="0"/>
          <w:bCs w:val="0"/>
          <w:color w:val="auto"/>
          <w:kern w:val="0"/>
          <w:sz w:val="32"/>
          <w:szCs w:val="32"/>
          <w:highlight w:val="none"/>
          <w:u w:val="none"/>
          <w:lang w:val="en-US" w:eastAsia="zh-CN" w:bidi="ar-SA"/>
        </w:rPr>
        <w:t>主要内容</w:t>
      </w:r>
    </w:p>
    <w:p>
      <w:pPr>
        <w:pStyle w:val="11"/>
        <w:keepNext w:val="0"/>
        <w:keepLines w:val="0"/>
        <w:pageBreakBefore w:val="0"/>
        <w:widowControl/>
        <w:numPr>
          <w:ilvl w:val="-1"/>
          <w:numId w:val="0"/>
        </w:numPr>
        <w:suppressLineNumbers w:val="0"/>
        <w:shd w:val="clear" w:fill="FFFFFF"/>
        <w:kinsoku w:val="0"/>
        <w:wordWrap/>
        <w:overflowPunct/>
        <w:topLinePunct w:val="0"/>
        <w:autoSpaceDE w:val="0"/>
        <w:autoSpaceDN w:val="0"/>
        <w:bidi w:val="0"/>
        <w:adjustRightInd w:val="0"/>
        <w:snapToGrid w:val="0"/>
        <w:spacing w:before="0" w:beforeAutospacing="0" w:after="0" w:afterAutospacing="0" w:line="594"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《方案》共7部分</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正文和</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4个附件</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第一部分，</w:t>
      </w:r>
      <w:r>
        <w:rPr>
          <w:rFonts w:hint="default" w:ascii="Times New Roman" w:hAnsi="Times New Roman" w:eastAsia="方正仿宋_GBK" w:cs="Times New Roman"/>
          <w:b/>
          <w:bCs/>
          <w:snapToGrid w:val="0"/>
          <w:color w:val="000000"/>
          <w:spacing w:val="0"/>
          <w:kern w:val="0"/>
          <w:sz w:val="32"/>
          <w:szCs w:val="32"/>
          <w:highlight w:val="none"/>
          <w:lang w:val="en-US" w:eastAsia="zh-CN" w:bidi="ar-SA"/>
        </w:rPr>
        <w:t>总体要求</w:t>
      </w: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明确市水利局作为全市取用水领域信用评价主体，统一组织开展全市取用水领域信用评价工作。</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第二部分，</w:t>
      </w:r>
      <w:r>
        <w:rPr>
          <w:rFonts w:hint="default" w:ascii="Times New Roman" w:hAnsi="Times New Roman" w:eastAsia="方正仿宋_GBK" w:cs="Times New Roman"/>
          <w:b/>
          <w:bCs/>
          <w:snapToGrid w:val="0"/>
          <w:color w:val="000000"/>
          <w:spacing w:val="0"/>
          <w:kern w:val="0"/>
          <w:sz w:val="32"/>
          <w:szCs w:val="32"/>
          <w:highlight w:val="none"/>
          <w:lang w:val="en-US" w:eastAsia="zh-CN" w:bidi="ar-SA"/>
        </w:rPr>
        <w:t>评价对象与主体</w:t>
      </w: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明确按照稳慎适度的原则，将已纳入取水许可管理的非农业取用水户和未经批准擅自取水的非农业取用水户作为评价对象，不包含流域管理机构审批的取用水户。</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第三部分，</w:t>
      </w:r>
      <w:r>
        <w:rPr>
          <w:rFonts w:hint="default" w:ascii="Times New Roman" w:hAnsi="Times New Roman" w:eastAsia="方正仿宋_GBK" w:cs="Times New Roman"/>
          <w:b/>
          <w:bCs/>
          <w:snapToGrid w:val="0"/>
          <w:color w:val="000000"/>
          <w:spacing w:val="0"/>
          <w:kern w:val="0"/>
          <w:sz w:val="32"/>
          <w:szCs w:val="32"/>
          <w:highlight w:val="none"/>
          <w:lang w:val="en-US" w:eastAsia="zh-CN" w:bidi="ar-SA"/>
        </w:rPr>
        <w:t>评价标准和依据</w:t>
      </w: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明确取用水领域信用评价基于取用水领域信用信息开展。取用水户失信行为信息自相应行政处罚、行政强制等生效之日起即纳入取用水领域信用评价，并提出信用信息修复方式。</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第四部分，</w:t>
      </w:r>
      <w:r>
        <w:rPr>
          <w:rFonts w:hint="default" w:ascii="Times New Roman" w:hAnsi="Times New Roman" w:eastAsia="方正仿宋_GBK" w:cs="Times New Roman"/>
          <w:b/>
          <w:bCs/>
          <w:snapToGrid w:val="0"/>
          <w:color w:val="000000"/>
          <w:spacing w:val="0"/>
          <w:kern w:val="0"/>
          <w:sz w:val="32"/>
          <w:szCs w:val="32"/>
          <w:highlight w:val="none"/>
          <w:lang w:val="en-US" w:eastAsia="zh-CN" w:bidi="ar-SA"/>
        </w:rPr>
        <w:t>评价周期与程序</w:t>
      </w: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明确取用水领域信用评价实行扣分制，初始分值100分，根据扣分情况确定信用评价等级</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分别是信用优秀（A级）、信用良好（B级）、信用一般（C级）、信用较差（D级）。各信用等级对应的分值（N）分别为：</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0"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信用优秀（A级）：N=100；</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0"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信用良好（B级）：85≤N&lt;100；</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0"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信用一般（C级）：60≤N&lt;85；</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0"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信用较差（D级）：0≤N&lt;60。</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第五部分，信用修复。</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明确信用评价周期、结果公示、异议申诉处理、评价结果发布等。</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第六部分，分类监管。</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明确从守信激励、失信惩戒、评价结果共享应用等方面，规范取用水及管理秩序。</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第七部分，组织实施。</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明确从加强组织领导、强化技术支撑、保护信息安全等方面保障取用水领域信用评价工作顺利推进。</w:t>
      </w:r>
    </w:p>
    <w:p>
      <w:pPr>
        <w:pStyle w:val="8"/>
        <w:keepNext w:val="0"/>
        <w:keepLines w:val="0"/>
        <w:pageBreakBefore w:val="0"/>
        <w:widowControl w:val="0"/>
        <w:kinsoku/>
        <w:wordWrap/>
        <w:overflowPunct/>
        <w:topLinePunct w:val="0"/>
        <w:autoSpaceDE/>
        <w:autoSpaceDN/>
        <w:bidi w:val="0"/>
        <w:snapToGrid w:val="0"/>
        <w:spacing w:line="594" w:lineRule="exact"/>
        <w:ind w:left="0" w:leftChars="0" w:firstLine="643" w:firstLineChars="200"/>
        <w:textAlignment w:val="auto"/>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0"/>
          <w:kern w:val="0"/>
          <w:sz w:val="32"/>
          <w:szCs w:val="32"/>
          <w:highlight w:val="none"/>
          <w:lang w:val="en-US" w:eastAsia="zh-CN" w:bidi="ar-SA"/>
        </w:rPr>
        <w:t>附件部分，共四项。</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附件1明确取用水领域信用评价指标及评分标准</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附件2为信用评价初评结果汇总表</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附件3为拟纳入取用水领域失信名单告知书</w:t>
      </w:r>
      <w:r>
        <w:rPr>
          <w:rFonts w:hint="eastAsia" w:ascii="Times New Roman" w:hAnsi="Times New Roman" w:eastAsia="方正仿宋_GBK" w:cs="Times New Roman"/>
          <w:b w:val="0"/>
          <w:bCs w:val="0"/>
          <w:snapToGrid w:val="0"/>
          <w:color w:val="000000"/>
          <w:spacing w:val="0"/>
          <w:kern w:val="0"/>
          <w:sz w:val="32"/>
          <w:szCs w:val="32"/>
          <w:highlight w:val="none"/>
          <w:lang w:val="en-US" w:eastAsia="zh-CN" w:bidi="ar-SA"/>
        </w:rPr>
        <w:t>；</w:t>
      </w:r>
      <w:r>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t>附件4为取用水领域信用修复申请表。</w:t>
      </w:r>
    </w:p>
    <w:p>
      <w:pPr>
        <w:pStyle w:val="11"/>
        <w:keepNext w:val="0"/>
        <w:keepLines w:val="0"/>
        <w:pageBreakBefore w:val="0"/>
        <w:widowControl/>
        <w:shd w:val="clear" w:fill="FFFFFF"/>
        <w:kinsoku w:val="0"/>
        <w:wordWrap/>
        <w:overflowPunct/>
        <w:topLinePunct w:val="0"/>
        <w:autoSpaceDE w:val="0"/>
        <w:autoSpaceDN w:val="0"/>
        <w:bidi w:val="0"/>
        <w:adjustRightInd w:val="0"/>
        <w:snapToGrid w:val="0"/>
        <w:spacing w:line="594" w:lineRule="exact"/>
        <w:ind w:left="0" w:leftChars="0" w:firstLine="0" w:firstLineChars="0"/>
        <w:textAlignment w:val="baseline"/>
        <w:rPr>
          <w:rFonts w:hint="default" w:ascii="Times New Roman" w:hAnsi="Times New Roman" w:eastAsia="方正仿宋_GBK" w:cs="Times New Roman"/>
          <w:b w:val="0"/>
          <w:bCs w:val="0"/>
          <w:snapToGrid w:val="0"/>
          <w:color w:val="000000"/>
          <w:spacing w:val="0"/>
          <w:kern w:val="0"/>
          <w:sz w:val="32"/>
          <w:szCs w:val="32"/>
          <w:highlight w:val="none"/>
          <w:lang w:val="en-US" w:eastAsia="zh-CN" w:bidi="ar-SA"/>
        </w:rPr>
      </w:pPr>
    </w:p>
    <w:sectPr>
      <w:footerReference r:id="rId3"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PingFang SC Regular">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53FA8"/>
    <w:multiLevelType w:val="singleLevel"/>
    <w:tmpl w:val="FFB53FA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9E4D9"/>
    <w:rsid w:val="15B23CD4"/>
    <w:rsid w:val="15F7431E"/>
    <w:rsid w:val="19EFD624"/>
    <w:rsid w:val="1D872B86"/>
    <w:rsid w:val="1DFFCA2B"/>
    <w:rsid w:val="1EEE0240"/>
    <w:rsid w:val="1FEE171F"/>
    <w:rsid w:val="2AEF885C"/>
    <w:rsid w:val="2CA84DD4"/>
    <w:rsid w:val="2DF69EC9"/>
    <w:rsid w:val="2FF1AAB3"/>
    <w:rsid w:val="32552405"/>
    <w:rsid w:val="351C5293"/>
    <w:rsid w:val="358F7F6E"/>
    <w:rsid w:val="39F6B1DA"/>
    <w:rsid w:val="3BBF181B"/>
    <w:rsid w:val="3BFB26CE"/>
    <w:rsid w:val="3C0BA901"/>
    <w:rsid w:val="3E797B05"/>
    <w:rsid w:val="3F5DDEBF"/>
    <w:rsid w:val="3FF7C69D"/>
    <w:rsid w:val="3FFFA0AB"/>
    <w:rsid w:val="4BD96462"/>
    <w:rsid w:val="4CDF81B8"/>
    <w:rsid w:val="50924FB9"/>
    <w:rsid w:val="51EF452C"/>
    <w:rsid w:val="55241781"/>
    <w:rsid w:val="553570A1"/>
    <w:rsid w:val="57E16F3F"/>
    <w:rsid w:val="5D4743FE"/>
    <w:rsid w:val="5DB91834"/>
    <w:rsid w:val="5DEFC630"/>
    <w:rsid w:val="5E1748BD"/>
    <w:rsid w:val="5F1D6BF8"/>
    <w:rsid w:val="5F6D3228"/>
    <w:rsid w:val="5F7E476A"/>
    <w:rsid w:val="5F974D5C"/>
    <w:rsid w:val="5F9BE995"/>
    <w:rsid w:val="5FFE3BDF"/>
    <w:rsid w:val="5FFF0331"/>
    <w:rsid w:val="668E77E2"/>
    <w:rsid w:val="673E71C4"/>
    <w:rsid w:val="674E6F31"/>
    <w:rsid w:val="6B2569E0"/>
    <w:rsid w:val="6D534EF9"/>
    <w:rsid w:val="6DBFFC03"/>
    <w:rsid w:val="6FD12E66"/>
    <w:rsid w:val="6FDE6A88"/>
    <w:rsid w:val="71FBC1E3"/>
    <w:rsid w:val="74283C45"/>
    <w:rsid w:val="74984418"/>
    <w:rsid w:val="75DF72B9"/>
    <w:rsid w:val="75F68B5A"/>
    <w:rsid w:val="76251145"/>
    <w:rsid w:val="76FF4EAC"/>
    <w:rsid w:val="774D9626"/>
    <w:rsid w:val="777F7D45"/>
    <w:rsid w:val="77DDFAC2"/>
    <w:rsid w:val="77F75437"/>
    <w:rsid w:val="7BDD9B80"/>
    <w:rsid w:val="7BFEB103"/>
    <w:rsid w:val="7C65D74B"/>
    <w:rsid w:val="7CEFB44F"/>
    <w:rsid w:val="7D39D7AB"/>
    <w:rsid w:val="7D6FFE8C"/>
    <w:rsid w:val="7D7DC2AE"/>
    <w:rsid w:val="7DAF2B39"/>
    <w:rsid w:val="7E7610B4"/>
    <w:rsid w:val="7EA4A225"/>
    <w:rsid w:val="7F71D5A5"/>
    <w:rsid w:val="7FDED504"/>
    <w:rsid w:val="7FEE3565"/>
    <w:rsid w:val="7FEFEA50"/>
    <w:rsid w:val="7FF4B507"/>
    <w:rsid w:val="7FF55A5B"/>
    <w:rsid w:val="7FF7DA62"/>
    <w:rsid w:val="7FFBE44E"/>
    <w:rsid w:val="7FFF6178"/>
    <w:rsid w:val="7FFF8A38"/>
    <w:rsid w:val="7FFFF5FF"/>
    <w:rsid w:val="9D3B8061"/>
    <w:rsid w:val="9D9FEDAA"/>
    <w:rsid w:val="9EFD4942"/>
    <w:rsid w:val="9FFBD4DA"/>
    <w:rsid w:val="ADAFFE3A"/>
    <w:rsid w:val="ADDE3B51"/>
    <w:rsid w:val="B39647B7"/>
    <w:rsid w:val="B3BA37DC"/>
    <w:rsid w:val="B5EECDB6"/>
    <w:rsid w:val="B77F56AA"/>
    <w:rsid w:val="B7DFB446"/>
    <w:rsid w:val="B7EF2DEC"/>
    <w:rsid w:val="BB59BF1B"/>
    <w:rsid w:val="BD3DC0A5"/>
    <w:rsid w:val="BEFF817F"/>
    <w:rsid w:val="BF6BEFC1"/>
    <w:rsid w:val="BFFCE16A"/>
    <w:rsid w:val="BFFFF7C9"/>
    <w:rsid w:val="C1FDD302"/>
    <w:rsid w:val="C5FA6318"/>
    <w:rsid w:val="D4B30032"/>
    <w:rsid w:val="D69445F0"/>
    <w:rsid w:val="DAF796DA"/>
    <w:rsid w:val="DCFA05C9"/>
    <w:rsid w:val="DDBDE2FF"/>
    <w:rsid w:val="DF6BB43B"/>
    <w:rsid w:val="DF7B3E2F"/>
    <w:rsid w:val="DFFE0F7A"/>
    <w:rsid w:val="EA6C10FF"/>
    <w:rsid w:val="EED54CF1"/>
    <w:rsid w:val="EED9AAB7"/>
    <w:rsid w:val="EF4D3687"/>
    <w:rsid w:val="EFD75769"/>
    <w:rsid w:val="EFF89234"/>
    <w:rsid w:val="F1EF45AA"/>
    <w:rsid w:val="F4E819F4"/>
    <w:rsid w:val="F5FDA4D3"/>
    <w:rsid w:val="F78BEB90"/>
    <w:rsid w:val="F8EFE183"/>
    <w:rsid w:val="FA9C16DE"/>
    <w:rsid w:val="FBCD3046"/>
    <w:rsid w:val="FBCF1EBD"/>
    <w:rsid w:val="FBE792C3"/>
    <w:rsid w:val="FBFE284A"/>
    <w:rsid w:val="FCE604A3"/>
    <w:rsid w:val="FD6E5038"/>
    <w:rsid w:val="FDFFF7A4"/>
    <w:rsid w:val="FEBF7361"/>
    <w:rsid w:val="FED6F756"/>
    <w:rsid w:val="FEFFAFF1"/>
    <w:rsid w:val="FF7F50F2"/>
    <w:rsid w:val="FFBFD3DF"/>
    <w:rsid w:val="FFF7A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5" w:lineRule="auto"/>
      <w:jc w:val="left"/>
      <w:outlineLvl w:val="1"/>
    </w:pPr>
    <w:rPr>
      <w:rFonts w:ascii="Arial" w:hAnsi="Arial" w:eastAsia="黑体" w:cs="Times New Roman"/>
      <w:sz w:val="32"/>
      <w:szCs w:val="32"/>
      <w:lang w:val="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宋体"/>
      <w:szCs w:val="24"/>
    </w:rPr>
  </w:style>
  <w:style w:type="paragraph" w:styleId="4">
    <w:name w:val="index 8"/>
    <w:basedOn w:val="1"/>
    <w:next w:val="1"/>
    <w:qFormat/>
    <w:uiPriority w:val="0"/>
    <w:pPr>
      <w:widowControl w:val="0"/>
      <w:adjustRightInd w:val="0"/>
      <w:snapToGrid w:val="0"/>
      <w:spacing w:line="594" w:lineRule="exact"/>
      <w:ind w:left="1400" w:leftChars="1400" w:firstLine="880" w:firstLineChars="200"/>
      <w:jc w:val="both"/>
    </w:pPr>
    <w:rPr>
      <w:rFonts w:ascii="Times New Roman" w:hAnsi="Times New Roman" w:eastAsia="方正仿宋_GBK" w:cs="Times New Roman"/>
      <w:kern w:val="2"/>
      <w:sz w:val="32"/>
      <w:szCs w:val="24"/>
      <w:lang w:val="en-US" w:eastAsia="zh-CN" w:bidi="ar-SA"/>
    </w:rPr>
  </w:style>
  <w:style w:type="paragraph" w:styleId="5">
    <w:name w:val="Body Text Indent"/>
    <w:basedOn w:val="1"/>
    <w:next w:val="6"/>
    <w:qFormat/>
    <w:uiPriority w:val="0"/>
    <w:pPr>
      <w:spacing w:line="560" w:lineRule="exact"/>
      <w:ind w:firstLine="624" w:firstLineChars="200"/>
    </w:pPr>
    <w:rPr>
      <w:rFonts w:ascii="仿宋_GB2312" w:hAnsi="Verdana" w:eastAsia="仿宋_GB2312" w:cs="仿宋_GB2312"/>
      <w:sz w:val="32"/>
      <w:szCs w:val="32"/>
    </w:rPr>
  </w:style>
  <w:style w:type="paragraph" w:styleId="6">
    <w:name w:val="envelope return"/>
    <w:basedOn w:val="1"/>
    <w:qFormat/>
    <w:uiPriority w:val="0"/>
    <w:pPr>
      <w:snapToGrid w:val="0"/>
    </w:pPr>
    <w:rPr>
      <w:rFonts w:ascii="Arial" w:hAnsi="Arial"/>
    </w:rPr>
  </w:style>
  <w:style w:type="paragraph" w:styleId="7">
    <w:name w:val="toc 5"/>
    <w:basedOn w:val="1"/>
    <w:next w:val="1"/>
    <w:unhideWhenUsed/>
    <w:qFormat/>
    <w:uiPriority w:val="39"/>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rFonts w:ascii="Calibri" w:hAnsi="Calibri" w:cs="Times New Roman"/>
      <w:szCs w:val="22"/>
    </w:rPr>
  </w:style>
  <w:style w:type="paragraph" w:styleId="11">
    <w:name w:val="Normal (Web)"/>
    <w:basedOn w:val="1"/>
    <w:qFormat/>
    <w:uiPriority w:val="0"/>
    <w:rPr>
      <w:sz w:val="24"/>
    </w:rPr>
  </w:style>
  <w:style w:type="paragraph" w:styleId="12">
    <w:name w:val="Body Text First Indent"/>
    <w:basedOn w:val="2"/>
    <w:next w:val="1"/>
    <w:qFormat/>
    <w:uiPriority w:val="0"/>
    <w:pPr>
      <w:ind w:firstLine="420" w:firstLineChars="100"/>
    </w:pPr>
  </w:style>
  <w:style w:type="paragraph" w:styleId="13">
    <w:name w:val="Body Text First Indent 2"/>
    <w:basedOn w:val="5"/>
    <w:qFormat/>
    <w:uiPriority w:val="0"/>
    <w:pPr>
      <w:spacing w:line="240" w:lineRule="auto"/>
      <w:ind w:firstLine="420" w:firstLineChars="200"/>
    </w:pPr>
    <w:rPr>
      <w:rFonts w:ascii="Calibri" w:hAnsi="Calibri" w:eastAsia="宋体" w:cs="Times New Roman"/>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paragraph" w:customStyle="1" w:styleId="19">
    <w:name w:val="FootnoteText"/>
    <w:basedOn w:val="1"/>
    <w:qFormat/>
    <w:uiPriority w:val="99"/>
    <w:pPr>
      <w:snapToGrid w:val="0"/>
      <w:jc w:val="left"/>
    </w:pPr>
    <w:rPr>
      <w:sz w:val="18"/>
      <w:szCs w:val="18"/>
    </w:rPr>
  </w:style>
  <w:style w:type="paragraph" w:customStyle="1" w:styleId="20">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方正仿宋_GBK" w:hAnsi="方正仿宋_GBK" w:eastAsia="方正仿宋_GBK" w:cs="方正仿宋_GBK"/>
      <w:color w:val="000000"/>
      <w:sz w:val="24"/>
      <w:szCs w:val="24"/>
      <w:lang w:val="en-US" w:eastAsia="zh-CN" w:bidi="ar-SA"/>
    </w:rPr>
  </w:style>
  <w:style w:type="paragraph" w:customStyle="1" w:styleId="21">
    <w:name w:val="BodyText"/>
    <w:next w:val="4"/>
    <w:qFormat/>
    <w:uiPriority w:val="0"/>
    <w:pPr>
      <w:widowControl w:val="0"/>
      <w:adjustRightInd w:val="0"/>
      <w:snapToGrid w:val="0"/>
      <w:spacing w:after="120" w:line="594" w:lineRule="exact"/>
      <w:ind w:firstLine="880" w:firstLineChars="200"/>
      <w:jc w:val="both"/>
      <w:textAlignment w:val="baseline"/>
    </w:pPr>
    <w:rPr>
      <w:rFonts w:ascii="Times New Roman" w:hAnsi="Times New Roman"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3312</Words>
  <Characters>3348</Characters>
  <Lines>0</Lines>
  <Paragraphs>0</Paragraphs>
  <TotalTime>4</TotalTime>
  <ScaleCrop>false</ScaleCrop>
  <LinksUpToDate>false</LinksUpToDate>
  <CharactersWithSpaces>3348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2021-05-24T02:35:00Z</dcterms:created>
  <dc:creator>uos</dc:creator>
  <cp:lastModifiedBy>Administrator</cp:lastModifiedBy>
  <cp:lastPrinted>2025-06-21T07:50:00Z</cp:lastPrinted>
  <dcterms:modified xsi:type="dcterms:W3CDTF">2026-04-14T08:52:13Z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eyJoZGlkIjoiYWZmMDcxNTM4ODliY2I3MDg3NzhkZTg0NGQ0MmRjMWEiLCJ1c2VySWQiOiIxMDIwNDU4MDI3In0=</vt:lpwstr>
  </property>
  <property fmtid="{D5CDD505-2E9C-101B-9397-08002B2CF9AE}" pid="4" name="ICV">
    <vt:lpwstr>BB8CC8117FDD97F3E059D86952B2E573</vt:lpwstr>
  </property>
</Properties>
</file>