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94" w:lineRule="exact"/>
        <w:ind w:left="0" w:leftChars="0" w:firstLine="0" w:firstLineChars="0"/>
        <w:jc w:val="center"/>
        <w:textAlignment w:val="auto"/>
        <w:rPr>
          <w:rFonts w:hint="default" w:ascii="Times New Roman" w:hAnsi="Times New Roman"/>
          <w:color w:val="000000"/>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重庆市水利局</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hint="eastAsia" w:ascii="Times New Roman" w:hAnsi="Times New Roman" w:eastAsia="方正小标宋_GBK" w:cs="方正小标宋_GBK"/>
          <w:b w:val="0"/>
          <w:color w:val="000000"/>
          <w:sz w:val="44"/>
          <w:szCs w:val="44"/>
          <w:lang w:eastAsia="zh-CN"/>
        </w:rPr>
      </w:pPr>
      <w:r>
        <w:rPr>
          <w:rFonts w:ascii="Times New Roman" w:hAnsi="Times New Roman" w:eastAsia="方正小标宋_GBK"/>
          <w:color w:val="000000"/>
          <w:sz w:val="44"/>
          <w:szCs w:val="44"/>
        </w:rPr>
        <w:t>关于</w:t>
      </w:r>
      <w:r>
        <w:rPr>
          <w:rFonts w:hint="eastAsia" w:eastAsia="方正小标宋_GBK" w:cs="方正小标宋_GBK"/>
          <w:b w:val="0"/>
          <w:color w:val="000000"/>
          <w:sz w:val="44"/>
          <w:szCs w:val="44"/>
          <w:lang w:eastAsia="zh-CN"/>
        </w:rPr>
        <w:t>悦来水厂四期扩建工程</w:t>
      </w:r>
      <w:r>
        <w:rPr>
          <w:rFonts w:hint="eastAsia" w:ascii="Times New Roman" w:hAnsi="Times New Roman" w:eastAsia="方正小标宋_GBK" w:cs="方正小标宋_GBK"/>
          <w:b w:val="0"/>
          <w:color w:val="000000"/>
          <w:sz w:val="44"/>
          <w:szCs w:val="44"/>
          <w:lang w:eastAsia="zh-CN"/>
        </w:rPr>
        <w:t>水土保持</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r>
        <w:rPr>
          <w:rFonts w:hint="eastAsia" w:ascii="Times New Roman" w:hAnsi="Times New Roman" w:eastAsia="方正小标宋_GBK" w:cs="方正小标宋_GBK"/>
          <w:b w:val="0"/>
          <w:color w:val="000000"/>
          <w:sz w:val="44"/>
          <w:szCs w:val="44"/>
          <w:lang w:eastAsia="zh-CN"/>
        </w:rPr>
        <w:t>方案</w:t>
      </w:r>
      <w:r>
        <w:rPr>
          <w:rFonts w:ascii="Times New Roman" w:hAnsi="Times New Roman" w:eastAsia="方正小标宋_GBK"/>
          <w:color w:val="000000"/>
          <w:sz w:val="44"/>
          <w:szCs w:val="44"/>
        </w:rPr>
        <w:t>准予行政许可的决定</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both"/>
        <w:textAlignment w:val="auto"/>
        <w:rPr>
          <w:rFonts w:ascii="Times New Roman" w:hAnsi="Times New Roman" w:eastAsia="方正仿宋_GBK"/>
          <w:color w:val="auto"/>
          <w:sz w:val="32"/>
          <w:szCs w:val="32"/>
        </w:rPr>
      </w:pPr>
      <w:r>
        <w:rPr>
          <w:rFonts w:hint="eastAsia" w:eastAsia="方正仿宋_GBK" w:cs="Times New Roman"/>
          <w:b w:val="0"/>
          <w:color w:val="auto"/>
          <w:sz w:val="32"/>
          <w:szCs w:val="32"/>
          <w:lang w:eastAsia="zh-CN"/>
        </w:rPr>
        <w:t>重庆中法供水有限公司</w:t>
      </w:r>
      <w:r>
        <w:rPr>
          <w:rFonts w:ascii="Times New Roman" w:hAnsi="Times New Roman" w:eastAsia="方正仿宋_GBK"/>
          <w:color w:val="auto"/>
          <w:sz w:val="32"/>
          <w:szCs w:val="32"/>
        </w:rPr>
        <w:t>：</w:t>
      </w:r>
    </w:p>
    <w:p>
      <w:pPr>
        <w:snapToGrid w:val="0"/>
        <w:spacing w:line="594"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你</w:t>
      </w:r>
      <w:r>
        <w:rPr>
          <w:rFonts w:hint="eastAsia" w:ascii="Times New Roman" w:hAnsi="Times New Roman" w:eastAsia="方正仿宋_GBK" w:cs="Times New Roman"/>
          <w:color w:val="auto"/>
          <w:sz w:val="32"/>
          <w:szCs w:val="32"/>
          <w:lang w:eastAsia="zh-CN"/>
        </w:rPr>
        <w:t>司</w:t>
      </w:r>
      <w:r>
        <w:rPr>
          <w:rFonts w:hint="default" w:ascii="Times New Roman" w:hAnsi="Times New Roman" w:eastAsia="方正仿宋_GBK" w:cs="Times New Roman"/>
          <w:color w:val="auto"/>
          <w:sz w:val="32"/>
          <w:szCs w:val="32"/>
          <w:lang w:eastAsia="zh-CN"/>
        </w:rPr>
        <w:t>提交的</w:t>
      </w:r>
      <w:r>
        <w:rPr>
          <w:rFonts w:hint="eastAsia" w:ascii="Times New Roman" w:hAnsi="Times New Roman" w:eastAsia="方正仿宋_GBK" w:cs="Times New Roman"/>
          <w:color w:val="auto"/>
          <w:sz w:val="32"/>
          <w:szCs w:val="32"/>
          <w:lang w:eastAsia="zh-CN"/>
        </w:rPr>
        <w:t>悦来水厂四期扩建工程水土保持方案</w:t>
      </w:r>
      <w:r>
        <w:rPr>
          <w:rFonts w:hint="default" w:ascii="Times New Roman" w:hAnsi="Times New Roman" w:eastAsia="方正仿宋_GBK" w:cs="Times New Roman"/>
          <w:color w:val="auto"/>
          <w:sz w:val="32"/>
          <w:szCs w:val="32"/>
          <w:lang w:eastAsia="zh-CN"/>
        </w:rPr>
        <w:t>审批申请（项目代码：</w:t>
      </w:r>
      <w:r>
        <w:rPr>
          <w:rFonts w:hint="eastAsia" w:ascii="Times New Roman" w:hAnsi="Times New Roman" w:eastAsia="方正仿宋_GBK" w:cs="Times New Roman"/>
          <w:color w:val="auto"/>
          <w:sz w:val="32"/>
          <w:szCs w:val="32"/>
          <w:lang w:val="en-US" w:eastAsia="zh-CN"/>
        </w:rPr>
        <w:t>2020-500112-46-03-157282</w:t>
      </w:r>
      <w:r>
        <w:rPr>
          <w:rFonts w:hint="default" w:ascii="Times New Roman" w:hAnsi="Times New Roman" w:eastAsia="方正仿宋_GBK" w:cs="Times New Roman"/>
          <w:color w:val="auto"/>
          <w:sz w:val="32"/>
          <w:szCs w:val="32"/>
          <w:lang w:eastAsia="zh-CN"/>
        </w:rPr>
        <w:t>）和《</w:t>
      </w:r>
      <w:r>
        <w:rPr>
          <w:rFonts w:hint="eastAsia" w:ascii="Times New Roman" w:hAnsi="Times New Roman" w:eastAsia="方正仿宋_GBK" w:cs="Times New Roman"/>
          <w:color w:val="auto"/>
          <w:sz w:val="32"/>
          <w:szCs w:val="32"/>
          <w:lang w:eastAsia="zh-CN"/>
        </w:rPr>
        <w:t>悦来水厂四期扩建工程水土保持方案</w:t>
      </w:r>
      <w:r>
        <w:rPr>
          <w:rFonts w:hint="default" w:ascii="Times New Roman" w:hAnsi="Times New Roman" w:eastAsia="方正仿宋_GBK" w:cs="Times New Roman"/>
          <w:color w:val="auto"/>
          <w:sz w:val="32"/>
          <w:szCs w:val="32"/>
          <w:lang w:eastAsia="zh-CN"/>
        </w:rPr>
        <w:t>报告书》收悉。经审查，该申请符合法定条件，根据《中华人民共和国行政许可法》第三十八条第一款、《水行政许可实施办法》第三十二条第一项规定，决定准予行政许可。</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一</w:t>
      </w:r>
      <w:r>
        <w:rPr>
          <w:rFonts w:ascii="Times New Roman" w:hAnsi="Times New Roman" w:eastAsia="方正黑体_GBK"/>
          <w:color w:val="auto"/>
          <w:sz w:val="32"/>
          <w:szCs w:val="32"/>
        </w:rPr>
        <w:t>、水土保持方案总体意见</w:t>
      </w:r>
    </w:p>
    <w:p>
      <w:pPr>
        <w:pageBreakBefore w:val="0"/>
        <w:kinsoku/>
        <w:wordWrap/>
        <w:overflowPunct/>
        <w:topLinePunct w:val="0"/>
        <w:autoSpaceDE/>
        <w:autoSpaceDN/>
        <w:bidi w:val="0"/>
        <w:snapToGrid w:val="0"/>
        <w:spacing w:line="594" w:lineRule="exact"/>
        <w:ind w:firstLine="640" w:firstLineChars="200"/>
        <w:rPr>
          <w:rFonts w:hint="eastAsia" w:ascii="Times New Roman" w:hAnsi="Times New Roman" w:eastAsia="方正仿宋_GBK" w:cs="方正仿宋_GBK"/>
          <w:color w:val="000000"/>
          <w:spacing w:val="0"/>
          <w:w w:val="100"/>
          <w:kern w:val="0"/>
          <w:sz w:val="32"/>
          <w:szCs w:val="32"/>
        </w:rPr>
      </w:pPr>
      <w:r>
        <w:rPr>
          <w:rFonts w:hint="eastAsia" w:ascii="Times New Roman" w:hAnsi="Times New Roman" w:eastAsia="方正仿宋_GBK" w:cs="Times New Roman"/>
          <w:color w:val="auto"/>
          <w:sz w:val="32"/>
          <w:szCs w:val="32"/>
          <w:lang w:eastAsia="zh-CN"/>
        </w:rPr>
        <w:t>（一）</w:t>
      </w:r>
      <w:r>
        <w:rPr>
          <w:rFonts w:hint="eastAsia" w:ascii="Times New Roman" w:hAnsi="Times New Roman" w:eastAsia="方正仿宋_GBK" w:cs="方正仿宋_GBK"/>
          <w:color w:val="000000"/>
          <w:spacing w:val="0"/>
          <w:w w:val="100"/>
          <w:kern w:val="0"/>
          <w:sz w:val="32"/>
          <w:szCs w:val="32"/>
        </w:rPr>
        <w:t>方案编制依据的法律法规、部委规章、规范性文件、规范标准和技术文件及资料采用基本正确。</w:t>
      </w:r>
    </w:p>
    <w:p>
      <w:pPr>
        <w:snapToGrid w:val="0"/>
        <w:spacing w:line="594" w:lineRule="exact"/>
        <w:ind w:firstLine="640" w:firstLineChars="200"/>
        <w:rPr>
          <w:rFonts w:hint="eastAsia" w:ascii="Times New Roman" w:hAnsi="Times New Roman" w:eastAsia="方正仿宋_GBK" w:cs="Times New Roman"/>
          <w:color w:val="FF0000"/>
          <w:sz w:val="32"/>
          <w:szCs w:val="32"/>
        </w:rPr>
      </w:pPr>
      <w:r>
        <w:rPr>
          <w:rFonts w:hint="eastAsia" w:ascii="Times New Roman" w:hAnsi="Times New Roman" w:eastAsia="方正仿宋_GBK" w:cs="Times New Roman"/>
          <w:color w:val="auto"/>
          <w:sz w:val="32"/>
          <w:szCs w:val="32"/>
        </w:rPr>
        <w:t>（二）同意方案设计水平年为2026年。</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（三）同意水土流失防治责任范围界定，水土流失防治责任范围面积为53.40hm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两江新区35.24hm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，渝北区18.16hm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（四）同意项目水土流失防治标准等级执行西南紫色土区建设类项目一级标准。</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（五）同意水土流失防治目标。其中：水土流失治理度97%，土壤流失控制比1.0，渣土防护率94%，表土保护率92%，林草植被恢复率97%，林草覆盖率27%</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rPr>
        <w:t>（六）基本同意水土流失</w:t>
      </w:r>
      <w:r>
        <w:rPr>
          <w:rFonts w:ascii="Times New Roman" w:hAnsi="Times New Roman" w:eastAsia="方正仿宋_GBK"/>
          <w:bCs/>
          <w:color w:val="auto"/>
          <w:sz w:val="32"/>
          <w:szCs w:val="32"/>
        </w:rPr>
        <w:t>防治分区和分区防治措施体系。</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olor w:val="FF0000"/>
          <w:sz w:val="32"/>
          <w:szCs w:val="32"/>
        </w:rPr>
      </w:pPr>
      <w:r>
        <w:rPr>
          <w:rFonts w:hint="eastAsia" w:ascii="Times New Roman" w:hAnsi="Times New Roman" w:eastAsia="方正仿宋_GBK"/>
          <w:bCs/>
          <w:color w:val="auto"/>
          <w:sz w:val="32"/>
          <w:szCs w:val="32"/>
        </w:rPr>
        <w:t>（七）基本</w:t>
      </w:r>
      <w:r>
        <w:rPr>
          <w:rFonts w:ascii="Times New Roman" w:hAnsi="Times New Roman" w:eastAsia="方正仿宋_GBK"/>
          <w:bCs/>
          <w:color w:val="auto"/>
          <w:sz w:val="32"/>
          <w:szCs w:val="32"/>
        </w:rPr>
        <w:t>同意水土保持监测时段、内容和方法。</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二</w:t>
      </w:r>
      <w:r>
        <w:rPr>
          <w:rFonts w:ascii="Times New Roman" w:hAnsi="Times New Roman" w:eastAsia="方正黑体_GBK"/>
          <w:color w:val="auto"/>
          <w:sz w:val="32"/>
          <w:szCs w:val="32"/>
        </w:rPr>
        <w:t>、水土保持方案投资</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bCs/>
          <w:color w:val="auto"/>
          <w:sz w:val="32"/>
          <w:szCs w:val="32"/>
        </w:rPr>
      </w:pPr>
      <w:r>
        <w:rPr>
          <w:rFonts w:hint="eastAsia" w:ascii="Times New Roman" w:hAnsi="Times New Roman" w:eastAsia="方正仿宋_GBK"/>
          <w:bCs/>
          <w:color w:val="auto"/>
          <w:sz w:val="32"/>
          <w:szCs w:val="32"/>
        </w:rPr>
        <w:t>水土保持方案</w:t>
      </w:r>
      <w:r>
        <w:rPr>
          <w:rFonts w:hint="eastAsia" w:ascii="Times New Roman" w:hAnsi="Times New Roman" w:eastAsia="方正仿宋_GBK"/>
          <w:bCs/>
          <w:color w:val="auto"/>
          <w:sz w:val="32"/>
          <w:szCs w:val="32"/>
          <w:lang w:eastAsia="zh-CN"/>
        </w:rPr>
        <w:t>工程</w:t>
      </w:r>
      <w:r>
        <w:rPr>
          <w:rFonts w:hint="eastAsia" w:ascii="Times New Roman" w:hAnsi="Times New Roman" w:eastAsia="方正仿宋_GBK"/>
          <w:bCs/>
          <w:color w:val="auto"/>
          <w:sz w:val="32"/>
          <w:szCs w:val="32"/>
        </w:rPr>
        <w:t>静态总投资1224.31万元，其中</w:t>
      </w:r>
      <w:r>
        <w:rPr>
          <w:rFonts w:hint="eastAsia" w:ascii="Times New Roman" w:hAnsi="Times New Roman" w:eastAsia="方正仿宋_GBK"/>
          <w:bCs/>
          <w:color w:val="auto"/>
          <w:sz w:val="32"/>
          <w:szCs w:val="32"/>
          <w:lang w:eastAsia="zh-CN"/>
        </w:rPr>
        <w:t>：</w:t>
      </w:r>
      <w:r>
        <w:rPr>
          <w:rFonts w:hint="eastAsia" w:ascii="Times New Roman" w:hAnsi="Times New Roman" w:eastAsia="方正仿宋_GBK"/>
          <w:bCs/>
          <w:color w:val="auto"/>
          <w:sz w:val="32"/>
          <w:szCs w:val="32"/>
        </w:rPr>
        <w:t>主体已列943.80万元，方案新增投资280.51万元（其中：工程措施8.17万元，植物措施18.96万元，监测措施52.66万元，</w:t>
      </w:r>
      <w:r>
        <w:rPr>
          <w:rFonts w:hint="eastAsia" w:ascii="Times New Roman" w:hAnsi="Times New Roman" w:eastAsia="方正仿宋_GBK"/>
          <w:bCs/>
          <w:color w:val="auto"/>
          <w:sz w:val="32"/>
          <w:szCs w:val="32"/>
          <w:lang w:eastAsia="zh-CN"/>
        </w:rPr>
        <w:t>施工</w:t>
      </w:r>
      <w:r>
        <w:rPr>
          <w:rFonts w:hint="eastAsia" w:ascii="Times New Roman" w:hAnsi="Times New Roman" w:eastAsia="方正仿宋_GBK"/>
          <w:bCs/>
          <w:color w:val="auto"/>
          <w:sz w:val="32"/>
          <w:szCs w:val="32"/>
        </w:rPr>
        <w:t>临时措施48.88万元，独立费用65.43万元，基本预备费11.65万元，水土保持补偿费74.760万元）。</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三</w:t>
      </w:r>
      <w:r>
        <w:rPr>
          <w:rFonts w:ascii="Times New Roman" w:hAnsi="Times New Roman" w:eastAsia="方正黑体_GBK"/>
          <w:color w:val="auto"/>
          <w:sz w:val="32"/>
          <w:szCs w:val="32"/>
        </w:rPr>
        <w:t>、工作要求</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（一）根据水土保持法律法规和规范标准，认真做好项目建设过程中水土流失防治工作，切实落实水土保持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三同时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的水土保持措施，不得通过水土保持设施自主验收。</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（三）严格控制施工扰动范围，禁止随意占压破坏地貌植被。加强对施工单位的管理，在招投标文件和施工合同中明确施工单位的水土保持责任，强化奖惩制度，规范施工行为。</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依法做好水土保持监测工作，加强水土流失动态监控。在工程建设期间应将水土保持监测季报按规定在网站公开，同时在业主项目部和施工项目部公开，并按规定向我局、所在区县水行政主管部门按时报送监测季报和总结报告。</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（五）按照水土保持监理标准和规范开展水土保持工程施工监理，确保水土保持工程建设质量和进度。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（六）项目开工前向主管税务机关申报缴纳水土保持补偿费。</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both"/>
        <w:textAlignment w:val="auto"/>
        <w:rPr>
          <w:rFonts w:hint="eastAsia" w:ascii="Times New Roman" w:hAnsi="Times New Roman" w:eastAsia="方正仿宋_GBK" w:cs="Times New Roman"/>
          <w:snapToGrid w:val="0"/>
          <w:color w:val="auto"/>
          <w:kern w:val="0"/>
          <w:sz w:val="32"/>
          <w:szCs w:val="32"/>
          <w:lang w:eastAsia="zh-CN"/>
        </w:rPr>
      </w:pPr>
      <w:r>
        <w:rPr>
          <w:rFonts w:hint="default" w:ascii="Times New Roman" w:hAnsi="Times New Roman" w:eastAsia="方正仿宋_GBK" w:cs="Times New Roman"/>
          <w:snapToGrid w:val="0"/>
          <w:color w:val="auto"/>
          <w:kern w:val="0"/>
          <w:sz w:val="32"/>
          <w:szCs w:val="32"/>
        </w:rPr>
        <w:t>（七）本项目的地点、规模如发生重大变化，或者水土保持方案实施过程中水土保持措施发生重大变更的，应按</w:t>
      </w:r>
      <w:r>
        <w:rPr>
          <w:rFonts w:hint="eastAsia" w:ascii="Times New Roman" w:hAnsi="Times New Roman" w:eastAsia="方正仿宋_GBK"/>
          <w:snapToGrid w:val="0"/>
          <w:color w:val="auto"/>
          <w:kern w:val="0"/>
          <w:sz w:val="32"/>
          <w:szCs w:val="32"/>
        </w:rPr>
        <w:t>照“</w:t>
      </w:r>
      <w:r>
        <w:rPr>
          <w:rFonts w:hint="eastAsia" w:ascii="Times New Roman" w:hAnsi="Times New Roman" w:eastAsia="方正仿宋_GBK" w:cs="Times New Roman"/>
          <w:snapToGrid w:val="0"/>
          <w:color w:val="auto"/>
          <w:kern w:val="0"/>
          <w:sz w:val="32"/>
          <w:szCs w:val="32"/>
          <w:lang w:eastAsia="zh-CN"/>
        </w:rPr>
        <w:t>水利部第</w:t>
      </w:r>
      <w:r>
        <w:rPr>
          <w:rFonts w:hint="eastAsia" w:ascii="Times New Roman" w:hAnsi="Times New Roman" w:eastAsia="方正仿宋_GBK" w:cs="Times New Roman"/>
          <w:snapToGrid w:val="0"/>
          <w:color w:val="auto"/>
          <w:kern w:val="0"/>
          <w:sz w:val="32"/>
          <w:szCs w:val="32"/>
          <w:lang w:val="en-US" w:eastAsia="zh-CN"/>
        </w:rPr>
        <w:t>53号令</w:t>
      </w:r>
      <w:r>
        <w:rPr>
          <w:rFonts w:hint="eastAsia" w:ascii="Times New Roman" w:hAnsi="Times New Roman" w:eastAsia="方正仿宋_GBK" w:cs="Times New Roman"/>
          <w:snapToGrid w:val="0"/>
          <w:color w:val="auto"/>
          <w:kern w:val="0"/>
          <w:sz w:val="32"/>
          <w:szCs w:val="32"/>
          <w:lang w:eastAsia="zh-CN"/>
        </w:rPr>
        <w:t>”规定办理。确需</w:t>
      </w:r>
      <w:r>
        <w:rPr>
          <w:rFonts w:hint="default" w:ascii="Times New Roman" w:hAnsi="Times New Roman" w:eastAsia="方正仿宋_GBK" w:cs="Times New Roman"/>
          <w:i w:val="0"/>
          <w:caps w:val="0"/>
          <w:snapToGrid w:val="0"/>
          <w:color w:val="auto"/>
          <w:spacing w:val="0"/>
          <w:kern w:val="0"/>
          <w:sz w:val="32"/>
          <w:szCs w:val="32"/>
          <w:shd w:val="clear" w:color="auto" w:fill="auto"/>
        </w:rPr>
        <w:t>在水土保持方案确定的弃渣场以外新设弃渣场的，或者因弃渣量增加导致弃渣场等级提高的，生产建设单位应</w:t>
      </w:r>
      <w:r>
        <w:rPr>
          <w:rFonts w:hint="default" w:ascii="Times New Roman" w:hAnsi="Times New Roman" w:eastAsia="方正仿宋_GBK"/>
          <w:snapToGrid w:val="0"/>
          <w:color w:val="auto"/>
          <w:kern w:val="0"/>
          <w:sz w:val="32"/>
          <w:szCs w:val="32"/>
        </w:rPr>
        <w:t>当开展弃渣减量化、资源化论证，在弃渣前编制水土保持方案补充报告，</w:t>
      </w:r>
      <w:r>
        <w:rPr>
          <w:rFonts w:hint="default" w:ascii="Times New Roman" w:hAnsi="Times New Roman" w:eastAsia="方正仿宋_GBK"/>
          <w:snapToGrid w:val="0"/>
          <w:color w:val="auto"/>
          <w:kern w:val="0"/>
          <w:sz w:val="32"/>
          <w:szCs w:val="32"/>
          <w:lang w:eastAsia="zh-CN"/>
        </w:rPr>
        <w:t>并完成弃渣场变更审批手续</w:t>
      </w:r>
      <w:r>
        <w:rPr>
          <w:rFonts w:hint="eastAsia" w:ascii="Times New Roman" w:hAnsi="Times New Roman" w:eastAsia="方正仿宋_GBK"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（八）严格按照批准的水土保持方案和后续设计落实各项水土保持措施，合理安排施工时序和水土保持措施实施进度，严格控制施工期间水土流失。</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ascii="Times New Roman" w:hAnsi="Times New Roman" w:eastAsia="方正仿宋_GBK"/>
          <w:snapToGrid w:val="0"/>
          <w:color w:val="auto"/>
          <w:kern w:val="0"/>
          <w:sz w:val="32"/>
          <w:szCs w:val="32"/>
        </w:rPr>
      </w:pPr>
      <w:r>
        <w:rPr>
          <w:rFonts w:hint="default" w:ascii="Times New Roman" w:hAnsi="Times New Roman" w:eastAsia="方正仿宋_GBK" w:cs="Times New Roman"/>
          <w:snapToGrid w:val="0"/>
          <w:color w:val="auto"/>
          <w:kern w:val="0"/>
          <w:sz w:val="32"/>
          <w:szCs w:val="32"/>
        </w:rPr>
        <w:t>（九）</w:t>
      </w:r>
      <w:r>
        <w:rPr>
          <w:rFonts w:hint="default" w:ascii="Times New Roman" w:hAnsi="Times New Roman" w:eastAsia="方正仿宋_GBK" w:cs="Times New Roman"/>
          <w:color w:val="auto"/>
          <w:sz w:val="32"/>
          <w:szCs w:val="32"/>
        </w:rPr>
        <w:t>工程完工后、项目投产使用前应及时组织开展水土保持设施自主验收，并在水土保持设施自主验收通过3个月内，向我局报备验收材料（包括</w:t>
      </w:r>
      <w:r>
        <w:rPr>
          <w:rFonts w:hint="default" w:ascii="Times New Roman" w:hAnsi="Times New Roman" w:eastAsia="方正仿宋_GBK" w:cs="Times New Roman"/>
          <w:snapToGrid w:val="0"/>
          <w:color w:val="auto"/>
          <w:kern w:val="0"/>
          <w:sz w:val="32"/>
          <w:szCs w:val="32"/>
        </w:rPr>
        <w:t>水土保持设施验收鉴定书、水土保持设</w:t>
      </w:r>
      <w:r>
        <w:rPr>
          <w:rFonts w:ascii="Times New Roman" w:hAnsi="Times New Roman" w:eastAsia="方正仿宋_GBK"/>
          <w:snapToGrid w:val="0"/>
          <w:color w:val="auto"/>
          <w:kern w:val="0"/>
          <w:sz w:val="32"/>
          <w:szCs w:val="32"/>
        </w:rPr>
        <w:t>施验收报告和水土保持监测总结报告等）。</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ascii="Times New Roman" w:hAnsi="Times New Roman" w:eastAsia="方正仿宋_GBK"/>
          <w:snapToGrid w:val="0"/>
          <w:color w:val="auto"/>
          <w:kern w:val="0"/>
          <w:sz w:val="32"/>
          <w:szCs w:val="32"/>
        </w:rPr>
      </w:pPr>
      <w:r>
        <w:rPr>
          <w:rFonts w:ascii="Times New Roman" w:hAnsi="Times New Roman" w:eastAsia="方正仿宋_GBK"/>
          <w:snapToGrid w:val="0"/>
          <w:color w:val="auto"/>
          <w:kern w:val="0"/>
          <w:sz w:val="32"/>
          <w:szCs w:val="32"/>
        </w:rPr>
        <w:t>（十）本行政许可决定有效期为</w:t>
      </w:r>
      <w:r>
        <w:rPr>
          <w:rFonts w:hint="eastAsia" w:ascii="Times New Roman" w:hAnsi="Times New Roman" w:eastAsia="方正仿宋_GBK"/>
          <w:snapToGrid w:val="0"/>
          <w:color w:val="auto"/>
          <w:kern w:val="0"/>
          <w:sz w:val="32"/>
          <w:szCs w:val="32"/>
          <w:lang w:val="en-US" w:eastAsia="zh-CN"/>
        </w:rPr>
        <w:t>3</w:t>
      </w:r>
      <w:r>
        <w:rPr>
          <w:rFonts w:ascii="Times New Roman" w:hAnsi="Times New Roman" w:eastAsia="方正仿宋_GBK"/>
          <w:snapToGrid w:val="0"/>
          <w:color w:val="auto"/>
          <w:kern w:val="0"/>
          <w:sz w:val="32"/>
          <w:szCs w:val="32"/>
        </w:rPr>
        <w:t>年，</w:t>
      </w:r>
      <w:r>
        <w:rPr>
          <w:rFonts w:hint="eastAsia" w:ascii="Times New Roman" w:hAnsi="Times New Roman" w:eastAsia="方正仿宋_GBK"/>
          <w:snapToGrid w:val="0"/>
          <w:color w:val="auto"/>
          <w:kern w:val="0"/>
          <w:sz w:val="32"/>
          <w:szCs w:val="32"/>
          <w:lang w:eastAsia="zh-CN"/>
        </w:rPr>
        <w:t>水土保持方案</w:t>
      </w:r>
      <w:r>
        <w:rPr>
          <w:rFonts w:ascii="Times New Roman" w:hAnsi="Times New Roman" w:eastAsia="方正仿宋_GBK"/>
          <w:snapToGrid w:val="0"/>
          <w:color w:val="auto"/>
          <w:kern w:val="0"/>
          <w:sz w:val="32"/>
          <w:szCs w:val="32"/>
        </w:rPr>
        <w:t>自</w:t>
      </w:r>
      <w:r>
        <w:rPr>
          <w:rFonts w:hint="eastAsia" w:ascii="Times New Roman" w:hAnsi="Times New Roman" w:eastAsia="方正仿宋_GBK"/>
          <w:snapToGrid w:val="0"/>
          <w:color w:val="auto"/>
          <w:kern w:val="0"/>
          <w:sz w:val="32"/>
          <w:szCs w:val="32"/>
          <w:lang w:val="en-US" w:eastAsia="zh-CN"/>
        </w:rPr>
        <w:t>批准之</w:t>
      </w:r>
      <w:r>
        <w:rPr>
          <w:rFonts w:ascii="Times New Roman" w:hAnsi="Times New Roman" w:eastAsia="方正仿宋_GBK"/>
          <w:snapToGrid w:val="0"/>
          <w:color w:val="auto"/>
          <w:kern w:val="0"/>
          <w:sz w:val="32"/>
          <w:szCs w:val="32"/>
        </w:rPr>
        <w:t>日起</w:t>
      </w:r>
      <w:r>
        <w:rPr>
          <w:rFonts w:hint="eastAsia" w:ascii="Times New Roman" w:hAnsi="Times New Roman" w:eastAsia="方正仿宋_GBK"/>
          <w:snapToGrid w:val="0"/>
          <w:color w:val="auto"/>
          <w:kern w:val="0"/>
          <w:sz w:val="32"/>
          <w:szCs w:val="32"/>
          <w:lang w:eastAsia="zh-CN"/>
        </w:rPr>
        <w:t>满</w:t>
      </w:r>
      <w:r>
        <w:rPr>
          <w:rFonts w:hint="eastAsia" w:ascii="Times New Roman" w:hAnsi="Times New Roman" w:eastAsia="方正仿宋_GBK"/>
          <w:snapToGrid w:val="0"/>
          <w:color w:val="auto"/>
          <w:kern w:val="0"/>
          <w:sz w:val="32"/>
          <w:szCs w:val="32"/>
          <w:lang w:val="en-US" w:eastAsia="zh-CN"/>
        </w:rPr>
        <w:t>3年，生产建设项目方开工建设的，其水土保持方案</w:t>
      </w:r>
      <w:r>
        <w:rPr>
          <w:rFonts w:hint="eastAsia" w:ascii="Times New Roman" w:hAnsi="Times New Roman" w:eastAsia="方正仿宋_GBK" w:cs="方正仿宋_GBK"/>
          <w:b w:val="0"/>
          <w:bCs w:val="0"/>
          <w:snapToGrid w:val="0"/>
          <w:color w:val="auto"/>
          <w:spacing w:val="0"/>
          <w:w w:val="100"/>
          <w:kern w:val="0"/>
          <w:sz w:val="32"/>
          <w:szCs w:val="32"/>
          <w:lang w:val="en-US" w:eastAsia="zh-CN"/>
        </w:rPr>
        <w:t>开工建设前</w:t>
      </w:r>
      <w:r>
        <w:rPr>
          <w:rFonts w:hint="eastAsia" w:ascii="Times New Roman" w:hAnsi="Times New Roman" w:eastAsia="方正仿宋_GBK"/>
          <w:snapToGrid w:val="0"/>
          <w:color w:val="auto"/>
          <w:kern w:val="0"/>
          <w:sz w:val="32"/>
          <w:szCs w:val="32"/>
          <w:lang w:val="en-US" w:eastAsia="zh-CN"/>
        </w:rPr>
        <w:t>报我局重新审核</w:t>
      </w:r>
      <w:r>
        <w:rPr>
          <w:rFonts w:ascii="Times New Roman" w:hAnsi="Times New Roman" w:eastAsia="方正仿宋_GBK"/>
          <w:snapToGrid w:val="0"/>
          <w:color w:val="auto"/>
          <w:kern w:val="0"/>
          <w:sz w:val="32"/>
          <w:szCs w:val="32"/>
        </w:rPr>
        <w:t>。</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1278" w:leftChars="228" w:right="0" w:hanging="640" w:hangingChars="2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附件：1</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bCs/>
          <w:color w:val="auto"/>
          <w:sz w:val="32"/>
          <w:szCs w:val="32"/>
          <w:lang w:eastAsia="zh-CN"/>
        </w:rPr>
        <w:t>悦来水厂四期扩建工程</w:t>
      </w:r>
      <w:r>
        <w:rPr>
          <w:rFonts w:hint="eastAsia" w:ascii="Times New Roman" w:hAnsi="Times New Roman" w:eastAsia="方正仿宋_GBK" w:cs="方正仿宋_GBK"/>
          <w:bCs/>
          <w:color w:val="auto"/>
          <w:spacing w:val="-11"/>
          <w:sz w:val="32"/>
          <w:szCs w:val="32"/>
        </w:rPr>
        <w:t>水土保持方案</w:t>
      </w:r>
      <w:r>
        <w:rPr>
          <w:rFonts w:hint="eastAsia" w:ascii="Times New Roman" w:hAnsi="Times New Roman" w:eastAsia="方正仿宋_GBK" w:cs="方正仿宋_GBK"/>
          <w:bCs/>
          <w:snapToGrid w:val="0"/>
          <w:color w:val="auto"/>
          <w:spacing w:val="-11"/>
          <w:kern w:val="0"/>
          <w:sz w:val="32"/>
          <w:szCs w:val="32"/>
        </w:rPr>
        <w:t>特性表</w:t>
      </w:r>
    </w:p>
    <w:p>
      <w:pPr>
        <w:keepNext w:val="0"/>
        <w:keepLines w:val="0"/>
        <w:pageBreakBefore w:val="0"/>
        <w:widowControl w:val="0"/>
        <w:kinsoku/>
        <w:wordWrap/>
        <w:overflowPunct/>
        <w:topLinePunct w:val="0"/>
        <w:autoSpaceDE/>
        <w:autoSpaceDN/>
        <w:bidi w:val="0"/>
        <w:adjustRightInd/>
        <w:snapToGrid w:val="0"/>
        <w:spacing w:line="594" w:lineRule="exact"/>
        <w:ind w:left="1916" w:leftChars="570" w:right="0" w:hanging="320" w:hangingChars="1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2</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snapToGrid w:val="0"/>
          <w:color w:val="auto"/>
          <w:kern w:val="0"/>
          <w:sz w:val="32"/>
          <w:szCs w:val="32"/>
          <w:lang w:eastAsia="zh-CN"/>
        </w:rPr>
        <w:t>悦来水厂四期扩建工程</w:t>
      </w:r>
      <w:r>
        <w:rPr>
          <w:rFonts w:hint="eastAsia" w:ascii="Times New Roman" w:hAnsi="Times New Roman" w:eastAsia="方正仿宋_GBK" w:cs="方正仿宋_GBK"/>
          <w:snapToGrid w:val="0"/>
          <w:color w:val="auto"/>
          <w:spacing w:val="-6"/>
          <w:kern w:val="0"/>
          <w:sz w:val="32"/>
          <w:szCs w:val="32"/>
        </w:rPr>
        <w:t>水土保持方案报告</w:t>
      </w:r>
      <w:r>
        <w:rPr>
          <w:rFonts w:hint="eastAsia" w:ascii="Times New Roman" w:hAnsi="Times New Roman" w:eastAsia="方正仿宋_GBK" w:cs="方正仿宋_GBK"/>
          <w:snapToGrid w:val="0"/>
          <w:color w:val="auto"/>
          <w:kern w:val="0"/>
          <w:sz w:val="32"/>
          <w:szCs w:val="32"/>
        </w:rPr>
        <w:t>书专家评审意见</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snapToGrid w:val="0"/>
        <w:spacing w:line="594" w:lineRule="exact"/>
        <w:ind w:left="0" w:leftChars="0" w:right="0" w:firstLine="5760" w:firstLineChars="18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重庆市水利局</w:t>
      </w:r>
    </w:p>
    <w:p>
      <w:pPr>
        <w:keepNext w:val="0"/>
        <w:keepLines w:val="0"/>
        <w:pageBreakBefore w:val="0"/>
        <w:widowControl w:val="0"/>
        <w:kinsoku/>
        <w:wordWrap/>
        <w:overflowPunct/>
        <w:topLinePunct w:val="0"/>
        <w:autoSpaceDE/>
        <w:autoSpaceDN/>
        <w:bidi w:val="0"/>
        <w:adjustRightInd/>
        <w:snapToGrid w:val="0"/>
        <w:spacing w:line="594" w:lineRule="exact"/>
        <w:ind w:left="1277" w:leftChars="456" w:right="0" w:firstLine="4160" w:firstLineChars="1300"/>
        <w:jc w:val="both"/>
        <w:textAlignment w:val="auto"/>
        <w:rPr>
          <w:rFonts w:hint="eastAsia" w:eastAsia="方正仿宋_GBK" w:cs="方正仿宋_GBK"/>
          <w:bCs/>
          <w:color w:val="auto"/>
          <w:sz w:val="32"/>
          <w:szCs w:val="32"/>
          <w:lang w:eastAsia="zh-CN"/>
        </w:rPr>
      </w:pPr>
      <w:r>
        <w:rPr>
          <w:rFonts w:hint="eastAsia" w:eastAsia="方正仿宋_GBK" w:cs="方正仿宋_GBK"/>
          <w:bCs/>
          <w:color w:val="auto"/>
          <w:sz w:val="32"/>
          <w:szCs w:val="32"/>
          <w:lang w:eastAsia="zh-CN"/>
        </w:rPr>
        <w:t>202</w:t>
      </w:r>
      <w:r>
        <w:rPr>
          <w:rFonts w:hint="eastAsia" w:eastAsia="方正仿宋_GBK" w:cs="方正仿宋_GBK"/>
          <w:bCs/>
          <w:color w:val="auto"/>
          <w:sz w:val="32"/>
          <w:szCs w:val="32"/>
          <w:lang w:val="en-US" w:eastAsia="zh-CN"/>
        </w:rPr>
        <w:t>5</w:t>
      </w:r>
      <w:r>
        <w:rPr>
          <w:rFonts w:hint="eastAsia" w:eastAsia="方正仿宋_GBK" w:cs="方正仿宋_GBK"/>
          <w:bCs/>
          <w:color w:val="auto"/>
          <w:sz w:val="32"/>
          <w:szCs w:val="32"/>
          <w:lang w:eastAsia="zh-CN"/>
        </w:rPr>
        <w:t>年</w:t>
      </w:r>
      <w:r>
        <w:rPr>
          <w:rFonts w:hint="eastAsia" w:eastAsia="方正仿宋_GBK" w:cs="方正仿宋_GBK"/>
          <w:bCs/>
          <w:color w:val="auto"/>
          <w:sz w:val="32"/>
          <w:szCs w:val="32"/>
          <w:lang w:val="en-US" w:eastAsia="zh-CN"/>
        </w:rPr>
        <w:t>1</w:t>
      </w:r>
      <w:r>
        <w:rPr>
          <w:rFonts w:hint="eastAsia" w:eastAsia="方正仿宋_GBK" w:cs="方正仿宋_GBK"/>
          <w:bCs/>
          <w:color w:val="auto"/>
          <w:sz w:val="32"/>
          <w:szCs w:val="32"/>
          <w:lang w:eastAsia="zh-CN"/>
        </w:rPr>
        <w:t>月</w:t>
      </w:r>
      <w:r>
        <w:rPr>
          <w:rFonts w:hint="eastAsia" w:eastAsia="方正仿宋_GBK" w:cs="方正仿宋_GBK"/>
          <w:bCs/>
          <w:color w:val="auto"/>
          <w:sz w:val="32"/>
          <w:szCs w:val="32"/>
          <w:lang w:val="en-US" w:eastAsia="zh-CN"/>
        </w:rPr>
        <w:t>26</w:t>
      </w:r>
      <w:bookmarkStart w:id="2" w:name="_GoBack"/>
      <w:bookmarkEnd w:id="2"/>
      <w:r>
        <w:rPr>
          <w:rFonts w:hint="eastAsia" w:eastAsia="方正仿宋_GBK" w:cs="方正仿宋_GBK"/>
          <w:bCs/>
          <w:color w:val="auto"/>
          <w:sz w:val="32"/>
          <w:szCs w:val="32"/>
          <w:lang w:eastAsia="zh-CN"/>
        </w:rPr>
        <w:t>日</w:t>
      </w:r>
    </w:p>
    <w:p>
      <w:pPr>
        <w:keepNext w:val="0"/>
        <w:keepLines w:val="0"/>
        <w:pageBreakBefore w:val="0"/>
        <w:widowControl w:val="0"/>
        <w:kinsoku/>
        <w:wordWrap/>
        <w:overflowPunct/>
        <w:topLinePunct w:val="0"/>
        <w:autoSpaceDE/>
        <w:autoSpaceDN/>
        <w:bidi w:val="0"/>
        <w:adjustRightInd/>
        <w:snapToGrid w:val="0"/>
        <w:spacing w:line="594" w:lineRule="exact"/>
        <w:ind w:left="1278" w:leftChars="228" w:right="0" w:hanging="640" w:hangingChars="200"/>
        <w:jc w:val="both"/>
        <w:textAlignment w:val="auto"/>
        <w:rPr>
          <w:rFonts w:hint="eastAsia" w:eastAsia="方正仿宋_GBK" w:cs="方正仿宋_GBK"/>
          <w:bCs/>
          <w:color w:val="auto"/>
          <w:sz w:val="32"/>
          <w:szCs w:val="32"/>
          <w:lang w:eastAsia="zh-CN"/>
        </w:rPr>
      </w:pPr>
      <w:r>
        <w:rPr>
          <w:rFonts w:hint="eastAsia" w:eastAsia="方正仿宋_GBK" w:cs="方正仿宋_GBK"/>
          <w:bCs/>
          <w:color w:val="auto"/>
          <w:sz w:val="32"/>
          <w:szCs w:val="32"/>
          <w:lang w:eastAsia="zh-CN"/>
        </w:rPr>
        <w:t>（此件主动公开发布）</w:t>
      </w:r>
    </w:p>
    <w:p>
      <w:pPr>
        <w:keepNext w:val="0"/>
        <w:keepLines w:val="0"/>
        <w:pageBreakBefore w:val="0"/>
        <w:widowControl w:val="0"/>
        <w:kinsoku/>
        <w:wordWrap/>
        <w:overflowPunct/>
        <w:topLinePunct w:val="0"/>
        <w:autoSpaceDE/>
        <w:autoSpaceDN/>
        <w:bidi w:val="0"/>
        <w:adjustRightInd/>
        <w:snapToGrid w:val="0"/>
        <w:spacing w:line="594" w:lineRule="exact"/>
        <w:ind w:left="1278" w:leftChars="228" w:right="0" w:hanging="640" w:hangingChars="200"/>
        <w:jc w:val="both"/>
        <w:textAlignment w:val="auto"/>
        <w:rPr>
          <w:rFonts w:hint="eastAsia" w:eastAsia="方正仿宋_GBK" w:cs="方正仿宋_GBK"/>
          <w:bCs/>
          <w:color w:val="auto"/>
          <w:sz w:val="32"/>
          <w:szCs w:val="32"/>
          <w:lang w:eastAsia="zh-CN"/>
        </w:rPr>
      </w:pPr>
      <w:r>
        <w:rPr>
          <w:rFonts w:hint="eastAsia" w:eastAsia="方正仿宋_GBK" w:cs="方正仿宋_GBK"/>
          <w:bCs/>
          <w:color w:val="auto"/>
          <w:sz w:val="32"/>
          <w:szCs w:val="32"/>
          <w:lang w:eastAsia="zh-CN"/>
        </w:rPr>
        <w:t>（联系人：张春才；联系电话：023—88707091）</w:t>
      </w:r>
    </w:p>
    <w:p>
      <w:pPr>
        <w:keepNext w:val="0"/>
        <w:keepLines w:val="0"/>
        <w:pageBreakBefore w:val="0"/>
        <w:widowControl w:val="0"/>
        <w:kinsoku/>
        <w:wordWrap/>
        <w:overflowPunct/>
        <w:topLinePunct w:val="0"/>
        <w:autoSpaceDE/>
        <w:autoSpaceDN/>
        <w:bidi w:val="0"/>
        <w:adjustRightInd/>
        <w:snapToGrid w:val="0"/>
        <w:spacing w:line="594" w:lineRule="exact"/>
        <w:ind w:left="1278" w:leftChars="228" w:right="0" w:hanging="640" w:hangingChars="200"/>
        <w:jc w:val="both"/>
        <w:textAlignment w:val="auto"/>
        <w:rPr>
          <w:rFonts w:hint="eastAsia" w:ascii="Times New Roman" w:hAnsi="Times New Roman" w:eastAsia="方正黑体_GBK"/>
          <w:b w:val="0"/>
          <w:color w:val="auto"/>
          <w:sz w:val="32"/>
          <w:szCs w:val="32"/>
          <w:lang w:val="en-US" w:eastAsia="zh-CN"/>
        </w:rPr>
      </w:pPr>
      <w:r>
        <w:rPr>
          <w:rFonts w:hint="eastAsia" w:eastAsia="方正仿宋_GBK" w:cs="方正仿宋_GBK"/>
          <w:bCs/>
          <w:color w:val="auto"/>
          <w:sz w:val="32"/>
          <w:szCs w:val="32"/>
          <w:lang w:eastAsia="zh-CN"/>
        </w:rPr>
        <w:br w:type="page"/>
      </w:r>
      <w:r>
        <w:rPr>
          <w:rFonts w:hint="eastAsia" w:ascii="Times New Roman" w:hAnsi="Times New Roman" w:eastAsia="方正黑体_GBK" w:cs="方正黑体_GBK"/>
          <w:b w:val="0"/>
          <w:color w:val="auto"/>
          <w:sz w:val="32"/>
          <w:szCs w:val="32"/>
        </w:rPr>
        <w:t>附件</w:t>
      </w:r>
      <w:r>
        <w:rPr>
          <w:rFonts w:hint="eastAsia" w:ascii="Times New Roman" w:hAnsi="Times New Roman" w:eastAsia="方正黑体_GBK" w:cs="方正黑体_GBK"/>
          <w:b w:val="0"/>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rPr>
          <w:rFonts w:hint="eastAsia" w:eastAsia="方正小标宋_GBK" w:cs="方正小标宋_GBK"/>
          <w:bCs/>
          <w:color w:val="auto"/>
          <w:spacing w:val="0"/>
          <w:w w:val="100"/>
          <w:sz w:val="36"/>
          <w:szCs w:val="36"/>
          <w:lang w:eastAsia="zh-CN"/>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rPr>
          <w:rFonts w:hint="eastAsia" w:ascii="Times New Roman" w:hAnsi="Times New Roman" w:eastAsia="方正黑体_GBK" w:cs="方正黑体_GBK"/>
          <w:b w:val="0"/>
          <w:color w:val="auto"/>
          <w:sz w:val="32"/>
          <w:szCs w:val="32"/>
        </w:rPr>
      </w:pPr>
      <w:r>
        <w:rPr>
          <w:rFonts w:hint="eastAsia" w:eastAsia="方正小标宋_GBK" w:cs="方正小标宋_GBK"/>
          <w:bCs/>
          <w:color w:val="auto"/>
          <w:spacing w:val="0"/>
          <w:w w:val="100"/>
          <w:sz w:val="36"/>
          <w:szCs w:val="36"/>
          <w:lang w:eastAsia="zh-CN"/>
        </w:rPr>
        <w:t>悦来水厂四期扩建工程</w:t>
      </w:r>
      <w:r>
        <w:rPr>
          <w:rFonts w:hint="eastAsia" w:ascii="Times New Roman" w:hAnsi="Times New Roman" w:eastAsia="方正小标宋_GBK" w:cs="方正小标宋_GBK"/>
          <w:bCs/>
          <w:color w:val="auto"/>
          <w:spacing w:val="0"/>
          <w:w w:val="100"/>
          <w:sz w:val="36"/>
          <w:szCs w:val="36"/>
        </w:rPr>
        <w:t>水土保持方案</w:t>
      </w:r>
      <w:r>
        <w:rPr>
          <w:rFonts w:hint="eastAsia" w:ascii="Times New Roman" w:hAnsi="Times New Roman" w:eastAsia="方正小标宋_GBK" w:cs="方正小标宋_GBK"/>
          <w:bCs/>
          <w:snapToGrid w:val="0"/>
          <w:color w:val="auto"/>
          <w:spacing w:val="0"/>
          <w:w w:val="100"/>
          <w:kern w:val="0"/>
          <w:sz w:val="36"/>
          <w:szCs w:val="36"/>
        </w:rPr>
        <w:t>特性表</w:t>
      </w:r>
    </w:p>
    <w:tbl>
      <w:tblPr>
        <w:tblStyle w:val="17"/>
        <w:tblW w:w="101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4"/>
        <w:gridCol w:w="567"/>
        <w:gridCol w:w="744"/>
        <w:gridCol w:w="35"/>
        <w:gridCol w:w="780"/>
        <w:gridCol w:w="1991"/>
        <w:gridCol w:w="757"/>
        <w:gridCol w:w="654"/>
        <w:gridCol w:w="1560"/>
        <w:gridCol w:w="855"/>
        <w:gridCol w:w="15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31"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项目名称</w:t>
            </w:r>
          </w:p>
        </w:tc>
        <w:tc>
          <w:tcPr>
            <w:tcW w:w="4961" w:type="dxa"/>
            <w:gridSpan w:val="6"/>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bookmarkStart w:id="0" w:name="_Hlk186035374"/>
            <w:r>
              <w:rPr>
                <w:rFonts w:hint="eastAsia" w:ascii="Times New Roman" w:hAnsi="Times New Roman" w:eastAsia="仿宋_GB2312" w:cs="Times New Roman"/>
                <w:kern w:val="2"/>
                <w:sz w:val="21"/>
                <w:szCs w:val="21"/>
                <w:lang w:val="en-US" w:eastAsia="zh-CN" w:bidi="ar-SA"/>
              </w:rPr>
              <w:t>悦来水厂四期扩建工程</w:t>
            </w:r>
            <w:bookmarkEnd w:id="0"/>
          </w:p>
        </w:tc>
        <w:tc>
          <w:tcPr>
            <w:tcW w:w="1560"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流域管理机构</w:t>
            </w:r>
          </w:p>
        </w:tc>
        <w:tc>
          <w:tcPr>
            <w:tcW w:w="2362"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水利部长江水利委员会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31"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涉及市</w:t>
            </w:r>
          </w:p>
        </w:tc>
        <w:tc>
          <w:tcPr>
            <w:tcW w:w="1559"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重庆市</w:t>
            </w:r>
          </w:p>
        </w:tc>
        <w:tc>
          <w:tcPr>
            <w:tcW w:w="1991"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涉及地市或个数</w:t>
            </w:r>
          </w:p>
        </w:tc>
        <w:tc>
          <w:tcPr>
            <w:tcW w:w="1411"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w:t>
            </w:r>
          </w:p>
        </w:tc>
        <w:tc>
          <w:tcPr>
            <w:tcW w:w="1560"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涉及县或个数</w:t>
            </w:r>
          </w:p>
        </w:tc>
        <w:tc>
          <w:tcPr>
            <w:tcW w:w="2362"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渝北区、两江新区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31"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项目规模</w:t>
            </w:r>
          </w:p>
        </w:tc>
        <w:tc>
          <w:tcPr>
            <w:tcW w:w="3550" w:type="dxa"/>
            <w:gridSpan w:val="4"/>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四期水厂设计规模为40万m</w:t>
            </w:r>
            <w:r>
              <w:rPr>
                <w:rFonts w:hint="eastAsia" w:ascii="Times New Roman" w:hAnsi="Times New Roman" w:eastAsia="仿宋_GB2312" w:cs="Times New Roman"/>
                <w:kern w:val="2"/>
                <w:sz w:val="21"/>
                <w:szCs w:val="21"/>
                <w:vertAlign w:val="superscript"/>
                <w:lang w:val="en-US" w:eastAsia="zh-CN" w:bidi="ar-SA"/>
              </w:rPr>
              <w:t>3</w:t>
            </w:r>
            <w:r>
              <w:rPr>
                <w:rFonts w:hint="eastAsia" w:ascii="Times New Roman" w:hAnsi="Times New Roman" w:eastAsia="仿宋_GB2312" w:cs="Times New Roman"/>
                <w:kern w:val="2"/>
                <w:sz w:val="21"/>
                <w:szCs w:val="21"/>
                <w:lang w:val="en-US" w:eastAsia="zh-CN" w:bidi="ar-SA"/>
              </w:rPr>
              <w:t>/d，新建新春加压站设计规模为</w:t>
            </w:r>
            <w:r>
              <w:rPr>
                <w:rFonts w:hint="eastAsia" w:ascii="Times New Roman" w:hAnsi="Times New Roman" w:eastAsia="仿宋_GB2312" w:cs="Times New Roman"/>
                <w:kern w:val="2"/>
                <w:sz w:val="21"/>
                <w:szCs w:val="24"/>
                <w:lang w:val="en-US" w:eastAsia="zh-CN" w:bidi="ar-SA"/>
              </w:rPr>
              <w:t>20万m</w:t>
            </w:r>
            <w:r>
              <w:rPr>
                <w:rFonts w:hint="eastAsia" w:ascii="Times New Roman" w:hAnsi="Times New Roman" w:eastAsia="仿宋_GB2312" w:cs="Times New Roman"/>
                <w:kern w:val="2"/>
                <w:sz w:val="21"/>
                <w:szCs w:val="24"/>
                <w:vertAlign w:val="superscript"/>
                <w:lang w:val="en-US" w:eastAsia="zh-CN" w:bidi="ar-SA"/>
              </w:rPr>
              <w:t>3</w:t>
            </w:r>
            <w:r>
              <w:rPr>
                <w:rFonts w:hint="eastAsia" w:ascii="Times New Roman" w:hAnsi="Times New Roman" w:eastAsia="仿宋_GB2312" w:cs="Times New Roman"/>
                <w:kern w:val="2"/>
                <w:sz w:val="21"/>
                <w:szCs w:val="24"/>
                <w:lang w:val="en-US" w:eastAsia="zh-CN" w:bidi="ar-SA"/>
              </w:rPr>
              <w:t>/d</w:t>
            </w:r>
            <w:r>
              <w:rPr>
                <w:rFonts w:hint="eastAsia" w:ascii="Times New Roman" w:hAnsi="Times New Roman" w:eastAsia="仿宋_GB2312" w:cs="Times New Roman"/>
                <w:kern w:val="2"/>
                <w:sz w:val="21"/>
                <w:szCs w:val="21"/>
                <w:lang w:val="en-US" w:eastAsia="zh-CN" w:bidi="ar-SA"/>
              </w:rPr>
              <w:t>，配套管网36.6km，扩建鹿山站</w:t>
            </w:r>
          </w:p>
        </w:tc>
        <w:tc>
          <w:tcPr>
            <w:tcW w:w="1411"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总投资</w:t>
            </w:r>
          </w:p>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(万元)</w:t>
            </w:r>
          </w:p>
        </w:tc>
        <w:tc>
          <w:tcPr>
            <w:tcW w:w="1560"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10"/>
                <w:sz w:val="21"/>
                <w:szCs w:val="24"/>
                <w:lang w:val="en-US" w:eastAsia="zh-CN" w:bidi="ar-SA"/>
              </w:rPr>
              <w:t>129138</w:t>
            </w:r>
          </w:p>
        </w:tc>
        <w:tc>
          <w:tcPr>
            <w:tcW w:w="855"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土建</w:t>
            </w:r>
          </w:p>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投资(万元)</w:t>
            </w:r>
          </w:p>
        </w:tc>
        <w:tc>
          <w:tcPr>
            <w:tcW w:w="150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10"/>
                <w:sz w:val="21"/>
                <w:szCs w:val="24"/>
                <w:lang w:val="en-US" w:eastAsia="zh-CN" w:bidi="ar-SA"/>
              </w:rPr>
              <w:t>96107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31"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动工时间</w:t>
            </w:r>
          </w:p>
        </w:tc>
        <w:tc>
          <w:tcPr>
            <w:tcW w:w="1559"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2024年8月</w:t>
            </w:r>
          </w:p>
        </w:tc>
        <w:tc>
          <w:tcPr>
            <w:tcW w:w="1991"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完工时间</w:t>
            </w:r>
          </w:p>
        </w:tc>
        <w:tc>
          <w:tcPr>
            <w:tcW w:w="1411"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2025年12月</w:t>
            </w:r>
          </w:p>
        </w:tc>
        <w:tc>
          <w:tcPr>
            <w:tcW w:w="1560"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设计水平年</w:t>
            </w:r>
          </w:p>
        </w:tc>
        <w:tc>
          <w:tcPr>
            <w:tcW w:w="2362"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2026年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31"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工程占地（hm</w:t>
            </w:r>
            <w:r>
              <w:rPr>
                <w:rFonts w:hint="eastAsia" w:ascii="Times New Roman" w:hAnsi="Times New Roman" w:eastAsia="仿宋_GB2312" w:cs="Times New Roman"/>
                <w:kern w:val="2"/>
                <w:sz w:val="21"/>
                <w:szCs w:val="21"/>
                <w:vertAlign w:val="superscript"/>
                <w:lang w:val="en-US" w:eastAsia="zh-CN" w:bidi="ar-SA"/>
              </w:rPr>
              <w:t>2</w:t>
            </w:r>
            <w:r>
              <w:rPr>
                <w:rFonts w:hint="eastAsia" w:ascii="Times New Roman" w:hAnsi="Times New Roman" w:eastAsia="仿宋_GB2312" w:cs="Times New Roman"/>
                <w:kern w:val="2"/>
                <w:sz w:val="21"/>
                <w:szCs w:val="21"/>
                <w:lang w:val="en-US" w:eastAsia="zh-CN" w:bidi="ar-SA"/>
              </w:rPr>
              <w:t>）</w:t>
            </w:r>
          </w:p>
        </w:tc>
        <w:tc>
          <w:tcPr>
            <w:tcW w:w="1559"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53.40</w:t>
            </w:r>
          </w:p>
        </w:tc>
        <w:tc>
          <w:tcPr>
            <w:tcW w:w="1991"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永久占地（hm</w:t>
            </w:r>
            <w:r>
              <w:rPr>
                <w:rFonts w:hint="eastAsia" w:ascii="Times New Roman" w:hAnsi="Times New Roman" w:eastAsia="仿宋_GB2312" w:cs="Times New Roman"/>
                <w:kern w:val="2"/>
                <w:sz w:val="21"/>
                <w:szCs w:val="21"/>
                <w:vertAlign w:val="superscript"/>
                <w:lang w:val="en-US" w:eastAsia="zh-CN" w:bidi="ar-SA"/>
              </w:rPr>
              <w:t>2</w:t>
            </w:r>
            <w:r>
              <w:rPr>
                <w:rFonts w:hint="eastAsia" w:ascii="Times New Roman" w:hAnsi="Times New Roman" w:eastAsia="仿宋_GB2312" w:cs="Times New Roman"/>
                <w:kern w:val="2"/>
                <w:sz w:val="21"/>
                <w:szCs w:val="21"/>
                <w:lang w:val="en-US" w:eastAsia="zh-CN" w:bidi="ar-SA"/>
              </w:rPr>
              <w:t>）</w:t>
            </w:r>
          </w:p>
        </w:tc>
        <w:tc>
          <w:tcPr>
            <w:tcW w:w="1411"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8.27</w:t>
            </w:r>
          </w:p>
        </w:tc>
        <w:tc>
          <w:tcPr>
            <w:tcW w:w="1560"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临时占地（hm</w:t>
            </w:r>
            <w:r>
              <w:rPr>
                <w:rFonts w:hint="eastAsia" w:ascii="Times New Roman" w:hAnsi="Times New Roman" w:eastAsia="仿宋_GB2312" w:cs="Times New Roman"/>
                <w:kern w:val="2"/>
                <w:sz w:val="21"/>
                <w:szCs w:val="21"/>
                <w:vertAlign w:val="superscript"/>
                <w:lang w:val="en-US" w:eastAsia="zh-CN" w:bidi="ar-SA"/>
              </w:rPr>
              <w:t>2</w:t>
            </w:r>
            <w:r>
              <w:rPr>
                <w:rFonts w:hint="eastAsia" w:ascii="Times New Roman" w:hAnsi="Times New Roman" w:eastAsia="仿宋_GB2312" w:cs="Times New Roman"/>
                <w:kern w:val="2"/>
                <w:sz w:val="21"/>
                <w:szCs w:val="21"/>
                <w:lang w:val="en-US" w:eastAsia="zh-CN" w:bidi="ar-SA"/>
              </w:rPr>
              <w:t>）</w:t>
            </w:r>
          </w:p>
        </w:tc>
        <w:tc>
          <w:tcPr>
            <w:tcW w:w="2362"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45.13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790" w:type="dxa"/>
            <w:gridSpan w:val="5"/>
            <w:vMerge w:val="restar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土石方量（万m</w:t>
            </w:r>
            <w:r>
              <w:rPr>
                <w:rFonts w:hint="eastAsia" w:ascii="Times New Roman" w:hAnsi="Times New Roman" w:eastAsia="仿宋_GB2312" w:cs="Times New Roman"/>
                <w:kern w:val="2"/>
                <w:sz w:val="21"/>
                <w:szCs w:val="21"/>
                <w:vertAlign w:val="superscript"/>
                <w:lang w:val="en-US" w:eastAsia="zh-CN" w:bidi="ar-SA"/>
              </w:rPr>
              <w:t>3</w:t>
            </w:r>
            <w:r>
              <w:rPr>
                <w:rFonts w:hint="eastAsia" w:ascii="Times New Roman" w:hAnsi="Times New Roman" w:eastAsia="仿宋_GB2312" w:cs="Times New Roman"/>
                <w:kern w:val="2"/>
                <w:sz w:val="21"/>
                <w:szCs w:val="21"/>
                <w:lang w:val="en-US" w:eastAsia="zh-CN" w:bidi="ar-SA"/>
              </w:rPr>
              <w:t>）</w:t>
            </w:r>
          </w:p>
        </w:tc>
        <w:tc>
          <w:tcPr>
            <w:tcW w:w="1991"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挖方</w:t>
            </w:r>
          </w:p>
        </w:tc>
        <w:tc>
          <w:tcPr>
            <w:tcW w:w="1411"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填方</w:t>
            </w:r>
          </w:p>
        </w:tc>
        <w:tc>
          <w:tcPr>
            <w:tcW w:w="1560"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借方</w:t>
            </w:r>
          </w:p>
        </w:tc>
        <w:tc>
          <w:tcPr>
            <w:tcW w:w="2362"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余（弃）方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790" w:type="dxa"/>
            <w:gridSpan w:val="5"/>
            <w:vMerge w:val="continue"/>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p>
        </w:tc>
        <w:tc>
          <w:tcPr>
            <w:tcW w:w="1991"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104.67</w:t>
            </w:r>
          </w:p>
        </w:tc>
        <w:tc>
          <w:tcPr>
            <w:tcW w:w="1411"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41.43</w:t>
            </w:r>
          </w:p>
        </w:tc>
        <w:tc>
          <w:tcPr>
            <w:tcW w:w="1560"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w:t>
            </w:r>
          </w:p>
        </w:tc>
        <w:tc>
          <w:tcPr>
            <w:tcW w:w="2362"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63.24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790" w:type="dxa"/>
            <w:gridSpan w:val="5"/>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重点防治区名称</w:t>
            </w:r>
          </w:p>
        </w:tc>
        <w:tc>
          <w:tcPr>
            <w:tcW w:w="7324" w:type="dxa"/>
            <w:gridSpan w:val="6"/>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bCs/>
                <w:kern w:val="2"/>
                <w:sz w:val="21"/>
                <w:szCs w:val="21"/>
                <w:lang w:val="en-US" w:eastAsia="zh-CN" w:bidi="ar-SA"/>
              </w:rPr>
              <w:t>三峡库区国家级水土流失重点治理区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790" w:type="dxa"/>
            <w:gridSpan w:val="5"/>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地貌类型</w:t>
            </w:r>
          </w:p>
        </w:tc>
        <w:tc>
          <w:tcPr>
            <w:tcW w:w="1991"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剥蚀丘陵地貌</w:t>
            </w:r>
          </w:p>
        </w:tc>
        <w:tc>
          <w:tcPr>
            <w:tcW w:w="2971"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水土保持区划</w:t>
            </w:r>
          </w:p>
        </w:tc>
        <w:tc>
          <w:tcPr>
            <w:tcW w:w="2362"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西南紫色土区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790" w:type="dxa"/>
            <w:gridSpan w:val="5"/>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土壤侵蚀类型</w:t>
            </w:r>
          </w:p>
        </w:tc>
        <w:tc>
          <w:tcPr>
            <w:tcW w:w="1991"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水力侵蚀</w:t>
            </w:r>
          </w:p>
        </w:tc>
        <w:tc>
          <w:tcPr>
            <w:tcW w:w="2971"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土壤侵蚀强度</w:t>
            </w:r>
          </w:p>
        </w:tc>
        <w:tc>
          <w:tcPr>
            <w:tcW w:w="2362"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轻度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790" w:type="dxa"/>
            <w:gridSpan w:val="5"/>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防治责任范围面积（hm</w:t>
            </w:r>
            <w:r>
              <w:rPr>
                <w:rFonts w:hint="eastAsia" w:ascii="Times New Roman" w:hAnsi="Times New Roman" w:eastAsia="仿宋_GB2312" w:cs="Times New Roman"/>
                <w:kern w:val="2"/>
                <w:sz w:val="21"/>
                <w:szCs w:val="21"/>
                <w:vertAlign w:val="superscript"/>
                <w:lang w:val="en-US" w:eastAsia="zh-CN" w:bidi="ar-SA"/>
              </w:rPr>
              <w:t>2</w:t>
            </w:r>
            <w:r>
              <w:rPr>
                <w:rFonts w:hint="eastAsia" w:ascii="Times New Roman" w:hAnsi="Times New Roman" w:eastAsia="仿宋_GB2312" w:cs="Times New Roman"/>
                <w:kern w:val="2"/>
                <w:sz w:val="21"/>
                <w:szCs w:val="21"/>
                <w:lang w:val="en-US" w:eastAsia="zh-CN" w:bidi="ar-SA"/>
              </w:rPr>
              <w:t>）</w:t>
            </w:r>
          </w:p>
        </w:tc>
        <w:tc>
          <w:tcPr>
            <w:tcW w:w="1991"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53.40</w:t>
            </w:r>
          </w:p>
        </w:tc>
        <w:tc>
          <w:tcPr>
            <w:tcW w:w="2971"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容许土壤流失量〔t/(km</w:t>
            </w:r>
            <w:r>
              <w:rPr>
                <w:rFonts w:hint="eastAsia" w:ascii="Times New Roman" w:hAnsi="Times New Roman" w:eastAsia="仿宋_GB2312" w:cs="Times New Roman"/>
                <w:kern w:val="2"/>
                <w:sz w:val="21"/>
                <w:szCs w:val="21"/>
                <w:vertAlign w:val="superscript"/>
                <w:lang w:val="en-US" w:eastAsia="zh-CN" w:bidi="ar-SA"/>
              </w:rPr>
              <w:t>2</w:t>
            </w:r>
            <w:r>
              <w:rPr>
                <w:rFonts w:hint="eastAsia" w:ascii="Times New Roman" w:hAnsi="Times New Roman" w:eastAsia="仿宋_GB2312" w:cs="Times New Roman"/>
                <w:kern w:val="2"/>
                <w:sz w:val="21"/>
                <w:szCs w:val="21"/>
                <w:lang w:val="en-US" w:eastAsia="zh-CN" w:bidi="ar-SA"/>
              </w:rPr>
              <w:t>·a)〕</w:t>
            </w:r>
          </w:p>
        </w:tc>
        <w:tc>
          <w:tcPr>
            <w:tcW w:w="2362"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90" w:type="dxa"/>
            <w:gridSpan w:val="5"/>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水土流失预测总量（t）</w:t>
            </w:r>
          </w:p>
        </w:tc>
        <w:tc>
          <w:tcPr>
            <w:tcW w:w="1991"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2790</w:t>
            </w:r>
          </w:p>
        </w:tc>
        <w:tc>
          <w:tcPr>
            <w:tcW w:w="2971"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新增水土流失量（t）</w:t>
            </w:r>
          </w:p>
        </w:tc>
        <w:tc>
          <w:tcPr>
            <w:tcW w:w="2362"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2620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790" w:type="dxa"/>
            <w:gridSpan w:val="5"/>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水土流失防治标准执行等级</w:t>
            </w:r>
          </w:p>
        </w:tc>
        <w:tc>
          <w:tcPr>
            <w:tcW w:w="7324" w:type="dxa"/>
            <w:gridSpan w:val="6"/>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西南紫色土区建设类项目一级标准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64" w:type="dxa"/>
            <w:vMerge w:val="restar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防治指标</w:t>
            </w:r>
          </w:p>
        </w:tc>
        <w:tc>
          <w:tcPr>
            <w:tcW w:w="2126" w:type="dxa"/>
            <w:gridSpan w:val="4"/>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水土流失治理度(%)</w:t>
            </w:r>
          </w:p>
        </w:tc>
        <w:tc>
          <w:tcPr>
            <w:tcW w:w="1991"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97</w:t>
            </w:r>
          </w:p>
        </w:tc>
        <w:tc>
          <w:tcPr>
            <w:tcW w:w="2971"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土壤流失控制比</w:t>
            </w:r>
          </w:p>
        </w:tc>
        <w:tc>
          <w:tcPr>
            <w:tcW w:w="2362"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64" w:type="dxa"/>
            <w:vMerge w:val="continue"/>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p>
        </w:tc>
        <w:tc>
          <w:tcPr>
            <w:tcW w:w="2126" w:type="dxa"/>
            <w:gridSpan w:val="4"/>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渣土防护率(%)</w:t>
            </w:r>
          </w:p>
        </w:tc>
        <w:tc>
          <w:tcPr>
            <w:tcW w:w="1991"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94</w:t>
            </w:r>
          </w:p>
        </w:tc>
        <w:tc>
          <w:tcPr>
            <w:tcW w:w="2971"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表土保护率(%)</w:t>
            </w:r>
          </w:p>
        </w:tc>
        <w:tc>
          <w:tcPr>
            <w:tcW w:w="2362"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64" w:type="dxa"/>
            <w:vMerge w:val="continue"/>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p>
        </w:tc>
        <w:tc>
          <w:tcPr>
            <w:tcW w:w="2126" w:type="dxa"/>
            <w:gridSpan w:val="4"/>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林草植被恢复率(%)</w:t>
            </w:r>
          </w:p>
        </w:tc>
        <w:tc>
          <w:tcPr>
            <w:tcW w:w="1991"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97</w:t>
            </w:r>
          </w:p>
        </w:tc>
        <w:tc>
          <w:tcPr>
            <w:tcW w:w="2971"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林草覆盖率(%)</w:t>
            </w:r>
          </w:p>
        </w:tc>
        <w:tc>
          <w:tcPr>
            <w:tcW w:w="2362"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64" w:type="dxa"/>
            <w:vMerge w:val="restar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防治措施及工程量</w:t>
            </w:r>
          </w:p>
        </w:tc>
        <w:tc>
          <w:tcPr>
            <w:tcW w:w="2126" w:type="dxa"/>
            <w:gridSpan w:val="4"/>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分区</w:t>
            </w:r>
          </w:p>
        </w:tc>
        <w:tc>
          <w:tcPr>
            <w:tcW w:w="2748"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工程措施</w:t>
            </w:r>
          </w:p>
        </w:tc>
        <w:tc>
          <w:tcPr>
            <w:tcW w:w="2214"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植物措施</w:t>
            </w:r>
          </w:p>
        </w:tc>
        <w:tc>
          <w:tcPr>
            <w:tcW w:w="2362"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临时措施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Merge w:val="continue"/>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p>
        </w:tc>
        <w:tc>
          <w:tcPr>
            <w:tcW w:w="2126" w:type="dxa"/>
            <w:gridSpan w:val="4"/>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四期水厂防治区</w:t>
            </w:r>
          </w:p>
        </w:tc>
        <w:tc>
          <w:tcPr>
            <w:tcW w:w="2748" w:type="dxa"/>
            <w:gridSpan w:val="2"/>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主体：雨水管网1630m，排水沟1002m，截水沟443m，生物滞留设施611m</w:t>
            </w:r>
            <w:r>
              <w:rPr>
                <w:rFonts w:hint="eastAsia" w:ascii="Times New Roman" w:hAnsi="Times New Roman" w:eastAsia="仿宋_GB2312" w:cs="Times New Roman"/>
                <w:sz w:val="21"/>
                <w:szCs w:val="21"/>
                <w:vertAlign w:val="superscript"/>
              </w:rPr>
              <w:t>2</w:t>
            </w:r>
            <w:r>
              <w:rPr>
                <w:rFonts w:hint="eastAsia" w:ascii="Times New Roman" w:hAnsi="Times New Roman" w:eastAsia="仿宋_GB2312" w:cs="Times New Roman"/>
                <w:sz w:val="21"/>
                <w:szCs w:val="21"/>
              </w:rPr>
              <w:t>，透水铺装4626m</w:t>
            </w:r>
            <w:r>
              <w:rPr>
                <w:rFonts w:hint="eastAsia" w:ascii="Times New Roman" w:hAnsi="Times New Roman" w:eastAsia="仿宋_GB2312" w:cs="Times New Roman"/>
                <w:sz w:val="21"/>
                <w:szCs w:val="21"/>
                <w:vertAlign w:val="superscript"/>
              </w:rPr>
              <w:t>2</w:t>
            </w:r>
            <w:r>
              <w:rPr>
                <w:rFonts w:hint="eastAsia" w:ascii="Times New Roman" w:hAnsi="Times New Roman" w:eastAsia="仿宋_GB2312" w:cs="Times New Roman"/>
                <w:sz w:val="21"/>
                <w:szCs w:val="21"/>
              </w:rPr>
              <w:t>，雨水塘1200m</w:t>
            </w:r>
            <w:r>
              <w:rPr>
                <w:rFonts w:hint="eastAsia" w:ascii="Times New Roman" w:hAnsi="Times New Roman" w:eastAsia="仿宋_GB2312" w:cs="Times New Roman"/>
                <w:sz w:val="21"/>
                <w:szCs w:val="21"/>
                <w:vertAlign w:val="superscript"/>
              </w:rPr>
              <w:t>2</w:t>
            </w:r>
            <w:r>
              <w:rPr>
                <w:rFonts w:hint="eastAsia" w:ascii="Times New Roman" w:hAnsi="Times New Roman" w:eastAsia="仿宋_GB2312" w:cs="Times New Roman"/>
                <w:sz w:val="21"/>
                <w:szCs w:val="21"/>
              </w:rPr>
              <w:t>，屋顶花园9949m</w:t>
            </w:r>
            <w:r>
              <w:rPr>
                <w:rFonts w:hint="eastAsia" w:ascii="Times New Roman" w:hAnsi="Times New Roman" w:eastAsia="仿宋_GB2312" w:cs="Times New Roman"/>
                <w:sz w:val="21"/>
                <w:szCs w:val="21"/>
                <w:vertAlign w:val="superscript"/>
              </w:rPr>
              <w:t>2</w:t>
            </w:r>
            <w:r>
              <w:rPr>
                <w:rFonts w:hint="eastAsia" w:ascii="Times New Roman" w:hAnsi="Times New Roman" w:eastAsia="仿宋_GB2312" w:cs="Times New Roman"/>
                <w:sz w:val="21"/>
                <w:szCs w:val="21"/>
              </w:rPr>
              <w:t>，表土剥离2.</w:t>
            </w:r>
            <w:r>
              <w:rPr>
                <w:rFonts w:ascii="Times New Roman" w:hAnsi="Times New Roman" w:eastAsia="仿宋_GB2312" w:cs="Times New Roman"/>
                <w:sz w:val="21"/>
                <w:szCs w:val="21"/>
              </w:rPr>
              <w:t>32</w:t>
            </w:r>
            <w:r>
              <w:rPr>
                <w:rFonts w:hint="eastAsia" w:ascii="Times New Roman" w:hAnsi="Times New Roman" w:eastAsia="仿宋_GB2312" w:cs="Times New Roman"/>
                <w:sz w:val="21"/>
                <w:szCs w:val="21"/>
              </w:rPr>
              <w:t>万m</w:t>
            </w:r>
            <w:r>
              <w:rPr>
                <w:rFonts w:hint="eastAsia" w:ascii="Times New Roman" w:hAnsi="Times New Roman" w:eastAsia="仿宋_GB2312" w:cs="Times New Roman"/>
                <w:sz w:val="21"/>
                <w:szCs w:val="21"/>
                <w:vertAlign w:val="superscript"/>
              </w:rPr>
              <w:t>3</w:t>
            </w:r>
            <w:r>
              <w:rPr>
                <w:rFonts w:hint="eastAsia" w:ascii="Times New Roman" w:hAnsi="Times New Roman" w:eastAsia="仿宋_GB2312" w:cs="Times New Roman"/>
                <w:sz w:val="21"/>
                <w:szCs w:val="21"/>
              </w:rPr>
              <w:t>，表土回覆2.</w:t>
            </w:r>
            <w:r>
              <w:rPr>
                <w:rFonts w:ascii="Times New Roman" w:hAnsi="Times New Roman" w:eastAsia="仿宋_GB2312" w:cs="Times New Roman"/>
                <w:sz w:val="21"/>
                <w:szCs w:val="21"/>
              </w:rPr>
              <w:t>32</w:t>
            </w:r>
            <w:r>
              <w:rPr>
                <w:rFonts w:hint="eastAsia" w:ascii="Times New Roman" w:hAnsi="Times New Roman" w:eastAsia="仿宋_GB2312" w:cs="Times New Roman"/>
                <w:sz w:val="21"/>
                <w:szCs w:val="21"/>
              </w:rPr>
              <w:t>万m</w:t>
            </w:r>
            <w:r>
              <w:rPr>
                <w:rFonts w:hint="eastAsia" w:ascii="Times New Roman" w:hAnsi="Times New Roman" w:eastAsia="仿宋_GB2312" w:cs="Times New Roman"/>
                <w:sz w:val="21"/>
                <w:szCs w:val="21"/>
                <w:vertAlign w:val="superscript"/>
              </w:rPr>
              <w:t>3</w:t>
            </w:r>
            <w:r>
              <w:rPr>
                <w:rFonts w:hint="eastAsia" w:ascii="Times New Roman" w:hAnsi="Times New Roman" w:eastAsia="仿宋_GB2312" w:cs="Times New Roman"/>
                <w:sz w:val="21"/>
                <w:szCs w:val="21"/>
              </w:rPr>
              <w:t>，全面整地3.85hm</w:t>
            </w:r>
            <w:r>
              <w:rPr>
                <w:rFonts w:hint="eastAsia" w:ascii="Times New Roman" w:hAnsi="Times New Roman" w:eastAsia="仿宋_GB2312" w:cs="Times New Roman"/>
                <w:sz w:val="21"/>
                <w:szCs w:val="21"/>
                <w:vertAlign w:val="superscript"/>
              </w:rPr>
              <w:t>2</w:t>
            </w:r>
            <w:r>
              <w:rPr>
                <w:rFonts w:hint="eastAsia" w:ascii="Times New Roman" w:hAnsi="Times New Roman" w:eastAsia="仿宋_GB2312" w:cs="Times New Roman"/>
                <w:sz w:val="21"/>
                <w:szCs w:val="21"/>
              </w:rPr>
              <w:t>。</w:t>
            </w:r>
          </w:p>
        </w:tc>
        <w:tc>
          <w:tcPr>
            <w:tcW w:w="2214"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both"/>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主体：景观绿化38527m</w:t>
            </w:r>
            <w:r>
              <w:rPr>
                <w:rFonts w:hint="eastAsia" w:ascii="Times New Roman" w:hAnsi="Times New Roman" w:eastAsia="仿宋_GB2312" w:cs="Times New Roman"/>
                <w:kern w:val="2"/>
                <w:sz w:val="21"/>
                <w:szCs w:val="21"/>
                <w:vertAlign w:val="superscript"/>
                <w:lang w:val="en-US" w:eastAsia="zh-CN" w:bidi="ar-SA"/>
              </w:rPr>
              <w:t>2</w:t>
            </w:r>
            <w:r>
              <w:rPr>
                <w:rFonts w:hint="eastAsia" w:ascii="Times New Roman" w:hAnsi="Times New Roman" w:eastAsia="仿宋_GB2312" w:cs="Times New Roman"/>
                <w:kern w:val="2"/>
                <w:sz w:val="21"/>
                <w:szCs w:val="21"/>
                <w:lang w:val="en-US" w:eastAsia="zh-CN" w:bidi="ar-SA"/>
              </w:rPr>
              <w:t>，植草护坡21089m</w:t>
            </w:r>
            <w:r>
              <w:rPr>
                <w:rFonts w:hint="eastAsia" w:ascii="Times New Roman" w:hAnsi="Times New Roman" w:eastAsia="仿宋_GB2312" w:cs="Times New Roman"/>
                <w:kern w:val="2"/>
                <w:sz w:val="21"/>
                <w:szCs w:val="21"/>
                <w:vertAlign w:val="superscript"/>
                <w:lang w:val="en-US" w:eastAsia="zh-CN" w:bidi="ar-SA"/>
              </w:rPr>
              <w:t>2</w:t>
            </w:r>
            <w:r>
              <w:rPr>
                <w:rFonts w:hint="eastAsia" w:ascii="Times New Roman" w:hAnsi="Times New Roman" w:eastAsia="仿宋_GB2312" w:cs="Times New Roman"/>
                <w:kern w:val="2"/>
                <w:sz w:val="21"/>
                <w:szCs w:val="21"/>
                <w:lang w:val="en-US" w:eastAsia="zh-CN" w:bidi="ar-SA"/>
              </w:rPr>
              <w:t>，挖沟植草护坡1935m</w:t>
            </w:r>
            <w:r>
              <w:rPr>
                <w:rFonts w:hint="eastAsia" w:ascii="Times New Roman" w:hAnsi="Times New Roman" w:eastAsia="仿宋_GB2312" w:cs="Times New Roman"/>
                <w:kern w:val="2"/>
                <w:sz w:val="21"/>
                <w:szCs w:val="21"/>
                <w:vertAlign w:val="superscript"/>
                <w:lang w:val="en-US" w:eastAsia="zh-CN" w:bidi="ar-SA"/>
              </w:rPr>
              <w:t>2</w:t>
            </w:r>
            <w:r>
              <w:rPr>
                <w:rFonts w:hint="eastAsia" w:ascii="Times New Roman" w:hAnsi="Times New Roman" w:eastAsia="仿宋_GB2312" w:cs="Times New Roman"/>
                <w:kern w:val="2"/>
                <w:sz w:val="21"/>
                <w:szCs w:val="21"/>
                <w:lang w:val="en-US" w:eastAsia="zh-CN" w:bidi="ar-SA"/>
              </w:rPr>
              <w:t>。</w:t>
            </w:r>
          </w:p>
        </w:tc>
        <w:tc>
          <w:tcPr>
            <w:tcW w:w="2362"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主体：车辆清洗站1座；新增：临时沉沙池3座，彩条布覆盖</w:t>
            </w:r>
            <w:r>
              <w:rPr>
                <w:rFonts w:ascii="Times New Roman" w:hAnsi="Times New Roman" w:eastAsia="仿宋_GB2312" w:cs="Times New Roman"/>
                <w:kern w:val="2"/>
                <w:sz w:val="21"/>
                <w:szCs w:val="21"/>
                <w:lang w:val="en-US" w:eastAsia="zh-CN" w:bidi="ar-SA"/>
              </w:rPr>
              <w:t>5</w:t>
            </w:r>
            <w:r>
              <w:rPr>
                <w:rFonts w:hint="eastAsia" w:ascii="Times New Roman" w:hAnsi="Times New Roman" w:eastAsia="仿宋_GB2312" w:cs="Times New Roman"/>
                <w:kern w:val="2"/>
                <w:sz w:val="21"/>
                <w:szCs w:val="21"/>
                <w:lang w:val="en-US" w:eastAsia="zh-CN" w:bidi="ar-SA"/>
              </w:rPr>
              <w:t>000m</w:t>
            </w:r>
            <w:r>
              <w:rPr>
                <w:rFonts w:hint="eastAsia" w:ascii="Times New Roman" w:hAnsi="Times New Roman" w:eastAsia="仿宋_GB2312" w:cs="Times New Roman"/>
                <w:kern w:val="2"/>
                <w:sz w:val="21"/>
                <w:szCs w:val="21"/>
                <w:vertAlign w:val="superscript"/>
                <w:lang w:val="en-US" w:eastAsia="zh-CN" w:bidi="ar-SA"/>
              </w:rPr>
              <w:t>2</w:t>
            </w:r>
            <w:r>
              <w:rPr>
                <w:rFonts w:hint="eastAsia" w:ascii="Times New Roman" w:hAnsi="Times New Roman" w:eastAsia="仿宋_GB2312" w:cs="Times New Roman"/>
                <w:kern w:val="2"/>
                <w:sz w:val="21"/>
                <w:szCs w:val="21"/>
                <w:lang w:val="en-US" w:eastAsia="zh-CN" w:bidi="ar-SA"/>
              </w:rPr>
              <w:t>，编织土袋拦挡370m。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64" w:type="dxa"/>
            <w:vMerge w:val="continue"/>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p>
        </w:tc>
        <w:tc>
          <w:tcPr>
            <w:tcW w:w="2126" w:type="dxa"/>
            <w:gridSpan w:val="4"/>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施工生产生活防治区</w:t>
            </w:r>
          </w:p>
        </w:tc>
        <w:tc>
          <w:tcPr>
            <w:tcW w:w="2748" w:type="dxa"/>
            <w:gridSpan w:val="2"/>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主体：表土剥离0.</w:t>
            </w:r>
            <w:r>
              <w:rPr>
                <w:rFonts w:ascii="Times New Roman" w:hAnsi="Times New Roman" w:eastAsia="仿宋_GB2312" w:cs="Times New Roman"/>
                <w:sz w:val="21"/>
                <w:szCs w:val="21"/>
              </w:rPr>
              <w:t>17</w:t>
            </w:r>
            <w:r>
              <w:rPr>
                <w:rFonts w:hint="eastAsia" w:ascii="Times New Roman" w:hAnsi="Times New Roman" w:eastAsia="仿宋_GB2312" w:cs="Times New Roman"/>
                <w:sz w:val="21"/>
                <w:szCs w:val="21"/>
              </w:rPr>
              <w:t>万m</w:t>
            </w:r>
            <w:r>
              <w:rPr>
                <w:rFonts w:hint="eastAsia" w:ascii="Times New Roman" w:hAnsi="Times New Roman" w:eastAsia="仿宋_GB2312" w:cs="Times New Roman"/>
                <w:sz w:val="21"/>
                <w:szCs w:val="21"/>
                <w:vertAlign w:val="superscript"/>
              </w:rPr>
              <w:t>3</w:t>
            </w:r>
            <w:r>
              <w:rPr>
                <w:rFonts w:hint="eastAsia" w:ascii="Times New Roman" w:hAnsi="Times New Roman" w:eastAsia="仿宋_GB2312" w:cs="Times New Roman"/>
                <w:sz w:val="21"/>
                <w:szCs w:val="21"/>
              </w:rPr>
              <w:t>，表土回覆0.</w:t>
            </w:r>
            <w:r>
              <w:rPr>
                <w:rFonts w:ascii="Times New Roman" w:hAnsi="Times New Roman" w:eastAsia="仿宋_GB2312" w:cs="Times New Roman"/>
                <w:sz w:val="21"/>
                <w:szCs w:val="21"/>
              </w:rPr>
              <w:t>17</w:t>
            </w:r>
            <w:r>
              <w:rPr>
                <w:rFonts w:hint="eastAsia" w:ascii="Times New Roman" w:hAnsi="Times New Roman" w:eastAsia="仿宋_GB2312" w:cs="Times New Roman"/>
                <w:sz w:val="21"/>
                <w:szCs w:val="21"/>
              </w:rPr>
              <w:t>万m</w:t>
            </w:r>
            <w:r>
              <w:rPr>
                <w:rFonts w:hint="eastAsia" w:ascii="Times New Roman" w:hAnsi="Times New Roman" w:eastAsia="仿宋_GB2312" w:cs="Times New Roman"/>
                <w:sz w:val="21"/>
                <w:szCs w:val="21"/>
                <w:vertAlign w:val="superscript"/>
              </w:rPr>
              <w:t>3</w:t>
            </w:r>
            <w:r>
              <w:rPr>
                <w:rFonts w:hint="eastAsia" w:ascii="Times New Roman" w:hAnsi="Times New Roman" w:eastAsia="仿宋_GB2312" w:cs="Times New Roman"/>
                <w:sz w:val="21"/>
                <w:szCs w:val="21"/>
              </w:rPr>
              <w:t>；</w:t>
            </w:r>
          </w:p>
          <w:p>
            <w:pPr>
              <w:keepNext w:val="0"/>
              <w:keepLines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新增：全面整地0</w:t>
            </w:r>
            <w:r>
              <w:rPr>
                <w:rFonts w:ascii="Times New Roman" w:hAnsi="Times New Roman" w:eastAsia="仿宋_GB2312" w:cs="Times New Roman"/>
                <w:sz w:val="21"/>
                <w:szCs w:val="21"/>
              </w:rPr>
              <w:t>.65</w:t>
            </w:r>
            <w:r>
              <w:rPr>
                <w:rFonts w:hint="eastAsia" w:ascii="Times New Roman" w:hAnsi="Times New Roman" w:eastAsia="仿宋_GB2312" w:cs="Times New Roman"/>
                <w:sz w:val="21"/>
                <w:szCs w:val="21"/>
              </w:rPr>
              <w:t>hm</w:t>
            </w:r>
            <w:r>
              <w:rPr>
                <w:rFonts w:hint="eastAsia" w:ascii="Times New Roman" w:hAnsi="Times New Roman" w:eastAsia="仿宋_GB2312" w:cs="Times New Roman"/>
                <w:sz w:val="21"/>
                <w:szCs w:val="21"/>
                <w:vertAlign w:val="superscript"/>
              </w:rPr>
              <w:t>2</w:t>
            </w:r>
            <w:r>
              <w:rPr>
                <w:rFonts w:hint="eastAsia" w:ascii="Times New Roman" w:hAnsi="Times New Roman" w:eastAsia="仿宋_GB2312" w:cs="Times New Roman"/>
                <w:sz w:val="21"/>
                <w:szCs w:val="21"/>
              </w:rPr>
              <w:t>。</w:t>
            </w:r>
          </w:p>
        </w:tc>
        <w:tc>
          <w:tcPr>
            <w:tcW w:w="2214"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both"/>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新增：撒播种草0.</w:t>
            </w:r>
            <w:r>
              <w:rPr>
                <w:rFonts w:ascii="Times New Roman" w:hAnsi="Times New Roman" w:eastAsia="仿宋_GB2312" w:cs="Times New Roman"/>
                <w:kern w:val="2"/>
                <w:sz w:val="21"/>
                <w:szCs w:val="21"/>
                <w:lang w:val="en-US" w:eastAsia="zh-CN" w:bidi="ar-SA"/>
              </w:rPr>
              <w:t>65</w:t>
            </w:r>
            <w:r>
              <w:rPr>
                <w:rFonts w:hint="eastAsia" w:ascii="Times New Roman" w:hAnsi="Times New Roman" w:eastAsia="仿宋_GB2312" w:cs="Times New Roman"/>
                <w:kern w:val="2"/>
                <w:sz w:val="21"/>
                <w:szCs w:val="21"/>
                <w:lang w:val="en-US" w:eastAsia="zh-CN" w:bidi="ar-SA"/>
              </w:rPr>
              <w:t>hn</w:t>
            </w:r>
            <w:r>
              <w:rPr>
                <w:rFonts w:hint="eastAsia" w:ascii="Times New Roman" w:hAnsi="Times New Roman" w:eastAsia="仿宋_GB2312" w:cs="Times New Roman"/>
                <w:kern w:val="2"/>
                <w:sz w:val="21"/>
                <w:szCs w:val="21"/>
                <w:vertAlign w:val="superscript"/>
                <w:lang w:val="en-US" w:eastAsia="zh-CN" w:bidi="ar-SA"/>
              </w:rPr>
              <w:t>2</w:t>
            </w:r>
            <w:r>
              <w:rPr>
                <w:rFonts w:hint="eastAsia" w:ascii="Times New Roman" w:hAnsi="Times New Roman" w:eastAsia="仿宋_GB2312" w:cs="Times New Roman"/>
                <w:kern w:val="2"/>
                <w:sz w:val="21"/>
                <w:szCs w:val="21"/>
                <w:lang w:val="en-US" w:eastAsia="zh-CN" w:bidi="ar-SA"/>
              </w:rPr>
              <w:t>。</w:t>
            </w:r>
          </w:p>
        </w:tc>
        <w:tc>
          <w:tcPr>
            <w:tcW w:w="2362"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left"/>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主体：临时排水沟</w:t>
            </w:r>
            <w:r>
              <w:rPr>
                <w:rFonts w:ascii="Times New Roman" w:hAnsi="Times New Roman" w:eastAsia="仿宋_GB2312" w:cs="Times New Roman"/>
                <w:kern w:val="2"/>
                <w:sz w:val="21"/>
                <w:szCs w:val="21"/>
                <w:lang w:val="en-US" w:eastAsia="zh-CN" w:bidi="ar-SA"/>
              </w:rPr>
              <w:t>245</w:t>
            </w:r>
            <w:r>
              <w:rPr>
                <w:rFonts w:hint="eastAsia" w:ascii="Times New Roman" w:hAnsi="Times New Roman" w:eastAsia="仿宋_GB2312" w:cs="Times New Roman"/>
                <w:kern w:val="2"/>
                <w:sz w:val="21"/>
                <w:szCs w:val="21"/>
                <w:lang w:val="en-US" w:eastAsia="zh-CN" w:bidi="ar-SA"/>
              </w:rPr>
              <w:t>m;新增：临时沉沙池2座。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64" w:type="dxa"/>
            <w:vMerge w:val="continue"/>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p>
        </w:tc>
        <w:tc>
          <w:tcPr>
            <w:tcW w:w="2126" w:type="dxa"/>
            <w:gridSpan w:val="4"/>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表土堆场防治区</w:t>
            </w:r>
          </w:p>
        </w:tc>
        <w:tc>
          <w:tcPr>
            <w:tcW w:w="2748" w:type="dxa"/>
            <w:gridSpan w:val="2"/>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新增：全面整地1.58hm</w:t>
            </w:r>
            <w:r>
              <w:rPr>
                <w:rFonts w:hint="eastAsia" w:ascii="Times New Roman" w:hAnsi="Times New Roman" w:eastAsia="仿宋_GB2312" w:cs="Times New Roman"/>
                <w:sz w:val="21"/>
                <w:szCs w:val="21"/>
                <w:vertAlign w:val="superscript"/>
              </w:rPr>
              <w:t>2</w:t>
            </w:r>
            <w:r>
              <w:rPr>
                <w:rFonts w:hint="eastAsia" w:ascii="Times New Roman" w:hAnsi="Times New Roman" w:eastAsia="仿宋_GB2312" w:cs="Times New Roman"/>
                <w:sz w:val="21"/>
                <w:szCs w:val="21"/>
              </w:rPr>
              <w:t>。</w:t>
            </w:r>
          </w:p>
        </w:tc>
        <w:tc>
          <w:tcPr>
            <w:tcW w:w="2214"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both"/>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新增：撒播种草1.58hn</w:t>
            </w:r>
            <w:r>
              <w:rPr>
                <w:rFonts w:hint="eastAsia" w:ascii="Times New Roman" w:hAnsi="Times New Roman" w:eastAsia="仿宋_GB2312" w:cs="Times New Roman"/>
                <w:kern w:val="2"/>
                <w:sz w:val="21"/>
                <w:szCs w:val="21"/>
                <w:vertAlign w:val="superscript"/>
                <w:lang w:val="en-US" w:eastAsia="zh-CN" w:bidi="ar-SA"/>
              </w:rPr>
              <w:t>2</w:t>
            </w:r>
            <w:r>
              <w:rPr>
                <w:rFonts w:hint="eastAsia" w:ascii="Times New Roman" w:hAnsi="Times New Roman" w:eastAsia="仿宋_GB2312" w:cs="Times New Roman"/>
                <w:kern w:val="2"/>
                <w:sz w:val="21"/>
                <w:szCs w:val="21"/>
                <w:lang w:val="en-US" w:eastAsia="zh-CN" w:bidi="ar-SA"/>
              </w:rPr>
              <w:t>。</w:t>
            </w:r>
          </w:p>
        </w:tc>
        <w:tc>
          <w:tcPr>
            <w:tcW w:w="2362"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新增：彩条布覆盖15000m</w:t>
            </w:r>
            <w:r>
              <w:rPr>
                <w:rFonts w:hint="eastAsia" w:ascii="Times New Roman" w:hAnsi="Times New Roman" w:eastAsia="仿宋_GB2312" w:cs="Times New Roman"/>
                <w:kern w:val="2"/>
                <w:sz w:val="21"/>
                <w:szCs w:val="21"/>
                <w:vertAlign w:val="superscript"/>
                <w:lang w:val="en-US" w:eastAsia="zh-CN" w:bidi="ar-SA"/>
              </w:rPr>
              <w:t>2</w:t>
            </w:r>
            <w:r>
              <w:rPr>
                <w:rFonts w:hint="eastAsia" w:ascii="Times New Roman" w:hAnsi="Times New Roman" w:eastAsia="仿宋_GB2312" w:cs="Times New Roman"/>
                <w:kern w:val="2"/>
                <w:sz w:val="21"/>
                <w:szCs w:val="21"/>
                <w:lang w:val="en-US" w:eastAsia="zh-CN" w:bidi="ar-SA"/>
              </w:rPr>
              <w:t>，编织土袋拦挡505m，临时截排水沟505m，临时沉沙池2座。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64" w:type="dxa"/>
            <w:vMerge w:val="continue"/>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p>
        </w:tc>
        <w:tc>
          <w:tcPr>
            <w:tcW w:w="567" w:type="dxa"/>
            <w:vMerge w:val="restar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管网工程防治区</w:t>
            </w:r>
          </w:p>
        </w:tc>
        <w:tc>
          <w:tcPr>
            <w:tcW w:w="779" w:type="dxa"/>
            <w:gridSpan w:val="2"/>
            <w:vMerge w:val="restar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sz w:val="21"/>
                <w:szCs w:val="21"/>
              </w:rPr>
            </w:pPr>
            <w:r>
              <w:rPr>
                <w:rFonts w:hint="eastAsia" w:ascii="Times New Roman" w:hAnsi="Times New Roman" w:eastAsia="仿宋_GB2312" w:cs="Times New Roman"/>
                <w:kern w:val="0"/>
                <w:sz w:val="21"/>
                <w:szCs w:val="21"/>
              </w:rPr>
              <w:t>管网作业带防治区</w:t>
            </w:r>
          </w:p>
        </w:tc>
        <w:tc>
          <w:tcPr>
            <w:tcW w:w="780" w:type="dxa"/>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平地段</w:t>
            </w:r>
          </w:p>
        </w:tc>
        <w:tc>
          <w:tcPr>
            <w:tcW w:w="2748" w:type="dxa"/>
            <w:gridSpan w:val="2"/>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sz w:val="21"/>
                <w:szCs w:val="18"/>
              </w:rPr>
            </w:pPr>
            <w:r>
              <w:rPr>
                <w:rFonts w:hint="eastAsia" w:ascii="Times New Roman" w:hAnsi="Times New Roman" w:eastAsia="仿宋_GB2312" w:cs="Times New Roman"/>
                <w:sz w:val="21"/>
                <w:szCs w:val="21"/>
              </w:rPr>
              <w:t>主体：</w:t>
            </w:r>
            <w:r>
              <w:rPr>
                <w:rFonts w:hint="eastAsia" w:ascii="Times New Roman" w:hAnsi="Times New Roman" w:eastAsia="仿宋_GB2312" w:cs="Times New Roman"/>
                <w:sz w:val="21"/>
                <w:szCs w:val="18"/>
              </w:rPr>
              <w:t>表土剥离</w:t>
            </w:r>
            <w:r>
              <w:rPr>
                <w:rFonts w:ascii="Times New Roman" w:hAnsi="Times New Roman" w:eastAsia="仿宋_GB2312" w:cs="Times New Roman"/>
                <w:sz w:val="21"/>
                <w:szCs w:val="18"/>
              </w:rPr>
              <w:t>2.74</w:t>
            </w:r>
            <w:r>
              <w:rPr>
                <w:rFonts w:hint="eastAsia" w:ascii="Times New Roman" w:hAnsi="Times New Roman" w:eastAsia="仿宋_GB2312" w:cs="Times New Roman"/>
                <w:sz w:val="21"/>
                <w:szCs w:val="18"/>
              </w:rPr>
              <w:t>万m</w:t>
            </w:r>
            <w:r>
              <w:rPr>
                <w:rFonts w:hint="eastAsia" w:ascii="Times New Roman" w:hAnsi="Times New Roman" w:eastAsia="仿宋_GB2312" w:cs="Times New Roman"/>
                <w:sz w:val="21"/>
                <w:szCs w:val="18"/>
                <w:vertAlign w:val="superscript"/>
              </w:rPr>
              <w:t>3</w:t>
            </w:r>
            <w:r>
              <w:rPr>
                <w:rFonts w:hint="eastAsia" w:ascii="Times New Roman" w:hAnsi="Times New Roman" w:eastAsia="仿宋_GB2312" w:cs="Times New Roman"/>
                <w:sz w:val="21"/>
                <w:szCs w:val="18"/>
              </w:rPr>
              <w:t>，表土回覆</w:t>
            </w:r>
            <w:r>
              <w:rPr>
                <w:rFonts w:ascii="Times New Roman" w:hAnsi="Times New Roman" w:eastAsia="仿宋_GB2312" w:cs="Times New Roman"/>
                <w:sz w:val="21"/>
                <w:szCs w:val="18"/>
              </w:rPr>
              <w:t>2.74</w:t>
            </w:r>
            <w:r>
              <w:rPr>
                <w:rFonts w:hint="eastAsia" w:ascii="Times New Roman" w:hAnsi="Times New Roman" w:eastAsia="仿宋_GB2312" w:cs="Times New Roman"/>
                <w:sz w:val="21"/>
                <w:szCs w:val="18"/>
              </w:rPr>
              <w:t>万m</w:t>
            </w:r>
            <w:r>
              <w:rPr>
                <w:rFonts w:hint="eastAsia" w:ascii="Times New Roman" w:hAnsi="Times New Roman" w:eastAsia="仿宋_GB2312" w:cs="Times New Roman"/>
                <w:sz w:val="21"/>
                <w:szCs w:val="18"/>
                <w:vertAlign w:val="superscript"/>
              </w:rPr>
              <w:t>3</w:t>
            </w:r>
            <w:r>
              <w:rPr>
                <w:rFonts w:hint="eastAsia" w:ascii="Times New Roman" w:hAnsi="Times New Roman" w:eastAsia="仿宋_GB2312" w:cs="Times New Roman"/>
                <w:sz w:val="21"/>
                <w:szCs w:val="18"/>
              </w:rPr>
              <w:t>；</w:t>
            </w:r>
          </w:p>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18"/>
              </w:rPr>
              <w:t>新增：全面整地</w:t>
            </w:r>
            <w:r>
              <w:rPr>
                <w:rFonts w:ascii="Times New Roman" w:hAnsi="Times New Roman" w:eastAsia="仿宋_GB2312" w:cs="Times New Roman"/>
                <w:sz w:val="21"/>
                <w:szCs w:val="18"/>
              </w:rPr>
              <w:t>9.12</w:t>
            </w:r>
            <w:r>
              <w:rPr>
                <w:rFonts w:hint="eastAsia" w:ascii="Times New Roman" w:hAnsi="Times New Roman" w:eastAsia="仿宋_GB2312" w:cs="Times New Roman"/>
                <w:sz w:val="21"/>
                <w:szCs w:val="18"/>
              </w:rPr>
              <w:t>hm</w:t>
            </w:r>
            <w:r>
              <w:rPr>
                <w:rFonts w:hint="eastAsia" w:ascii="Times New Roman" w:hAnsi="Times New Roman" w:eastAsia="仿宋_GB2312" w:cs="Times New Roman"/>
                <w:sz w:val="21"/>
                <w:szCs w:val="18"/>
                <w:vertAlign w:val="superscript"/>
              </w:rPr>
              <w:t>2</w:t>
            </w:r>
            <w:r>
              <w:rPr>
                <w:rFonts w:hint="eastAsia" w:ascii="Times New Roman" w:hAnsi="Times New Roman" w:eastAsia="仿宋_GB2312" w:cs="Times New Roman"/>
                <w:sz w:val="21"/>
                <w:szCs w:val="18"/>
              </w:rPr>
              <w:t>。</w:t>
            </w:r>
          </w:p>
        </w:tc>
        <w:tc>
          <w:tcPr>
            <w:tcW w:w="2214"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新增：撒播种草</w:t>
            </w:r>
            <w:r>
              <w:rPr>
                <w:rFonts w:ascii="Times New Roman" w:hAnsi="Times New Roman" w:eastAsia="仿宋_GB2312" w:cs="Times New Roman"/>
                <w:kern w:val="2"/>
                <w:sz w:val="21"/>
                <w:szCs w:val="21"/>
                <w:lang w:val="en-US" w:eastAsia="zh-CN" w:bidi="ar-SA"/>
              </w:rPr>
              <w:t>9.12</w:t>
            </w:r>
            <w:r>
              <w:rPr>
                <w:rFonts w:hint="eastAsia" w:ascii="Times New Roman" w:hAnsi="Times New Roman" w:eastAsia="仿宋_GB2312" w:cs="Times New Roman"/>
                <w:kern w:val="2"/>
                <w:sz w:val="21"/>
                <w:szCs w:val="21"/>
                <w:lang w:val="en-US" w:eastAsia="zh-CN" w:bidi="ar-SA"/>
              </w:rPr>
              <w:t>hn</w:t>
            </w:r>
            <w:r>
              <w:rPr>
                <w:rFonts w:hint="eastAsia" w:ascii="Times New Roman" w:hAnsi="Times New Roman" w:eastAsia="仿宋_GB2312" w:cs="Times New Roman"/>
                <w:kern w:val="2"/>
                <w:sz w:val="21"/>
                <w:szCs w:val="21"/>
                <w:vertAlign w:val="superscript"/>
                <w:lang w:val="en-US" w:eastAsia="zh-CN" w:bidi="ar-SA"/>
              </w:rPr>
              <w:t>2</w:t>
            </w:r>
            <w:r>
              <w:rPr>
                <w:rFonts w:hint="eastAsia" w:ascii="Times New Roman" w:hAnsi="Times New Roman" w:eastAsia="仿宋_GB2312" w:cs="Times New Roman"/>
                <w:kern w:val="2"/>
                <w:sz w:val="21"/>
                <w:szCs w:val="21"/>
                <w:lang w:val="en-US" w:eastAsia="zh-CN" w:bidi="ar-SA"/>
              </w:rPr>
              <w:t>。</w:t>
            </w:r>
          </w:p>
        </w:tc>
        <w:tc>
          <w:tcPr>
            <w:tcW w:w="2362"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新增：彩条布覆盖</w:t>
            </w:r>
            <w:r>
              <w:rPr>
                <w:rFonts w:ascii="Times New Roman" w:hAnsi="Times New Roman" w:eastAsia="仿宋_GB2312" w:cs="Times New Roman"/>
                <w:kern w:val="2"/>
                <w:sz w:val="21"/>
                <w:szCs w:val="21"/>
                <w:lang w:val="en-US" w:eastAsia="zh-CN" w:bidi="ar-SA"/>
              </w:rPr>
              <w:t>3</w:t>
            </w:r>
            <w:r>
              <w:rPr>
                <w:rFonts w:hint="eastAsia" w:ascii="Times New Roman" w:hAnsi="Times New Roman" w:eastAsia="仿宋_GB2312" w:cs="Times New Roman"/>
                <w:kern w:val="2"/>
                <w:sz w:val="21"/>
                <w:szCs w:val="21"/>
                <w:lang w:val="en-US" w:eastAsia="zh-CN" w:bidi="ar-SA"/>
              </w:rPr>
              <w:t>0000m</w:t>
            </w:r>
            <w:r>
              <w:rPr>
                <w:rFonts w:hint="eastAsia" w:ascii="Times New Roman" w:hAnsi="Times New Roman" w:eastAsia="仿宋_GB2312" w:cs="Times New Roman"/>
                <w:kern w:val="2"/>
                <w:sz w:val="21"/>
                <w:szCs w:val="21"/>
                <w:vertAlign w:val="superscript"/>
                <w:lang w:val="en-US" w:eastAsia="zh-CN" w:bidi="ar-SA"/>
              </w:rPr>
              <w:t>2</w:t>
            </w:r>
            <w:r>
              <w:rPr>
                <w:rFonts w:hint="eastAsia" w:ascii="Times New Roman" w:hAnsi="Times New Roman" w:eastAsia="仿宋_GB2312" w:cs="Times New Roman"/>
                <w:kern w:val="2"/>
                <w:sz w:val="21"/>
                <w:szCs w:val="21"/>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64" w:type="dxa"/>
            <w:vMerge w:val="continue"/>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p>
        </w:tc>
        <w:tc>
          <w:tcPr>
            <w:tcW w:w="567" w:type="dxa"/>
            <w:vMerge w:val="continue"/>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p>
        </w:tc>
        <w:tc>
          <w:tcPr>
            <w:tcW w:w="779" w:type="dxa"/>
            <w:gridSpan w:val="2"/>
            <w:vMerge w:val="continue"/>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p>
        </w:tc>
        <w:tc>
          <w:tcPr>
            <w:tcW w:w="780"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顺坡段</w:t>
            </w:r>
          </w:p>
        </w:tc>
        <w:tc>
          <w:tcPr>
            <w:tcW w:w="2748"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主体：表土剥离0.2</w:t>
            </w:r>
            <w:r>
              <w:rPr>
                <w:rFonts w:ascii="Times New Roman" w:hAnsi="Times New Roman" w:eastAsia="仿宋_GB2312" w:cs="Times New Roman"/>
                <w:kern w:val="2"/>
                <w:sz w:val="21"/>
                <w:szCs w:val="21"/>
                <w:lang w:val="en-US" w:eastAsia="zh-CN" w:bidi="ar-SA"/>
              </w:rPr>
              <w:t>5</w:t>
            </w:r>
            <w:r>
              <w:rPr>
                <w:rFonts w:hint="eastAsia" w:ascii="Times New Roman" w:hAnsi="Times New Roman" w:eastAsia="仿宋_GB2312" w:cs="Times New Roman"/>
                <w:kern w:val="2"/>
                <w:sz w:val="21"/>
                <w:szCs w:val="21"/>
                <w:lang w:val="en-US" w:eastAsia="zh-CN" w:bidi="ar-SA"/>
              </w:rPr>
              <w:t>万m</w:t>
            </w:r>
            <w:r>
              <w:rPr>
                <w:rFonts w:hint="eastAsia" w:ascii="Times New Roman" w:hAnsi="Times New Roman" w:eastAsia="仿宋_GB2312" w:cs="Times New Roman"/>
                <w:kern w:val="2"/>
                <w:sz w:val="21"/>
                <w:szCs w:val="21"/>
                <w:vertAlign w:val="superscript"/>
                <w:lang w:val="en-US" w:eastAsia="zh-CN" w:bidi="ar-SA"/>
              </w:rPr>
              <w:t>3</w:t>
            </w:r>
            <w:r>
              <w:rPr>
                <w:rFonts w:hint="eastAsia" w:ascii="Times New Roman" w:hAnsi="Times New Roman" w:eastAsia="仿宋_GB2312" w:cs="Times New Roman"/>
                <w:kern w:val="2"/>
                <w:sz w:val="21"/>
                <w:szCs w:val="21"/>
                <w:lang w:val="en-US" w:eastAsia="zh-CN" w:bidi="ar-SA"/>
              </w:rPr>
              <w:t>，表土回覆0.2</w:t>
            </w:r>
            <w:r>
              <w:rPr>
                <w:rFonts w:ascii="Times New Roman" w:hAnsi="Times New Roman" w:eastAsia="仿宋_GB2312" w:cs="Times New Roman"/>
                <w:kern w:val="2"/>
                <w:sz w:val="21"/>
                <w:szCs w:val="21"/>
                <w:lang w:val="en-US" w:eastAsia="zh-CN" w:bidi="ar-SA"/>
              </w:rPr>
              <w:t>5</w:t>
            </w:r>
            <w:r>
              <w:rPr>
                <w:rFonts w:hint="eastAsia" w:ascii="Times New Roman" w:hAnsi="Times New Roman" w:eastAsia="仿宋_GB2312" w:cs="Times New Roman"/>
                <w:kern w:val="2"/>
                <w:sz w:val="21"/>
                <w:szCs w:val="21"/>
                <w:lang w:val="en-US" w:eastAsia="zh-CN" w:bidi="ar-SA"/>
              </w:rPr>
              <w:t>万m</w:t>
            </w:r>
            <w:r>
              <w:rPr>
                <w:rFonts w:hint="eastAsia" w:ascii="Times New Roman" w:hAnsi="Times New Roman" w:eastAsia="仿宋_GB2312" w:cs="Times New Roman"/>
                <w:kern w:val="2"/>
                <w:sz w:val="21"/>
                <w:szCs w:val="21"/>
                <w:vertAlign w:val="superscript"/>
                <w:lang w:val="en-US" w:eastAsia="zh-CN" w:bidi="ar-SA"/>
              </w:rPr>
              <w:t>3</w:t>
            </w:r>
            <w:r>
              <w:rPr>
                <w:rFonts w:hint="eastAsia" w:ascii="Times New Roman" w:hAnsi="Times New Roman" w:eastAsia="仿宋_GB2312" w:cs="Times New Roman"/>
                <w:kern w:val="2"/>
                <w:sz w:val="21"/>
                <w:szCs w:val="21"/>
                <w:lang w:val="en-US" w:eastAsia="zh-CN" w:bidi="ar-SA"/>
              </w:rPr>
              <w:t>；</w:t>
            </w:r>
          </w:p>
          <w:p>
            <w:pPr>
              <w:keepNext w:val="0"/>
              <w:keepLines w:val="0"/>
              <w:widowControl/>
              <w:suppressLineNumbers w:val="0"/>
              <w:spacing w:before="0" w:beforeAutospacing="0" w:after="0" w:afterAutospacing="0" w:line="240" w:lineRule="auto"/>
              <w:ind w:left="0" w:right="0" w:firstLine="0" w:firstLineChars="0"/>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新增：全面整地5.42hm</w:t>
            </w:r>
            <w:r>
              <w:rPr>
                <w:rFonts w:hint="eastAsia" w:ascii="Times New Roman" w:hAnsi="Times New Roman" w:eastAsia="仿宋_GB2312" w:cs="Times New Roman"/>
                <w:kern w:val="2"/>
                <w:sz w:val="21"/>
                <w:szCs w:val="21"/>
                <w:vertAlign w:val="superscript"/>
                <w:lang w:val="en-US" w:eastAsia="zh-CN" w:bidi="ar-SA"/>
              </w:rPr>
              <w:t>2</w:t>
            </w:r>
            <w:r>
              <w:rPr>
                <w:rFonts w:hint="eastAsia" w:ascii="Times New Roman" w:hAnsi="Times New Roman" w:eastAsia="仿宋_GB2312" w:cs="Times New Roman"/>
                <w:kern w:val="2"/>
                <w:sz w:val="21"/>
                <w:szCs w:val="21"/>
                <w:lang w:val="en-US" w:eastAsia="zh-CN" w:bidi="ar-SA"/>
              </w:rPr>
              <w:t>。</w:t>
            </w:r>
          </w:p>
        </w:tc>
        <w:tc>
          <w:tcPr>
            <w:tcW w:w="2214"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新增：撒播种草5.42hm</w:t>
            </w:r>
            <w:r>
              <w:rPr>
                <w:rFonts w:hint="eastAsia" w:ascii="Times New Roman" w:hAnsi="Times New Roman" w:eastAsia="仿宋_GB2312" w:cs="Times New Roman"/>
                <w:kern w:val="2"/>
                <w:sz w:val="21"/>
                <w:szCs w:val="21"/>
                <w:vertAlign w:val="superscript"/>
                <w:lang w:val="en-US" w:eastAsia="zh-CN" w:bidi="ar-SA"/>
              </w:rPr>
              <w:t>2</w:t>
            </w:r>
            <w:r>
              <w:rPr>
                <w:rFonts w:hint="eastAsia" w:ascii="Times New Roman" w:hAnsi="Times New Roman" w:eastAsia="仿宋_GB2312" w:cs="Times New Roman"/>
                <w:kern w:val="2"/>
                <w:sz w:val="21"/>
                <w:szCs w:val="21"/>
                <w:lang w:val="en-US" w:eastAsia="zh-CN" w:bidi="ar-SA"/>
              </w:rPr>
              <w:t>。</w:t>
            </w:r>
          </w:p>
        </w:tc>
        <w:tc>
          <w:tcPr>
            <w:tcW w:w="2362"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新增：彩条布覆盖6000m</w:t>
            </w:r>
            <w:r>
              <w:rPr>
                <w:rFonts w:hint="eastAsia" w:ascii="Times New Roman" w:hAnsi="Times New Roman" w:eastAsia="仿宋_GB2312" w:cs="Times New Roman"/>
                <w:kern w:val="2"/>
                <w:sz w:val="21"/>
                <w:szCs w:val="21"/>
                <w:vertAlign w:val="superscript"/>
                <w:lang w:val="en-US" w:eastAsia="zh-CN" w:bidi="ar-SA"/>
              </w:rPr>
              <w:t>2</w:t>
            </w:r>
            <w:r>
              <w:rPr>
                <w:rFonts w:hint="eastAsia" w:ascii="Times New Roman" w:hAnsi="Times New Roman" w:eastAsia="仿宋_GB2312" w:cs="Times New Roman"/>
                <w:kern w:val="2"/>
                <w:sz w:val="21"/>
                <w:szCs w:val="21"/>
                <w:lang w:val="en-US" w:eastAsia="zh-CN" w:bidi="ar-SA"/>
              </w:rPr>
              <w:t>，编织土袋拦挡866m。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64" w:type="dxa"/>
            <w:vMerge w:val="continue"/>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p>
        </w:tc>
        <w:tc>
          <w:tcPr>
            <w:tcW w:w="567" w:type="dxa"/>
            <w:vMerge w:val="continue"/>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p>
        </w:tc>
        <w:tc>
          <w:tcPr>
            <w:tcW w:w="779" w:type="dxa"/>
            <w:gridSpan w:val="2"/>
            <w:vMerge w:val="continue"/>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0"/>
                <w:sz w:val="21"/>
                <w:szCs w:val="21"/>
                <w:lang w:val="en-US" w:eastAsia="zh-CN" w:bidi="ar-SA"/>
              </w:rPr>
            </w:pPr>
          </w:p>
        </w:tc>
        <w:tc>
          <w:tcPr>
            <w:tcW w:w="780"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横坡段</w:t>
            </w:r>
          </w:p>
        </w:tc>
        <w:tc>
          <w:tcPr>
            <w:tcW w:w="2748"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主体：表土剥离0.</w:t>
            </w:r>
            <w:r>
              <w:rPr>
                <w:rFonts w:ascii="Times New Roman" w:hAnsi="Times New Roman" w:eastAsia="仿宋_GB2312" w:cs="Times New Roman"/>
                <w:kern w:val="2"/>
                <w:sz w:val="21"/>
                <w:szCs w:val="21"/>
                <w:lang w:val="en-US" w:eastAsia="zh-CN" w:bidi="ar-SA"/>
              </w:rPr>
              <w:t>16</w:t>
            </w:r>
            <w:r>
              <w:rPr>
                <w:rFonts w:hint="eastAsia" w:ascii="Times New Roman" w:hAnsi="Times New Roman" w:eastAsia="仿宋_GB2312" w:cs="Times New Roman"/>
                <w:kern w:val="2"/>
                <w:sz w:val="21"/>
                <w:szCs w:val="21"/>
                <w:lang w:val="en-US" w:eastAsia="zh-CN" w:bidi="ar-SA"/>
              </w:rPr>
              <w:t>万m</w:t>
            </w:r>
            <w:r>
              <w:rPr>
                <w:rFonts w:hint="eastAsia" w:ascii="Times New Roman" w:hAnsi="Times New Roman" w:eastAsia="仿宋_GB2312" w:cs="Times New Roman"/>
                <w:kern w:val="2"/>
                <w:sz w:val="21"/>
                <w:szCs w:val="21"/>
                <w:vertAlign w:val="superscript"/>
                <w:lang w:val="en-US" w:eastAsia="zh-CN" w:bidi="ar-SA"/>
              </w:rPr>
              <w:t>3</w:t>
            </w:r>
            <w:r>
              <w:rPr>
                <w:rFonts w:hint="eastAsia" w:ascii="Times New Roman" w:hAnsi="Times New Roman" w:eastAsia="仿宋_GB2312" w:cs="Times New Roman"/>
                <w:kern w:val="2"/>
                <w:sz w:val="21"/>
                <w:szCs w:val="21"/>
                <w:lang w:val="en-US" w:eastAsia="zh-CN" w:bidi="ar-SA"/>
              </w:rPr>
              <w:t>，表土回覆0.</w:t>
            </w:r>
            <w:r>
              <w:rPr>
                <w:rFonts w:ascii="Times New Roman" w:hAnsi="Times New Roman" w:eastAsia="仿宋_GB2312" w:cs="Times New Roman"/>
                <w:kern w:val="2"/>
                <w:sz w:val="21"/>
                <w:szCs w:val="21"/>
                <w:lang w:val="en-US" w:eastAsia="zh-CN" w:bidi="ar-SA"/>
              </w:rPr>
              <w:t>16</w:t>
            </w:r>
            <w:r>
              <w:rPr>
                <w:rFonts w:hint="eastAsia" w:ascii="Times New Roman" w:hAnsi="Times New Roman" w:eastAsia="仿宋_GB2312" w:cs="Times New Roman"/>
                <w:kern w:val="2"/>
                <w:sz w:val="21"/>
                <w:szCs w:val="21"/>
                <w:lang w:val="en-US" w:eastAsia="zh-CN" w:bidi="ar-SA"/>
              </w:rPr>
              <w:t>万m</w:t>
            </w:r>
            <w:r>
              <w:rPr>
                <w:rFonts w:hint="eastAsia" w:ascii="Times New Roman" w:hAnsi="Times New Roman" w:eastAsia="仿宋_GB2312" w:cs="Times New Roman"/>
                <w:kern w:val="2"/>
                <w:sz w:val="21"/>
                <w:szCs w:val="21"/>
                <w:vertAlign w:val="superscript"/>
                <w:lang w:val="en-US" w:eastAsia="zh-CN" w:bidi="ar-SA"/>
              </w:rPr>
              <w:t>3</w:t>
            </w:r>
            <w:r>
              <w:rPr>
                <w:rFonts w:hint="eastAsia" w:ascii="Times New Roman" w:hAnsi="Times New Roman" w:eastAsia="仿宋_GB2312" w:cs="Times New Roman"/>
                <w:kern w:val="2"/>
                <w:sz w:val="21"/>
                <w:szCs w:val="21"/>
                <w:lang w:val="en-US" w:eastAsia="zh-CN" w:bidi="ar-SA"/>
              </w:rPr>
              <w:t>；</w:t>
            </w:r>
          </w:p>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新增：全面整地</w:t>
            </w:r>
            <w:r>
              <w:rPr>
                <w:rFonts w:ascii="Times New Roman" w:hAnsi="Times New Roman" w:eastAsia="仿宋_GB2312" w:cs="Times New Roman"/>
                <w:kern w:val="2"/>
                <w:sz w:val="21"/>
                <w:szCs w:val="21"/>
                <w:lang w:val="en-US" w:eastAsia="zh-CN" w:bidi="ar-SA"/>
              </w:rPr>
              <w:t>3.40</w:t>
            </w:r>
            <w:r>
              <w:rPr>
                <w:rFonts w:hint="eastAsia" w:ascii="Times New Roman" w:hAnsi="Times New Roman" w:eastAsia="仿宋_GB2312" w:cs="Times New Roman"/>
                <w:kern w:val="2"/>
                <w:sz w:val="21"/>
                <w:szCs w:val="21"/>
                <w:lang w:val="en-US" w:eastAsia="zh-CN" w:bidi="ar-SA"/>
              </w:rPr>
              <w:t>hm</w:t>
            </w:r>
            <w:r>
              <w:rPr>
                <w:rFonts w:hint="eastAsia" w:ascii="Times New Roman" w:hAnsi="Times New Roman" w:eastAsia="仿宋_GB2312" w:cs="Times New Roman"/>
                <w:kern w:val="2"/>
                <w:sz w:val="21"/>
                <w:szCs w:val="21"/>
                <w:vertAlign w:val="superscript"/>
                <w:lang w:val="en-US" w:eastAsia="zh-CN" w:bidi="ar-SA"/>
              </w:rPr>
              <w:t>2</w:t>
            </w:r>
            <w:r>
              <w:rPr>
                <w:rFonts w:hint="eastAsia" w:ascii="Times New Roman" w:hAnsi="Times New Roman" w:eastAsia="仿宋_GB2312" w:cs="Times New Roman"/>
                <w:kern w:val="2"/>
                <w:sz w:val="21"/>
                <w:szCs w:val="21"/>
                <w:lang w:val="en-US" w:eastAsia="zh-CN" w:bidi="ar-SA"/>
              </w:rPr>
              <w:t>。</w:t>
            </w:r>
          </w:p>
        </w:tc>
        <w:tc>
          <w:tcPr>
            <w:tcW w:w="2214"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新增：撒播种草3.40hm</w:t>
            </w:r>
            <w:r>
              <w:rPr>
                <w:rFonts w:hint="eastAsia" w:ascii="Times New Roman" w:hAnsi="Times New Roman" w:eastAsia="仿宋_GB2312" w:cs="Times New Roman"/>
                <w:kern w:val="2"/>
                <w:sz w:val="21"/>
                <w:szCs w:val="21"/>
                <w:vertAlign w:val="superscript"/>
                <w:lang w:val="en-US" w:eastAsia="zh-CN" w:bidi="ar-SA"/>
              </w:rPr>
              <w:t>2</w:t>
            </w:r>
            <w:r>
              <w:rPr>
                <w:rFonts w:hint="eastAsia" w:ascii="Times New Roman" w:hAnsi="Times New Roman" w:eastAsia="仿宋_GB2312" w:cs="Times New Roman"/>
                <w:kern w:val="2"/>
                <w:sz w:val="21"/>
                <w:szCs w:val="21"/>
                <w:lang w:val="en-US" w:eastAsia="zh-CN" w:bidi="ar-SA"/>
              </w:rPr>
              <w:t>。</w:t>
            </w:r>
          </w:p>
        </w:tc>
        <w:tc>
          <w:tcPr>
            <w:tcW w:w="2362"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新增：彩条布覆盖6000m</w:t>
            </w:r>
            <w:r>
              <w:rPr>
                <w:rFonts w:hint="eastAsia" w:ascii="Times New Roman" w:hAnsi="Times New Roman" w:eastAsia="仿宋_GB2312" w:cs="Times New Roman"/>
                <w:kern w:val="2"/>
                <w:sz w:val="21"/>
                <w:szCs w:val="21"/>
                <w:vertAlign w:val="superscript"/>
                <w:lang w:val="en-US" w:eastAsia="zh-CN" w:bidi="ar-SA"/>
              </w:rPr>
              <w:t>2</w:t>
            </w:r>
            <w:r>
              <w:rPr>
                <w:rFonts w:hint="eastAsia" w:ascii="Times New Roman" w:hAnsi="Times New Roman" w:eastAsia="仿宋_GB2312" w:cs="Times New Roman"/>
                <w:kern w:val="2"/>
                <w:sz w:val="21"/>
                <w:szCs w:val="21"/>
                <w:lang w:val="en-US" w:eastAsia="zh-CN" w:bidi="ar-SA"/>
              </w:rPr>
              <w:t>，编织土袋拦挡742m，临时截排水沟1809.8m。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64" w:type="dxa"/>
            <w:vMerge w:val="continue"/>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p>
        </w:tc>
        <w:tc>
          <w:tcPr>
            <w:tcW w:w="567" w:type="dxa"/>
            <w:vMerge w:val="continue"/>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p>
        </w:tc>
        <w:tc>
          <w:tcPr>
            <w:tcW w:w="779" w:type="dxa"/>
            <w:gridSpan w:val="2"/>
            <w:vMerge w:val="restar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穿越工程防治区</w:t>
            </w:r>
          </w:p>
        </w:tc>
        <w:tc>
          <w:tcPr>
            <w:tcW w:w="780"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穿越河道</w:t>
            </w:r>
          </w:p>
        </w:tc>
        <w:tc>
          <w:tcPr>
            <w:tcW w:w="2748"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w:t>
            </w:r>
          </w:p>
        </w:tc>
        <w:tc>
          <w:tcPr>
            <w:tcW w:w="2214"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w:t>
            </w:r>
          </w:p>
        </w:tc>
        <w:tc>
          <w:tcPr>
            <w:tcW w:w="2362"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新增：彩条布覆盖100m</w:t>
            </w:r>
            <w:r>
              <w:rPr>
                <w:rFonts w:hint="eastAsia" w:ascii="Times New Roman" w:hAnsi="Times New Roman" w:eastAsia="仿宋_GB2312" w:cs="Times New Roman"/>
                <w:kern w:val="2"/>
                <w:sz w:val="21"/>
                <w:szCs w:val="21"/>
                <w:vertAlign w:val="superscript"/>
                <w:lang w:val="en-US" w:eastAsia="zh-CN" w:bidi="ar-SA"/>
              </w:rPr>
              <w:t>2</w:t>
            </w:r>
            <w:r>
              <w:rPr>
                <w:rFonts w:hint="eastAsia" w:ascii="Times New Roman" w:hAnsi="Times New Roman" w:eastAsia="仿宋_GB2312" w:cs="Times New Roman"/>
                <w:kern w:val="2"/>
                <w:sz w:val="21"/>
                <w:szCs w:val="21"/>
                <w:lang w:val="en-US" w:eastAsia="zh-CN" w:bidi="ar-SA"/>
              </w:rPr>
              <w:t>，编织土袋拦挡50m。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64" w:type="dxa"/>
            <w:vMerge w:val="continue"/>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p>
        </w:tc>
        <w:tc>
          <w:tcPr>
            <w:tcW w:w="567" w:type="dxa"/>
            <w:vMerge w:val="continue"/>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p>
        </w:tc>
        <w:tc>
          <w:tcPr>
            <w:tcW w:w="779" w:type="dxa"/>
            <w:gridSpan w:val="2"/>
            <w:vMerge w:val="continue"/>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p>
        </w:tc>
        <w:tc>
          <w:tcPr>
            <w:tcW w:w="780"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顶管段</w:t>
            </w:r>
          </w:p>
        </w:tc>
        <w:tc>
          <w:tcPr>
            <w:tcW w:w="2748"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w:t>
            </w:r>
          </w:p>
        </w:tc>
        <w:tc>
          <w:tcPr>
            <w:tcW w:w="2214"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w:t>
            </w:r>
          </w:p>
        </w:tc>
        <w:tc>
          <w:tcPr>
            <w:tcW w:w="2362"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新增：彩条布覆盖1000m</w:t>
            </w:r>
            <w:r>
              <w:rPr>
                <w:rFonts w:hint="eastAsia" w:ascii="Times New Roman" w:hAnsi="Times New Roman" w:eastAsia="仿宋_GB2312" w:cs="Times New Roman"/>
                <w:kern w:val="2"/>
                <w:sz w:val="21"/>
                <w:szCs w:val="21"/>
                <w:vertAlign w:val="superscript"/>
                <w:lang w:val="en-US" w:eastAsia="zh-CN" w:bidi="ar-SA"/>
              </w:rPr>
              <w:t>2</w:t>
            </w:r>
            <w:r>
              <w:rPr>
                <w:rFonts w:hint="eastAsia" w:ascii="Times New Roman" w:hAnsi="Times New Roman" w:eastAsia="仿宋_GB2312" w:cs="Times New Roman"/>
                <w:kern w:val="2"/>
                <w:sz w:val="21"/>
                <w:szCs w:val="21"/>
                <w:lang w:val="en-US" w:eastAsia="zh-CN" w:bidi="ar-SA"/>
              </w:rPr>
              <w:t>，编织土袋拦挡100m。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64" w:type="dxa"/>
            <w:vMerge w:val="continue"/>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p>
        </w:tc>
        <w:tc>
          <w:tcPr>
            <w:tcW w:w="2126" w:type="dxa"/>
            <w:gridSpan w:val="4"/>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2"/>
                <w:sz w:val="21"/>
                <w:szCs w:val="21"/>
                <w:lang w:val="en-US" w:eastAsia="zh-CN" w:bidi="ar-SA"/>
              </w:rPr>
              <w:t>施工便道防治区</w:t>
            </w:r>
          </w:p>
        </w:tc>
        <w:tc>
          <w:tcPr>
            <w:tcW w:w="2748"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新增：全面整地</w:t>
            </w:r>
            <w:r>
              <w:rPr>
                <w:rFonts w:ascii="Times New Roman" w:hAnsi="Times New Roman" w:eastAsia="仿宋_GB2312" w:cs="Times New Roman"/>
                <w:kern w:val="2"/>
                <w:sz w:val="21"/>
                <w:szCs w:val="21"/>
                <w:lang w:val="en-US" w:eastAsia="zh-CN" w:bidi="ar-SA"/>
              </w:rPr>
              <w:t>1.52</w:t>
            </w:r>
            <w:r>
              <w:rPr>
                <w:rFonts w:hint="eastAsia" w:ascii="Times New Roman" w:hAnsi="Times New Roman" w:eastAsia="仿宋_GB2312" w:cs="Times New Roman"/>
                <w:kern w:val="2"/>
                <w:sz w:val="21"/>
                <w:szCs w:val="21"/>
                <w:lang w:val="en-US" w:eastAsia="zh-CN" w:bidi="ar-SA"/>
              </w:rPr>
              <w:t>hm</w:t>
            </w:r>
            <w:r>
              <w:rPr>
                <w:rFonts w:hint="eastAsia" w:ascii="Times New Roman" w:hAnsi="Times New Roman" w:eastAsia="仿宋_GB2312" w:cs="Times New Roman"/>
                <w:kern w:val="2"/>
                <w:sz w:val="21"/>
                <w:szCs w:val="21"/>
                <w:vertAlign w:val="superscript"/>
                <w:lang w:val="en-US" w:eastAsia="zh-CN" w:bidi="ar-SA"/>
              </w:rPr>
              <w:t>2</w:t>
            </w:r>
            <w:r>
              <w:rPr>
                <w:rFonts w:hint="eastAsia" w:ascii="Times New Roman" w:hAnsi="Times New Roman" w:eastAsia="仿宋_GB2312" w:cs="Times New Roman"/>
                <w:kern w:val="2"/>
                <w:sz w:val="21"/>
                <w:szCs w:val="21"/>
                <w:lang w:val="en-US" w:eastAsia="zh-CN" w:bidi="ar-SA"/>
              </w:rPr>
              <w:t>，表土剥离</w:t>
            </w:r>
            <w:r>
              <w:rPr>
                <w:rFonts w:ascii="Times New Roman" w:hAnsi="Times New Roman" w:eastAsia="仿宋_GB2312" w:cs="Times New Roman"/>
                <w:kern w:val="2"/>
                <w:sz w:val="21"/>
                <w:szCs w:val="21"/>
                <w:lang w:val="en-US" w:eastAsia="zh-CN" w:bidi="ar-SA"/>
              </w:rPr>
              <w:t>0.</w:t>
            </w:r>
            <w:r>
              <w:rPr>
                <w:rFonts w:hint="eastAsia" w:ascii="Times New Roman" w:hAnsi="Times New Roman" w:eastAsia="仿宋_GB2312" w:cs="Times New Roman"/>
                <w:kern w:val="2"/>
                <w:sz w:val="21"/>
                <w:szCs w:val="21"/>
                <w:lang w:val="en-US" w:eastAsia="zh-CN" w:bidi="ar-SA"/>
              </w:rPr>
              <w:t>40万m</w:t>
            </w:r>
            <w:r>
              <w:rPr>
                <w:rFonts w:hint="eastAsia" w:ascii="Times New Roman" w:hAnsi="Times New Roman" w:eastAsia="仿宋_GB2312" w:cs="Times New Roman"/>
                <w:kern w:val="2"/>
                <w:sz w:val="21"/>
                <w:szCs w:val="21"/>
                <w:vertAlign w:val="superscript"/>
                <w:lang w:val="en-US" w:eastAsia="zh-CN" w:bidi="ar-SA"/>
              </w:rPr>
              <w:t>3</w:t>
            </w:r>
            <w:r>
              <w:rPr>
                <w:rFonts w:hint="eastAsia" w:ascii="Times New Roman" w:hAnsi="Times New Roman" w:eastAsia="仿宋_GB2312" w:cs="Times New Roman"/>
                <w:kern w:val="2"/>
                <w:sz w:val="21"/>
                <w:szCs w:val="21"/>
                <w:lang w:val="en-US" w:eastAsia="zh-CN" w:bidi="ar-SA"/>
              </w:rPr>
              <w:t>，表土回覆0</w:t>
            </w:r>
            <w:r>
              <w:rPr>
                <w:rFonts w:ascii="Times New Roman" w:hAnsi="Times New Roman" w:eastAsia="仿宋_GB2312" w:cs="Times New Roman"/>
                <w:kern w:val="2"/>
                <w:sz w:val="21"/>
                <w:szCs w:val="21"/>
                <w:lang w:val="en-US" w:eastAsia="zh-CN" w:bidi="ar-SA"/>
              </w:rPr>
              <w:t>.</w:t>
            </w:r>
            <w:r>
              <w:rPr>
                <w:rFonts w:hint="eastAsia" w:ascii="Times New Roman" w:hAnsi="Times New Roman" w:eastAsia="仿宋_GB2312" w:cs="Times New Roman"/>
                <w:kern w:val="2"/>
                <w:sz w:val="21"/>
                <w:szCs w:val="21"/>
                <w:lang w:val="en-US" w:eastAsia="zh-CN" w:bidi="ar-SA"/>
              </w:rPr>
              <w:t>40万m</w:t>
            </w:r>
            <w:r>
              <w:rPr>
                <w:rFonts w:hint="eastAsia" w:ascii="Times New Roman" w:hAnsi="Times New Roman" w:eastAsia="仿宋_GB2312" w:cs="Times New Roman"/>
                <w:kern w:val="2"/>
                <w:sz w:val="21"/>
                <w:szCs w:val="21"/>
                <w:vertAlign w:val="superscript"/>
                <w:lang w:val="en-US" w:eastAsia="zh-CN" w:bidi="ar-SA"/>
              </w:rPr>
              <w:t>3</w:t>
            </w:r>
            <w:r>
              <w:rPr>
                <w:rFonts w:hint="eastAsia" w:ascii="Times New Roman" w:hAnsi="Times New Roman" w:eastAsia="仿宋_GB2312" w:cs="Times New Roman"/>
                <w:kern w:val="2"/>
                <w:sz w:val="21"/>
                <w:szCs w:val="21"/>
                <w:lang w:val="en-US" w:eastAsia="zh-CN" w:bidi="ar-SA"/>
              </w:rPr>
              <w:t>。</w:t>
            </w:r>
          </w:p>
        </w:tc>
        <w:tc>
          <w:tcPr>
            <w:tcW w:w="2214"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新增：植被恢复</w:t>
            </w:r>
            <w:r>
              <w:rPr>
                <w:rFonts w:ascii="Times New Roman" w:hAnsi="Times New Roman" w:eastAsia="仿宋_GB2312" w:cs="Times New Roman"/>
                <w:kern w:val="2"/>
                <w:sz w:val="21"/>
                <w:szCs w:val="21"/>
                <w:lang w:val="en-US" w:eastAsia="zh-CN" w:bidi="ar-SA"/>
              </w:rPr>
              <w:t>1.52</w:t>
            </w:r>
            <w:r>
              <w:rPr>
                <w:rFonts w:hint="eastAsia" w:ascii="Times New Roman" w:hAnsi="Times New Roman" w:eastAsia="仿宋_GB2312" w:cs="Times New Roman"/>
                <w:kern w:val="2"/>
                <w:sz w:val="21"/>
                <w:szCs w:val="21"/>
                <w:lang w:val="en-US" w:eastAsia="zh-CN" w:bidi="ar-SA"/>
              </w:rPr>
              <w:t>hm</w:t>
            </w:r>
            <w:r>
              <w:rPr>
                <w:rFonts w:hint="eastAsia" w:ascii="Times New Roman" w:hAnsi="Times New Roman" w:eastAsia="仿宋_GB2312" w:cs="Times New Roman"/>
                <w:kern w:val="2"/>
                <w:sz w:val="21"/>
                <w:szCs w:val="21"/>
                <w:vertAlign w:val="superscript"/>
                <w:lang w:val="en-US" w:eastAsia="zh-CN" w:bidi="ar-SA"/>
              </w:rPr>
              <w:t>2</w:t>
            </w:r>
            <w:r>
              <w:rPr>
                <w:rFonts w:hint="eastAsia" w:ascii="Times New Roman" w:hAnsi="Times New Roman" w:eastAsia="仿宋_GB2312" w:cs="Times New Roman"/>
                <w:kern w:val="2"/>
                <w:sz w:val="21"/>
                <w:szCs w:val="21"/>
                <w:lang w:val="en-US" w:eastAsia="zh-CN" w:bidi="ar-SA"/>
              </w:rPr>
              <w:t>。</w:t>
            </w:r>
          </w:p>
        </w:tc>
        <w:tc>
          <w:tcPr>
            <w:tcW w:w="2362"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新增：临时排水沟</w:t>
            </w:r>
            <w:r>
              <w:rPr>
                <w:rFonts w:ascii="Times New Roman" w:hAnsi="Times New Roman" w:eastAsia="仿宋_GB2312" w:cs="Times New Roman"/>
                <w:kern w:val="2"/>
                <w:sz w:val="21"/>
                <w:szCs w:val="21"/>
                <w:lang w:val="en-US" w:eastAsia="zh-CN" w:bidi="ar-SA"/>
              </w:rPr>
              <w:t>1150</w:t>
            </w:r>
            <w:r>
              <w:rPr>
                <w:rFonts w:hint="eastAsia" w:ascii="Times New Roman" w:hAnsi="Times New Roman" w:eastAsia="仿宋_GB2312" w:cs="Times New Roman"/>
                <w:kern w:val="2"/>
                <w:sz w:val="21"/>
                <w:szCs w:val="21"/>
                <w:lang w:val="en-US" w:eastAsia="zh-CN" w:bidi="ar-SA"/>
              </w:rPr>
              <w:t>m，临时沉沙池5座。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64" w:type="dxa"/>
            <w:vMerge w:val="continue"/>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p>
        </w:tc>
        <w:tc>
          <w:tcPr>
            <w:tcW w:w="2126" w:type="dxa"/>
            <w:gridSpan w:val="4"/>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新春加压站防治区</w:t>
            </w:r>
          </w:p>
        </w:tc>
        <w:tc>
          <w:tcPr>
            <w:tcW w:w="2748" w:type="dxa"/>
            <w:gridSpan w:val="2"/>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主体：雨水管网180m，雨水边沟240m；透水铺装1124m</w:t>
            </w:r>
            <w:r>
              <w:rPr>
                <w:rFonts w:hint="eastAsia" w:ascii="Times New Roman" w:hAnsi="Times New Roman" w:eastAsia="仿宋_GB2312" w:cs="Times New Roman"/>
                <w:sz w:val="21"/>
                <w:szCs w:val="21"/>
                <w:vertAlign w:val="superscript"/>
              </w:rPr>
              <w:t>2</w:t>
            </w:r>
            <w:r>
              <w:rPr>
                <w:rFonts w:hint="eastAsia" w:ascii="Times New Roman" w:hAnsi="Times New Roman" w:eastAsia="仿宋_GB2312" w:cs="Times New Roman"/>
                <w:sz w:val="21"/>
                <w:szCs w:val="21"/>
              </w:rPr>
              <w:t>，雨水花台60m</w:t>
            </w:r>
            <w:r>
              <w:rPr>
                <w:rFonts w:hint="eastAsia" w:ascii="Times New Roman" w:hAnsi="Times New Roman" w:eastAsia="仿宋_GB2312" w:cs="Times New Roman"/>
                <w:sz w:val="21"/>
                <w:szCs w:val="21"/>
                <w:vertAlign w:val="superscript"/>
              </w:rPr>
              <w:t>2</w:t>
            </w:r>
            <w:r>
              <w:rPr>
                <w:rFonts w:hint="eastAsia" w:ascii="Times New Roman" w:hAnsi="Times New Roman" w:eastAsia="仿宋_GB2312" w:cs="Times New Roman"/>
                <w:sz w:val="21"/>
                <w:szCs w:val="21"/>
              </w:rPr>
              <w:t>，表土剥离0.3</w:t>
            </w:r>
            <w:r>
              <w:rPr>
                <w:rFonts w:ascii="Times New Roman" w:hAnsi="Times New Roman" w:eastAsia="仿宋_GB2312" w:cs="Times New Roman"/>
                <w:sz w:val="21"/>
                <w:szCs w:val="21"/>
              </w:rPr>
              <w:t>3</w:t>
            </w:r>
            <w:r>
              <w:rPr>
                <w:rFonts w:hint="eastAsia" w:ascii="Times New Roman" w:hAnsi="Times New Roman" w:eastAsia="仿宋_GB2312" w:cs="Times New Roman"/>
                <w:sz w:val="21"/>
                <w:szCs w:val="21"/>
              </w:rPr>
              <w:t>万m</w:t>
            </w:r>
            <w:r>
              <w:rPr>
                <w:rFonts w:hint="eastAsia" w:ascii="Times New Roman" w:hAnsi="Times New Roman" w:eastAsia="仿宋_GB2312" w:cs="Times New Roman"/>
                <w:sz w:val="21"/>
                <w:szCs w:val="21"/>
                <w:vertAlign w:val="superscript"/>
              </w:rPr>
              <w:t>3</w:t>
            </w:r>
            <w:r>
              <w:rPr>
                <w:rFonts w:hint="eastAsia" w:ascii="Times New Roman" w:hAnsi="Times New Roman" w:eastAsia="仿宋_GB2312" w:cs="Times New Roman"/>
                <w:sz w:val="21"/>
                <w:szCs w:val="21"/>
              </w:rPr>
              <w:t>，表土回覆0.3</w:t>
            </w:r>
            <w:r>
              <w:rPr>
                <w:rFonts w:ascii="Times New Roman" w:hAnsi="Times New Roman" w:eastAsia="仿宋_GB2312" w:cs="Times New Roman"/>
                <w:sz w:val="21"/>
                <w:szCs w:val="21"/>
              </w:rPr>
              <w:t>3</w:t>
            </w:r>
            <w:r>
              <w:rPr>
                <w:rFonts w:hint="eastAsia" w:ascii="Times New Roman" w:hAnsi="Times New Roman" w:eastAsia="仿宋_GB2312" w:cs="Times New Roman"/>
                <w:sz w:val="21"/>
                <w:szCs w:val="21"/>
              </w:rPr>
              <w:t>万m</w:t>
            </w:r>
            <w:r>
              <w:rPr>
                <w:rFonts w:hint="eastAsia" w:ascii="Times New Roman" w:hAnsi="Times New Roman" w:eastAsia="仿宋_GB2312" w:cs="Times New Roman"/>
                <w:sz w:val="21"/>
                <w:szCs w:val="21"/>
                <w:vertAlign w:val="superscript"/>
              </w:rPr>
              <w:t>3</w:t>
            </w:r>
            <w:r>
              <w:rPr>
                <w:rFonts w:hint="eastAsia" w:ascii="Times New Roman" w:hAnsi="Times New Roman" w:eastAsia="仿宋_GB2312" w:cs="Times New Roman"/>
                <w:sz w:val="21"/>
                <w:szCs w:val="21"/>
              </w:rPr>
              <w:t>；</w:t>
            </w:r>
          </w:p>
          <w:p>
            <w:pPr>
              <w:keepNext w:val="0"/>
              <w:keepLines w:val="0"/>
              <w:suppressLineNumbers w:val="0"/>
              <w:spacing w:before="0" w:beforeAutospacing="0" w:after="0" w:afterAutospacing="0" w:line="240" w:lineRule="auto"/>
              <w:ind w:left="0" w:right="0" w:firstLine="0" w:firstLineChars="0"/>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新增：全面整地6700m</w:t>
            </w:r>
            <w:r>
              <w:rPr>
                <w:rFonts w:hint="eastAsia" w:ascii="Times New Roman" w:hAnsi="Times New Roman" w:eastAsia="仿宋_GB2312" w:cs="Times New Roman"/>
                <w:sz w:val="21"/>
                <w:szCs w:val="21"/>
                <w:vertAlign w:val="superscript"/>
              </w:rPr>
              <w:t>2</w:t>
            </w:r>
            <w:r>
              <w:rPr>
                <w:rFonts w:hint="eastAsia" w:ascii="Times New Roman" w:hAnsi="Times New Roman" w:eastAsia="仿宋_GB2312" w:cs="Times New Roman"/>
                <w:sz w:val="21"/>
                <w:szCs w:val="21"/>
              </w:rPr>
              <w:t>。</w:t>
            </w:r>
          </w:p>
        </w:tc>
        <w:tc>
          <w:tcPr>
            <w:tcW w:w="2214" w:type="dxa"/>
            <w:gridSpan w:val="2"/>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主体：景观绿化3844m</w:t>
            </w:r>
            <w:r>
              <w:rPr>
                <w:rFonts w:hint="eastAsia" w:ascii="Times New Roman" w:hAnsi="Times New Roman" w:eastAsia="仿宋_GB2312" w:cs="Times New Roman"/>
                <w:sz w:val="21"/>
                <w:szCs w:val="21"/>
                <w:vertAlign w:val="superscript"/>
              </w:rPr>
              <w:t>2</w:t>
            </w:r>
            <w:r>
              <w:rPr>
                <w:rFonts w:hint="eastAsia" w:ascii="Times New Roman" w:hAnsi="Times New Roman" w:eastAsia="仿宋_GB2312" w:cs="Times New Roman"/>
                <w:sz w:val="21"/>
                <w:szCs w:val="21"/>
              </w:rPr>
              <w:t>，植草护坡3316m</w:t>
            </w:r>
            <w:r>
              <w:rPr>
                <w:rFonts w:hint="eastAsia" w:ascii="Times New Roman" w:hAnsi="Times New Roman" w:eastAsia="仿宋_GB2312" w:cs="Times New Roman"/>
                <w:sz w:val="21"/>
                <w:szCs w:val="21"/>
                <w:vertAlign w:val="superscript"/>
              </w:rPr>
              <w:t>2</w:t>
            </w:r>
            <w:r>
              <w:rPr>
                <w:rFonts w:hint="eastAsia" w:ascii="Times New Roman" w:hAnsi="Times New Roman" w:eastAsia="仿宋_GB2312" w:cs="Times New Roman"/>
                <w:sz w:val="21"/>
                <w:szCs w:val="21"/>
              </w:rPr>
              <w:t>。</w:t>
            </w:r>
          </w:p>
        </w:tc>
        <w:tc>
          <w:tcPr>
            <w:tcW w:w="2362"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left"/>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新增：临时覆盖</w:t>
            </w:r>
            <w:r>
              <w:rPr>
                <w:rFonts w:ascii="Times New Roman" w:hAnsi="Times New Roman" w:eastAsia="仿宋_GB2312" w:cs="Times New Roman"/>
                <w:kern w:val="2"/>
                <w:sz w:val="21"/>
                <w:szCs w:val="21"/>
                <w:lang w:val="en-US" w:eastAsia="zh-CN" w:bidi="ar-SA"/>
              </w:rPr>
              <w:t>2</w:t>
            </w:r>
            <w:r>
              <w:rPr>
                <w:rFonts w:hint="eastAsia" w:ascii="Times New Roman" w:hAnsi="Times New Roman" w:eastAsia="仿宋_GB2312" w:cs="Times New Roman"/>
                <w:kern w:val="2"/>
                <w:sz w:val="21"/>
                <w:szCs w:val="21"/>
                <w:lang w:val="en-US" w:eastAsia="zh-CN" w:bidi="ar-SA"/>
              </w:rPr>
              <w:t>000m</w:t>
            </w:r>
            <w:r>
              <w:rPr>
                <w:rFonts w:hint="eastAsia" w:ascii="Times New Roman" w:hAnsi="Times New Roman" w:eastAsia="仿宋_GB2312" w:cs="Times New Roman"/>
                <w:kern w:val="2"/>
                <w:sz w:val="21"/>
                <w:szCs w:val="21"/>
                <w:vertAlign w:val="superscript"/>
                <w:lang w:val="en-US" w:eastAsia="zh-CN" w:bidi="ar-SA"/>
              </w:rPr>
              <w:t>2</w:t>
            </w:r>
            <w:r>
              <w:rPr>
                <w:rFonts w:hint="eastAsia" w:ascii="Times New Roman" w:hAnsi="Times New Roman" w:eastAsia="仿宋_GB2312" w:cs="Times New Roman"/>
                <w:kern w:val="2"/>
                <w:sz w:val="21"/>
                <w:szCs w:val="21"/>
                <w:lang w:val="en-US" w:eastAsia="zh-CN" w:bidi="ar-SA"/>
              </w:rPr>
              <w:t>，临时沉沙池2座，编织土袋拦挡94m。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64" w:type="dxa"/>
            <w:vMerge w:val="continue"/>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p>
        </w:tc>
        <w:tc>
          <w:tcPr>
            <w:tcW w:w="2126" w:type="dxa"/>
            <w:gridSpan w:val="4"/>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高压电线防治区</w:t>
            </w:r>
          </w:p>
        </w:tc>
        <w:tc>
          <w:tcPr>
            <w:tcW w:w="2748" w:type="dxa"/>
            <w:gridSpan w:val="2"/>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w:t>
            </w:r>
          </w:p>
        </w:tc>
        <w:tc>
          <w:tcPr>
            <w:tcW w:w="2214" w:type="dxa"/>
            <w:gridSpan w:val="2"/>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w:t>
            </w:r>
          </w:p>
        </w:tc>
        <w:tc>
          <w:tcPr>
            <w:tcW w:w="2362"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left"/>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新增：临时覆盖100m</w:t>
            </w:r>
            <w:r>
              <w:rPr>
                <w:rFonts w:hint="eastAsia" w:ascii="Times New Roman" w:hAnsi="Times New Roman" w:eastAsia="仿宋_GB2312" w:cs="Times New Roman"/>
                <w:kern w:val="2"/>
                <w:sz w:val="21"/>
                <w:szCs w:val="21"/>
                <w:vertAlign w:val="superscript"/>
                <w:lang w:val="en-US" w:eastAsia="zh-CN" w:bidi="ar-SA"/>
              </w:rPr>
              <w:t>2</w:t>
            </w:r>
            <w:r>
              <w:rPr>
                <w:rFonts w:hint="eastAsia" w:ascii="Times New Roman" w:hAnsi="Times New Roman" w:eastAsia="仿宋_GB2312" w:cs="Times New Roman"/>
                <w:kern w:val="2"/>
                <w:sz w:val="21"/>
                <w:szCs w:val="21"/>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790" w:type="dxa"/>
            <w:gridSpan w:val="5"/>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投资（万元）</w:t>
            </w:r>
          </w:p>
        </w:tc>
        <w:tc>
          <w:tcPr>
            <w:tcW w:w="2748"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449.44</w:t>
            </w:r>
            <w:r>
              <w:rPr>
                <w:rFonts w:hint="eastAsia" w:ascii="Times New Roman" w:hAnsi="Times New Roman" w:eastAsia="仿宋_GB2312" w:cs="Times New Roman"/>
                <w:kern w:val="2"/>
                <w:sz w:val="21"/>
                <w:szCs w:val="21"/>
                <w:lang w:val="en-US" w:eastAsia="zh-CN" w:bidi="ar-SA"/>
              </w:rPr>
              <w:t>（新增</w:t>
            </w:r>
            <w:r>
              <w:rPr>
                <w:rFonts w:ascii="Times New Roman" w:hAnsi="Times New Roman" w:eastAsia="仿宋_GB2312" w:cs="Times New Roman"/>
                <w:kern w:val="2"/>
                <w:sz w:val="21"/>
                <w:szCs w:val="21"/>
                <w:lang w:val="en-US" w:eastAsia="zh-CN" w:bidi="ar-SA"/>
              </w:rPr>
              <w:t>8.17</w:t>
            </w:r>
            <w:r>
              <w:rPr>
                <w:rFonts w:hint="eastAsia" w:ascii="Times New Roman" w:hAnsi="Times New Roman" w:eastAsia="仿宋_GB2312" w:cs="Times New Roman"/>
                <w:kern w:val="2"/>
                <w:sz w:val="21"/>
                <w:szCs w:val="21"/>
                <w:lang w:val="en-US" w:eastAsia="zh-CN" w:bidi="ar-SA"/>
              </w:rPr>
              <w:t>）</w:t>
            </w:r>
          </w:p>
        </w:tc>
        <w:tc>
          <w:tcPr>
            <w:tcW w:w="2214"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518.29</w:t>
            </w:r>
            <w:r>
              <w:rPr>
                <w:rFonts w:hint="eastAsia" w:ascii="Times New Roman" w:hAnsi="Times New Roman" w:eastAsia="仿宋_GB2312" w:cs="Times New Roman"/>
                <w:kern w:val="2"/>
                <w:sz w:val="21"/>
                <w:szCs w:val="21"/>
                <w:lang w:val="en-US" w:eastAsia="zh-CN" w:bidi="ar-SA"/>
              </w:rPr>
              <w:t>（新增</w:t>
            </w:r>
            <w:r>
              <w:rPr>
                <w:rFonts w:ascii="Times New Roman" w:hAnsi="Times New Roman" w:eastAsia="仿宋_GB2312" w:cs="Times New Roman"/>
                <w:kern w:val="2"/>
                <w:sz w:val="21"/>
                <w:szCs w:val="21"/>
                <w:lang w:val="en-US" w:eastAsia="zh-CN" w:bidi="ar-SA"/>
              </w:rPr>
              <w:t>18.96</w:t>
            </w:r>
            <w:r>
              <w:rPr>
                <w:rFonts w:hint="eastAsia" w:ascii="Times New Roman" w:hAnsi="Times New Roman" w:eastAsia="仿宋_GB2312" w:cs="Times New Roman"/>
                <w:kern w:val="2"/>
                <w:sz w:val="21"/>
                <w:szCs w:val="21"/>
                <w:lang w:val="en-US" w:eastAsia="zh-CN" w:bidi="ar-SA"/>
              </w:rPr>
              <w:t>）</w:t>
            </w:r>
          </w:p>
        </w:tc>
        <w:tc>
          <w:tcPr>
            <w:tcW w:w="2362"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52.08</w:t>
            </w:r>
            <w:r>
              <w:rPr>
                <w:rFonts w:hint="eastAsia" w:ascii="Times New Roman" w:hAnsi="Times New Roman" w:eastAsia="仿宋_GB2312" w:cs="Times New Roman"/>
                <w:kern w:val="2"/>
                <w:sz w:val="21"/>
                <w:szCs w:val="21"/>
                <w:lang w:val="en-US" w:eastAsia="zh-CN" w:bidi="ar-SA"/>
              </w:rPr>
              <w:t>（新增</w:t>
            </w:r>
            <w:r>
              <w:rPr>
                <w:rFonts w:ascii="Times New Roman" w:hAnsi="Times New Roman" w:eastAsia="仿宋_GB2312" w:cs="Times New Roman"/>
                <w:kern w:val="2"/>
                <w:sz w:val="21"/>
                <w:szCs w:val="21"/>
                <w:lang w:val="en-US" w:eastAsia="zh-CN" w:bidi="ar-SA"/>
              </w:rPr>
              <w:t>48.88</w:t>
            </w:r>
            <w:r>
              <w:rPr>
                <w:rFonts w:hint="eastAsia" w:ascii="Times New Roman" w:hAnsi="Times New Roman" w:eastAsia="仿宋_GB2312" w:cs="Times New Roman"/>
                <w:kern w:val="2"/>
                <w:sz w:val="21"/>
                <w:szCs w:val="21"/>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790" w:type="dxa"/>
            <w:gridSpan w:val="5"/>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水土保持总投资（万元）</w:t>
            </w:r>
          </w:p>
        </w:tc>
        <w:tc>
          <w:tcPr>
            <w:tcW w:w="3402"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1224.31</w:t>
            </w:r>
            <w:r>
              <w:rPr>
                <w:rFonts w:hint="eastAsia" w:ascii="Times New Roman" w:hAnsi="Times New Roman" w:eastAsia="仿宋_GB2312" w:cs="Times New Roman"/>
                <w:kern w:val="2"/>
                <w:sz w:val="21"/>
                <w:szCs w:val="21"/>
                <w:lang w:val="en-US" w:eastAsia="zh-CN" w:bidi="ar-SA"/>
              </w:rPr>
              <w:t>0（新增</w:t>
            </w:r>
            <w:r>
              <w:rPr>
                <w:rFonts w:ascii="Times New Roman" w:hAnsi="Times New Roman" w:eastAsia="仿宋_GB2312" w:cs="Times New Roman"/>
                <w:kern w:val="2"/>
                <w:sz w:val="21"/>
                <w:szCs w:val="21"/>
                <w:lang w:val="en-US" w:eastAsia="zh-CN" w:bidi="ar-SA"/>
              </w:rPr>
              <w:t>280.51</w:t>
            </w:r>
            <w:r>
              <w:rPr>
                <w:rFonts w:hint="eastAsia" w:ascii="Times New Roman" w:hAnsi="Times New Roman" w:eastAsia="仿宋_GB2312" w:cs="Times New Roman"/>
                <w:kern w:val="2"/>
                <w:sz w:val="21"/>
                <w:szCs w:val="21"/>
                <w:lang w:val="en-US" w:eastAsia="zh-CN" w:bidi="ar-SA"/>
              </w:rPr>
              <w:t>0）</w:t>
            </w:r>
          </w:p>
        </w:tc>
        <w:tc>
          <w:tcPr>
            <w:tcW w:w="2415"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独立费（万元）</w:t>
            </w:r>
          </w:p>
        </w:tc>
        <w:tc>
          <w:tcPr>
            <w:tcW w:w="150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65.43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975"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监理费（万元）</w:t>
            </w:r>
          </w:p>
        </w:tc>
        <w:tc>
          <w:tcPr>
            <w:tcW w:w="815"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5.50</w:t>
            </w:r>
          </w:p>
        </w:tc>
        <w:tc>
          <w:tcPr>
            <w:tcW w:w="1991"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监测费（万元）</w:t>
            </w:r>
          </w:p>
        </w:tc>
        <w:tc>
          <w:tcPr>
            <w:tcW w:w="1411"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52.66</w:t>
            </w:r>
          </w:p>
        </w:tc>
        <w:tc>
          <w:tcPr>
            <w:tcW w:w="2415"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补偿费（元）</w:t>
            </w:r>
          </w:p>
        </w:tc>
        <w:tc>
          <w:tcPr>
            <w:tcW w:w="150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74.76</w:t>
            </w:r>
            <w:r>
              <w:rPr>
                <w:rFonts w:hint="eastAsia" w:ascii="Times New Roman" w:hAnsi="Times New Roman" w:eastAsia="仿宋_GB2312" w:cs="Times New Roman"/>
                <w:kern w:val="2"/>
                <w:sz w:val="21"/>
                <w:szCs w:val="21"/>
                <w:lang w:val="en-US" w:eastAsia="zh-CN" w:bidi="ar-SA"/>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790" w:type="dxa"/>
            <w:gridSpan w:val="5"/>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分行政区补偿费（万元）</w:t>
            </w:r>
          </w:p>
        </w:tc>
        <w:tc>
          <w:tcPr>
            <w:tcW w:w="3402"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两江新区4</w:t>
            </w:r>
            <w:r>
              <w:rPr>
                <w:rFonts w:ascii="Times New Roman" w:hAnsi="Times New Roman" w:eastAsia="仿宋_GB2312" w:cs="Times New Roman"/>
                <w:kern w:val="2"/>
                <w:sz w:val="21"/>
                <w:szCs w:val="21"/>
                <w:lang w:val="en-US" w:eastAsia="zh-CN" w:bidi="ar-SA"/>
              </w:rPr>
              <w:t>9.3</w:t>
            </w:r>
            <w:r>
              <w:rPr>
                <w:rFonts w:hint="eastAsia" w:ascii="Times New Roman" w:hAnsi="Times New Roman" w:eastAsia="仿宋_GB2312" w:cs="Times New Roman"/>
                <w:kern w:val="2"/>
                <w:sz w:val="21"/>
                <w:szCs w:val="21"/>
                <w:lang w:val="en-US" w:eastAsia="zh-CN" w:bidi="ar-SA"/>
              </w:rPr>
              <w:t>36</w:t>
            </w:r>
          </w:p>
        </w:tc>
        <w:tc>
          <w:tcPr>
            <w:tcW w:w="3922"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渝北区2</w:t>
            </w:r>
            <w:r>
              <w:rPr>
                <w:rFonts w:ascii="Times New Roman" w:hAnsi="Times New Roman" w:eastAsia="仿宋_GB2312" w:cs="Times New Roman"/>
                <w:kern w:val="2"/>
                <w:sz w:val="21"/>
                <w:szCs w:val="21"/>
                <w:lang w:val="en-US" w:eastAsia="zh-CN" w:bidi="ar-SA"/>
              </w:rPr>
              <w:t>5.424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975"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方案编制单位</w:t>
            </w:r>
          </w:p>
        </w:tc>
        <w:tc>
          <w:tcPr>
            <w:tcW w:w="2806"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重庆港力环保股份有限公司</w:t>
            </w:r>
          </w:p>
        </w:tc>
        <w:tc>
          <w:tcPr>
            <w:tcW w:w="1411"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建设单位</w:t>
            </w:r>
          </w:p>
        </w:tc>
        <w:tc>
          <w:tcPr>
            <w:tcW w:w="3922" w:type="dxa"/>
            <w:gridSpan w:val="3"/>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sz w:val="21"/>
                <w:szCs w:val="21"/>
              </w:rPr>
            </w:pPr>
            <w:bookmarkStart w:id="1" w:name="_Hlk186035265"/>
            <w:r>
              <w:rPr>
                <w:rFonts w:hint="eastAsia" w:ascii="Times New Roman" w:hAnsi="Times New Roman" w:eastAsia="仿宋_GB2312" w:cs="Times New Roman"/>
                <w:sz w:val="21"/>
                <w:szCs w:val="21"/>
              </w:rPr>
              <w:t>重庆中法供水有限公司</w:t>
            </w:r>
            <w:bookmarkEnd w:id="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975"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法定代表人</w:t>
            </w:r>
          </w:p>
        </w:tc>
        <w:tc>
          <w:tcPr>
            <w:tcW w:w="2806"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况力</w:t>
            </w:r>
          </w:p>
        </w:tc>
        <w:tc>
          <w:tcPr>
            <w:tcW w:w="1411"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法定代表人</w:t>
            </w:r>
          </w:p>
        </w:tc>
        <w:tc>
          <w:tcPr>
            <w:tcW w:w="3922" w:type="dxa"/>
            <w:gridSpan w:val="3"/>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唐玉才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975"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地址</w:t>
            </w:r>
          </w:p>
        </w:tc>
        <w:tc>
          <w:tcPr>
            <w:tcW w:w="2806"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重庆市渝中区虎踞路88号1-6</w:t>
            </w:r>
          </w:p>
        </w:tc>
        <w:tc>
          <w:tcPr>
            <w:tcW w:w="1411"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地址</w:t>
            </w:r>
          </w:p>
        </w:tc>
        <w:tc>
          <w:tcPr>
            <w:tcW w:w="3922" w:type="dxa"/>
            <w:gridSpan w:val="3"/>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重庆市北部新区人和镇高新园区内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975"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邮编</w:t>
            </w:r>
          </w:p>
        </w:tc>
        <w:tc>
          <w:tcPr>
            <w:tcW w:w="2806"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400010</w:t>
            </w:r>
          </w:p>
        </w:tc>
        <w:tc>
          <w:tcPr>
            <w:tcW w:w="1411"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邮编</w:t>
            </w:r>
          </w:p>
        </w:tc>
        <w:tc>
          <w:tcPr>
            <w:tcW w:w="3922" w:type="dxa"/>
            <w:gridSpan w:val="3"/>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401120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975"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联系人及电话</w:t>
            </w:r>
          </w:p>
        </w:tc>
        <w:tc>
          <w:tcPr>
            <w:tcW w:w="2806"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孙祖峰/</w:t>
            </w:r>
            <w:r>
              <w:rPr>
                <w:rFonts w:ascii="Times New Roman" w:hAnsi="Times New Roman" w:eastAsia="仿宋_GB2312" w:cs="Times New Roman"/>
                <w:kern w:val="2"/>
                <w:sz w:val="21"/>
                <w:szCs w:val="21"/>
                <w:lang w:val="en-US" w:eastAsia="zh-CN" w:bidi="ar-SA"/>
              </w:rPr>
              <w:t>18</w:t>
            </w:r>
            <w:r>
              <w:rPr>
                <w:rFonts w:hint="eastAsia" w:eastAsia="仿宋_GB2312" w:cs="Times New Roman"/>
                <w:kern w:val="2"/>
                <w:sz w:val="21"/>
                <w:szCs w:val="21"/>
                <w:lang w:val="en-US" w:eastAsia="zh-CN" w:bidi="ar-SA"/>
              </w:rPr>
              <w:t>***</w:t>
            </w:r>
            <w:r>
              <w:rPr>
                <w:rFonts w:ascii="Times New Roman" w:hAnsi="Times New Roman" w:eastAsia="仿宋_GB2312" w:cs="Times New Roman"/>
                <w:kern w:val="2"/>
                <w:sz w:val="21"/>
                <w:szCs w:val="21"/>
                <w:lang w:val="en-US" w:eastAsia="zh-CN" w:bidi="ar-SA"/>
              </w:rPr>
              <w:t>63</w:t>
            </w:r>
          </w:p>
        </w:tc>
        <w:tc>
          <w:tcPr>
            <w:tcW w:w="1411"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联系人及电话</w:t>
            </w:r>
          </w:p>
        </w:tc>
        <w:tc>
          <w:tcPr>
            <w:tcW w:w="3922" w:type="dxa"/>
            <w:gridSpan w:val="3"/>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匡远财/13</w:t>
            </w:r>
            <w:r>
              <w:rPr>
                <w:rFonts w:hint="eastAsia" w:eastAsia="仿宋_GB2312" w:cs="Times New Roman"/>
                <w:sz w:val="21"/>
                <w:szCs w:val="21"/>
                <w:lang w:val="en-US" w:eastAsia="zh-CN"/>
              </w:rPr>
              <w:t>***</w:t>
            </w:r>
            <w:r>
              <w:rPr>
                <w:rFonts w:hint="eastAsia" w:ascii="Times New Roman" w:hAnsi="Times New Roman" w:eastAsia="仿宋_GB2312" w:cs="Times New Roman"/>
                <w:sz w:val="21"/>
                <w:szCs w:val="21"/>
              </w:rPr>
              <w:t>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975"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电子信箱</w:t>
            </w:r>
          </w:p>
        </w:tc>
        <w:tc>
          <w:tcPr>
            <w:tcW w:w="2806"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3</w:t>
            </w:r>
            <w:r>
              <w:rPr>
                <w:rFonts w:hint="eastAsia" w:eastAsia="仿宋_GB2312" w:cs="Times New Roman"/>
                <w:kern w:val="2"/>
                <w:sz w:val="21"/>
                <w:szCs w:val="21"/>
                <w:lang w:val="en-US" w:eastAsia="zh-CN" w:bidi="ar-SA"/>
              </w:rPr>
              <w:t>***</w:t>
            </w:r>
            <w:r>
              <w:rPr>
                <w:rFonts w:ascii="Times New Roman" w:hAnsi="Times New Roman" w:eastAsia="仿宋_GB2312" w:cs="Times New Roman"/>
                <w:kern w:val="2"/>
                <w:sz w:val="21"/>
                <w:szCs w:val="21"/>
                <w:lang w:val="en-US" w:eastAsia="zh-CN" w:bidi="ar-SA"/>
              </w:rPr>
              <w:t>3</w:t>
            </w:r>
            <w:r>
              <w:rPr>
                <w:rFonts w:hint="eastAsia" w:ascii="Times New Roman" w:hAnsi="Times New Roman" w:eastAsia="仿宋_GB2312" w:cs="Times New Roman"/>
                <w:kern w:val="2"/>
                <w:sz w:val="21"/>
                <w:szCs w:val="21"/>
                <w:lang w:val="en-US" w:eastAsia="zh-CN" w:bidi="ar-SA"/>
              </w:rPr>
              <w:t>@qq.com</w:t>
            </w:r>
          </w:p>
        </w:tc>
        <w:tc>
          <w:tcPr>
            <w:tcW w:w="1411"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电子信箱</w:t>
            </w:r>
          </w:p>
        </w:tc>
        <w:tc>
          <w:tcPr>
            <w:tcW w:w="3922"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975"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社会信用代码</w:t>
            </w:r>
          </w:p>
        </w:tc>
        <w:tc>
          <w:tcPr>
            <w:tcW w:w="2806"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915001076635719127</w:t>
            </w:r>
          </w:p>
        </w:tc>
        <w:tc>
          <w:tcPr>
            <w:tcW w:w="1411"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社会信用代码</w:t>
            </w:r>
          </w:p>
        </w:tc>
        <w:tc>
          <w:tcPr>
            <w:tcW w:w="3922"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91500000621914032Q</w:t>
            </w:r>
          </w:p>
        </w:tc>
      </w:tr>
    </w:tbl>
    <w:p>
      <w:pPr>
        <w:rPr>
          <w:rFonts w:ascii="Times New Roman" w:hAnsi="Times New Roman" w:eastAsia="方正黑体_GBK" w:cs="Times New Roman"/>
          <w:color w:val="FF0000"/>
          <w:sz w:val="32"/>
          <w:szCs w:val="32"/>
        </w:rPr>
      </w:pPr>
      <w:r>
        <w:rPr>
          <w:rFonts w:ascii="Times New Roman" w:hAnsi="Times New Roman" w:eastAsia="方正黑体_GBK" w:cs="Times New Roman"/>
          <w:color w:val="FF0000"/>
          <w:sz w:val="32"/>
          <w:szCs w:val="32"/>
        </w:rPr>
        <w:br w:type="page"/>
      </w:r>
    </w:p>
    <w:p>
      <w:pPr>
        <w:spacing w:line="594" w:lineRule="exact"/>
        <w:rPr>
          <w:rFonts w:hint="eastAsia" w:ascii="Times New Roman" w:hAnsi="Times New Roman" w:eastAsia="方正黑体_GBK" w:cs="Times New Roman"/>
          <w:color w:val="auto"/>
          <w:sz w:val="32"/>
          <w:szCs w:val="32"/>
          <w:lang w:val="en-US" w:eastAsia="zh-CN"/>
        </w:rPr>
      </w:pPr>
      <w:r>
        <w:rPr>
          <w:rFonts w:ascii="Times New Roman" w:hAnsi="Times New Roman" w:eastAsia="方正黑体_GBK" w:cs="Times New Roman"/>
          <w:color w:val="auto"/>
          <w:sz w:val="32"/>
          <w:szCs w:val="32"/>
        </w:rPr>
        <w:t>附件</w:t>
      </w:r>
      <w:r>
        <w:rPr>
          <w:rFonts w:hint="eastAsia" w:eastAsia="方正黑体_GBK" w:cs="Times New Roman"/>
          <w:color w:val="auto"/>
          <w:sz w:val="32"/>
          <w:szCs w:val="32"/>
          <w:lang w:val="en-US" w:eastAsia="zh-CN"/>
        </w:rPr>
        <w:t>2</w:t>
      </w:r>
    </w:p>
    <w:p>
      <w:pPr>
        <w:snapToGrid w:val="0"/>
        <w:spacing w:line="594" w:lineRule="exact"/>
        <w:jc w:val="center"/>
        <w:rPr>
          <w:rFonts w:ascii="Times New Roman" w:hAnsi="Times New Roman" w:eastAsia="方正小标宋_GBK" w:cs="Times New Roman"/>
          <w:color w:val="auto"/>
          <w:sz w:val="44"/>
          <w:szCs w:val="44"/>
        </w:rPr>
      </w:pPr>
      <w:r>
        <w:rPr>
          <w:rFonts w:hint="eastAsia" w:ascii="Times New Roman" w:hAnsi="Times New Roman" w:eastAsia="方正小标宋_GBK" w:cs="Times New Roman"/>
          <w:bCs/>
          <w:color w:val="auto"/>
          <w:sz w:val="44"/>
          <w:szCs w:val="44"/>
          <w:lang w:eastAsia="zh-CN"/>
        </w:rPr>
        <w:t>悦来水厂四期扩建工程</w:t>
      </w:r>
      <w:r>
        <w:rPr>
          <w:rFonts w:ascii="Times New Roman" w:hAnsi="Times New Roman" w:eastAsia="方正小标宋_GBK" w:cs="Times New Roman"/>
          <w:color w:val="auto"/>
          <w:sz w:val="44"/>
          <w:szCs w:val="44"/>
        </w:rPr>
        <w:t>水土保持方案</w:t>
      </w:r>
    </w:p>
    <w:p>
      <w:pPr>
        <w:snapToGrid w:val="0"/>
        <w:spacing w:line="594" w:lineRule="exact"/>
        <w:jc w:val="center"/>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报告书专家评审意见</w:t>
      </w:r>
    </w:p>
    <w:p>
      <w:pPr>
        <w:snapToGrid w:val="0"/>
        <w:spacing w:line="594" w:lineRule="exact"/>
        <w:ind w:firstLine="640" w:firstLineChars="200"/>
        <w:rPr>
          <w:rFonts w:hint="eastAsia" w:ascii="Times New Roman" w:hAnsi="Times New Roman" w:eastAsia="方正仿宋_GBK" w:cs="Times New Roman"/>
          <w:color w:val="auto"/>
          <w:sz w:val="32"/>
          <w:szCs w:val="32"/>
        </w:rPr>
      </w:pP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2024年</w:t>
      </w:r>
      <w:r>
        <w:rPr>
          <w:rFonts w:hint="eastAsia"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30</w:t>
      </w:r>
      <w:r>
        <w:rPr>
          <w:rFonts w:hint="eastAsia" w:ascii="Times New Roman" w:hAnsi="Times New Roman" w:eastAsia="方正仿宋_GBK" w:cs="Times New Roman"/>
          <w:color w:val="auto"/>
          <w:sz w:val="32"/>
          <w:szCs w:val="32"/>
        </w:rPr>
        <w:t>日，重庆市水利局组织召开了《</w:t>
      </w:r>
      <w:r>
        <w:rPr>
          <w:rFonts w:hint="eastAsia" w:ascii="Times New Roman" w:hAnsi="Times New Roman" w:eastAsia="方正仿宋_GBK" w:cs="Times New Roman"/>
          <w:color w:val="auto"/>
          <w:sz w:val="32"/>
          <w:szCs w:val="32"/>
          <w:lang w:eastAsia="zh-CN"/>
        </w:rPr>
        <w:t>悦来水厂四期扩建工程</w:t>
      </w:r>
      <w:r>
        <w:rPr>
          <w:rFonts w:hint="eastAsia" w:ascii="Times New Roman" w:hAnsi="Times New Roman" w:eastAsia="方正仿宋_GBK" w:cs="Times New Roman"/>
          <w:color w:val="auto"/>
          <w:sz w:val="32"/>
          <w:szCs w:val="32"/>
        </w:rPr>
        <w:t>水土保持方案报告书》（以下简称《水保方案》）专家评审会</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两江新区城市管理局、渝北区水利局、重庆中法供水有限公司（以下简称项目法人）、重庆港力环保股份有限公司（以下简称报告编制单位）的代表及特邀专家参加了会议。会议成立了专家组，专家组成员会前详细审阅了《水保方案》，与会人员会上认真听取了报告编制单位的汇报，进行了深入讨论。根据“办水保〔2023〕177号”和“渝水〔2018〕267号”，专家组对《水保方案》进行了质量评分，质量评定等级合格。报告编制单位会后对《水保方案》进行了修改补充，202</w:t>
      </w:r>
      <w:r>
        <w:rPr>
          <w:rFonts w:hint="eastAsia" w:ascii="Times New Roman" w:hAnsi="Times New Roman"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17</w:t>
      </w:r>
      <w:r>
        <w:rPr>
          <w:rFonts w:hint="eastAsia" w:ascii="Times New Roman" w:hAnsi="Times New Roman" w:eastAsia="方正仿宋_GBK" w:cs="Times New Roman"/>
          <w:color w:val="auto"/>
          <w:sz w:val="32"/>
          <w:szCs w:val="32"/>
        </w:rPr>
        <w:t>日，项目法人提交了修改完善后的《水保方案》。经专家组复核，形成专家评审意见如下</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一、综合说明</w:t>
      </w:r>
    </w:p>
    <w:p>
      <w:pPr>
        <w:pageBreakBefore w:val="0"/>
        <w:kinsoku/>
        <w:wordWrap/>
        <w:overflowPunct/>
        <w:topLinePunct w:val="0"/>
        <w:autoSpaceDE/>
        <w:autoSpaceDN/>
        <w:bidi w:val="0"/>
        <w:snapToGrid w:val="0"/>
        <w:spacing w:line="594" w:lineRule="exact"/>
        <w:ind w:firstLine="640" w:firstLineChars="200"/>
        <w:rPr>
          <w:rFonts w:hint="eastAsia" w:ascii="Times New Roman" w:hAnsi="Times New Roman" w:eastAsia="方正仿宋_GBK" w:cs="方正仿宋_GBK"/>
          <w:color w:val="000000"/>
          <w:spacing w:val="0"/>
          <w:w w:val="100"/>
          <w:kern w:val="0"/>
          <w:sz w:val="32"/>
          <w:szCs w:val="32"/>
        </w:rPr>
      </w:pPr>
      <w:r>
        <w:rPr>
          <w:rFonts w:hint="eastAsia" w:ascii="Times New Roman" w:hAnsi="Times New Roman" w:eastAsia="方正仿宋_GBK" w:cs="方正仿宋_GBK"/>
          <w:color w:val="000000"/>
          <w:spacing w:val="0"/>
          <w:w w:val="100"/>
          <w:kern w:val="0"/>
          <w:sz w:val="32"/>
          <w:szCs w:val="32"/>
          <w:lang w:eastAsia="zh-CN"/>
        </w:rPr>
        <w:t>（一）</w:t>
      </w:r>
      <w:r>
        <w:rPr>
          <w:rFonts w:hint="eastAsia" w:ascii="Times New Roman" w:hAnsi="Times New Roman" w:eastAsia="方正仿宋_GBK" w:cs="方正仿宋_GBK"/>
          <w:color w:val="000000"/>
          <w:spacing w:val="0"/>
          <w:w w:val="100"/>
          <w:kern w:val="0"/>
          <w:sz w:val="32"/>
          <w:szCs w:val="32"/>
        </w:rPr>
        <w:t>方案编制依据的法律法规、部委规章、规范性文件、规范标准和技术文件及资料采用基本正确。</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（二）同意方案设计水平年为2026年。</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（三）同意水土流失防治责任范围界定，水土流失防治责任范围面积为53.40hm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两江新区35.24hm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，渝北区18.16hm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（四）同意项目水土流失防治标准等级执行西南紫色土区建设类一级标准。</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（五）同意水土流失防治目标。其中：水土流失治理度97%，土壤流失控制比1.0，渣土防护率94%，表土保护率92%，林草植被恢复率97%，林草覆盖率27%</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二、项目概况</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项目概况阐述基本清楚。悦来水厂四期扩建工程位于两江新区和渝北区境内</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建设内容包括四期水厂、管网工程、新春加压站、鹿山加压站、配套高压电线工程等。四期水厂设计规模为40万m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/d；新春加压站设计规模为20万m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/d；鹿山站现状规模20万m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/d，本次拟增加一台泵，不涉及土建；新建管网工程长度为36.6km；配套高压电线工程长度为8439m。根据建设需要，项目布设施工便道1.67hm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/3365m，施工生产生活区0.74hm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/1处；表土堆放场1.58hm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/2处。</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项目占地53.40hm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永久占地8.27hm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，临时占地45.13hm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。项目挖方104.67万m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（含表土剥离6.37万m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），填方41.43万m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（含表土回覆6.37万m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），无借方，余方63.24万m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。余方中，40万m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运至协议的银翔城天誉学府G组团项目回填利用，剩余23.24万m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lang w:eastAsia="zh-CN"/>
        </w:rPr>
        <w:t>项目法人</w:t>
      </w:r>
      <w:r>
        <w:rPr>
          <w:rFonts w:hint="eastAsia" w:ascii="Times New Roman" w:hAnsi="Times New Roman" w:eastAsia="方正仿宋_GBK" w:cs="Times New Roman"/>
          <w:color w:val="auto"/>
          <w:sz w:val="32"/>
          <w:szCs w:val="32"/>
        </w:rPr>
        <w:t>承诺根据项目实施进度运至依法合规场所消纳处置，本项目不设置弃渣场。项目已于2024年8月开工，计划2025年12月完工，工期17个月。项目总投资129138万元，其中土建投资96107亿元。</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（二）拆迁安置与专项设施改（迁）建阐述较清楚。</w:t>
      </w:r>
    </w:p>
    <w:p>
      <w:pPr>
        <w:snapToGrid w:val="0"/>
        <w:spacing w:line="594" w:lineRule="exact"/>
        <w:ind w:firstLine="640" w:firstLineChars="200"/>
        <w:rPr>
          <w:rFonts w:ascii="Times New Roman" w:hAnsi="Times New Roman" w:eastAsia="方正仿宋_GBK" w:cs="Times New Roman"/>
          <w:bCs/>
          <w:color w:val="auto"/>
          <w:sz w:val="32"/>
          <w:szCs w:val="32"/>
        </w:rPr>
      </w:pPr>
      <w:r>
        <w:rPr>
          <w:rFonts w:hint="eastAsia" w:ascii="Times New Roman" w:hAnsi="Times New Roman" w:eastAsia="方正仿宋_GBK" w:cs="Times New Roman"/>
          <w:color w:val="auto"/>
          <w:sz w:val="32"/>
          <w:szCs w:val="32"/>
        </w:rPr>
        <w:t>（三）项目区自然概况阐述较为清楚</w:t>
      </w:r>
      <w:r>
        <w:rPr>
          <w:rFonts w:ascii="Times New Roman" w:hAnsi="Times New Roman" w:eastAsia="方正仿宋_GBK" w:cs="Times New Roman"/>
          <w:bCs/>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三、项目水土保持评价</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基本同意主体工程选址（线）的水土保持评价。工程选址涉及三峡库区国家级水土流失重点治理区，</w:t>
      </w:r>
      <w:r>
        <w:rPr>
          <w:rFonts w:hint="eastAsia" w:ascii="Times New Roman" w:hAnsi="Times New Roman" w:eastAsia="方正仿宋_GBK" w:cs="Times New Roman"/>
          <w:color w:val="auto"/>
          <w:sz w:val="32"/>
          <w:szCs w:val="32"/>
          <w:lang w:eastAsia="zh-CN"/>
        </w:rPr>
        <w:t>且无法避让，水土保持方案</w:t>
      </w:r>
      <w:r>
        <w:rPr>
          <w:rFonts w:hint="eastAsia" w:ascii="Times New Roman" w:hAnsi="Times New Roman" w:eastAsia="方正仿宋_GBK" w:cs="Times New Roman"/>
          <w:color w:val="auto"/>
          <w:sz w:val="32"/>
          <w:szCs w:val="32"/>
        </w:rPr>
        <w:t>已执行水土流失防治</w:t>
      </w:r>
      <w:r>
        <w:rPr>
          <w:rFonts w:hint="eastAsia" w:ascii="Times New Roman" w:hAnsi="Times New Roman" w:eastAsia="方正仿宋_GBK" w:cs="Times New Roman"/>
          <w:color w:val="auto"/>
          <w:sz w:val="32"/>
          <w:szCs w:val="32"/>
          <w:lang w:eastAsia="zh-CN"/>
        </w:rPr>
        <w:t>最高标准（</w:t>
      </w:r>
      <w:r>
        <w:rPr>
          <w:rFonts w:hint="eastAsia" w:ascii="Times New Roman" w:hAnsi="Times New Roman" w:eastAsia="方正仿宋_GBK" w:cs="Times New Roman"/>
          <w:color w:val="auto"/>
          <w:sz w:val="32"/>
          <w:szCs w:val="32"/>
        </w:rPr>
        <w:t>一级标准</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，符合法律法规要求。</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（二）基本同意建设方案与布局水土保持评价。</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（三）基本同意主体工程设计中水土保持措施界定</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四、水土流失分析与预测</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基本同意对项目水土流失现状及影响分析。</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（二）基本同意工程扰动地表面积为53.40hm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（三）基本同意水土流失量预测方法及成果。工程建设可能造成的水土流失总量为2790t，其中新增土壤流失量2620t。</w:t>
      </w:r>
    </w:p>
    <w:p>
      <w:pPr>
        <w:snapToGrid w:val="0"/>
        <w:spacing w:line="594" w:lineRule="exact"/>
        <w:ind w:firstLine="640" w:firstLineChars="200"/>
        <w:rPr>
          <w:rFonts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rPr>
        <w:t>（四）基本同意水土流失的危害性分析</w:t>
      </w:r>
      <w:r>
        <w:rPr>
          <w:rFonts w:hint="eastAsia" w:ascii="Times New Roman" w:hAnsi="Times New Roman" w:eastAsia="方正仿宋_GBK" w:cs="Times New Roman"/>
          <w:color w:val="auto"/>
          <w:sz w:val="32"/>
          <w:szCs w:val="32"/>
          <w:lang w:val="en-US" w:eastAsia="zh-CN"/>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五、水土保持措施</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（一）</w:t>
      </w:r>
      <w:r>
        <w:rPr>
          <w:rFonts w:hint="eastAsia" w:ascii="Times New Roman" w:hAnsi="Times New Roman" w:eastAsia="方正仿宋_GBK" w:cs="Times New Roman"/>
          <w:bCs/>
          <w:color w:val="auto"/>
          <w:sz w:val="32"/>
          <w:szCs w:val="32"/>
        </w:rPr>
        <w:t>基本同意项目</w:t>
      </w:r>
      <w:r>
        <w:rPr>
          <w:rFonts w:hint="eastAsia" w:ascii="Times New Roman" w:hAnsi="Times New Roman" w:eastAsia="方正仿宋_GBK" w:cs="Times New Roman"/>
          <w:bCs/>
          <w:color w:val="auto"/>
          <w:sz w:val="32"/>
          <w:szCs w:val="32"/>
          <w:lang w:eastAsia="zh-CN"/>
        </w:rPr>
        <w:t>水土流失防治分区</w:t>
      </w:r>
      <w:r>
        <w:rPr>
          <w:rFonts w:hint="eastAsia" w:ascii="Times New Roman" w:hAnsi="Times New Roman" w:eastAsia="方正仿宋_GBK" w:cs="Times New Roman"/>
          <w:bCs/>
          <w:color w:val="auto"/>
          <w:sz w:val="32"/>
          <w:szCs w:val="32"/>
        </w:rPr>
        <w:t>划分</w:t>
      </w:r>
      <w:r>
        <w:rPr>
          <w:rFonts w:hint="eastAsia" w:ascii="Times New Roman" w:hAnsi="Times New Roman" w:eastAsia="方正仿宋_GBK" w:cs="Times New Roman"/>
          <w:bCs/>
          <w:color w:val="auto"/>
          <w:sz w:val="32"/>
          <w:szCs w:val="32"/>
          <w:lang w:eastAsia="zh-CN"/>
        </w:rPr>
        <w:t>为</w:t>
      </w:r>
      <w:r>
        <w:rPr>
          <w:rFonts w:hint="eastAsia" w:ascii="Times New Roman" w:hAnsi="Times New Roman" w:eastAsia="方正仿宋_GBK" w:cs="Times New Roman"/>
          <w:bCs/>
          <w:color w:val="auto"/>
          <w:sz w:val="32"/>
          <w:szCs w:val="32"/>
        </w:rPr>
        <w:t>四期水厂、管网工程、新春加压站、高压电线、施工便道、施工生产生活区、表土堆放场等7个一级防治区，其中管网工程防治区划分</w:t>
      </w:r>
      <w:r>
        <w:rPr>
          <w:rFonts w:hint="eastAsia" w:ascii="Times New Roman" w:hAnsi="Times New Roman" w:eastAsia="方正仿宋_GBK" w:cs="Times New Roman"/>
          <w:bCs/>
          <w:color w:val="auto"/>
          <w:sz w:val="32"/>
          <w:szCs w:val="32"/>
          <w:lang w:eastAsia="zh-CN"/>
        </w:rPr>
        <w:t>为</w:t>
      </w:r>
      <w:r>
        <w:rPr>
          <w:rFonts w:hint="eastAsia" w:ascii="Times New Roman" w:hAnsi="Times New Roman" w:eastAsia="方正仿宋_GBK" w:cs="Times New Roman"/>
          <w:bCs/>
          <w:color w:val="auto"/>
          <w:sz w:val="32"/>
          <w:szCs w:val="32"/>
        </w:rPr>
        <w:t>管道作业带和穿越工程等2个二级</w:t>
      </w:r>
      <w:r>
        <w:rPr>
          <w:rFonts w:hint="eastAsia" w:ascii="Times New Roman" w:hAnsi="Times New Roman" w:eastAsia="方正仿宋_GBK" w:cs="Times New Roman"/>
          <w:bCs/>
          <w:color w:val="auto"/>
          <w:sz w:val="32"/>
          <w:szCs w:val="32"/>
          <w:lang w:eastAsia="zh-CN"/>
        </w:rPr>
        <w:t>防治区</w:t>
      </w:r>
      <w:r>
        <w:rPr>
          <w:rFonts w:hint="eastAsia" w:ascii="Times New Roman" w:hAnsi="Times New Roman" w:eastAsia="方正仿宋_GBK" w:cs="Times New Roman"/>
          <w:bCs/>
          <w:color w:val="auto"/>
          <w:sz w:val="32"/>
          <w:szCs w:val="32"/>
        </w:rPr>
        <w:t>。</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（二）基本同意由主体工程设计的水土保持措施和方案新增的水土保持措施所组成的水土流失防治措施体系。</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（三）基本同意各防治区防治措施布局、方案新增水土保持措施典型设计。</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1.四期水厂防治区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目前，该区已动工。在场地西侧出入口实施了车辆清洗站1座，对施工扰动范围</w:t>
      </w:r>
      <w:r>
        <w:rPr>
          <w:rFonts w:hint="eastAsia" w:ascii="Times New Roman" w:hAnsi="Times New Roman" w:eastAsia="方正仿宋_GBK" w:cs="Times New Roman"/>
          <w:bCs/>
          <w:color w:val="auto"/>
          <w:sz w:val="32"/>
          <w:szCs w:val="32"/>
          <w:lang w:eastAsia="zh-CN"/>
        </w:rPr>
        <w:t>进行</w:t>
      </w:r>
      <w:r>
        <w:rPr>
          <w:rFonts w:hint="eastAsia" w:ascii="Times New Roman" w:hAnsi="Times New Roman" w:eastAsia="方正仿宋_GBK" w:cs="Times New Roman"/>
          <w:bCs/>
          <w:color w:val="auto"/>
          <w:sz w:val="32"/>
          <w:szCs w:val="32"/>
        </w:rPr>
        <w:t>了表土剥离，剥离表土集中堆放于厂区北侧的表土堆放场；地块右侧边坡已成形，边坡顶部已实施截水沟，坡面实施了植草护坡防护。后续施工中，根据该区排水需要，按照“永临结合”原则，在厂区永久排水边沟位置开挖临时排水沟，排水沟出口处设置临时沉</w:t>
      </w:r>
      <w:r>
        <w:rPr>
          <w:rFonts w:hint="eastAsia" w:ascii="Times New Roman" w:hAnsi="Times New Roman" w:eastAsia="方正仿宋_GBK" w:cs="Times New Roman"/>
          <w:bCs/>
          <w:color w:val="auto"/>
          <w:sz w:val="32"/>
          <w:szCs w:val="32"/>
          <w:lang w:eastAsia="zh-CN"/>
        </w:rPr>
        <w:t>沙</w:t>
      </w:r>
      <w:r>
        <w:rPr>
          <w:rFonts w:hint="eastAsia" w:ascii="Times New Roman" w:hAnsi="Times New Roman" w:eastAsia="方正仿宋_GBK" w:cs="Times New Roman"/>
          <w:bCs/>
          <w:color w:val="auto"/>
          <w:sz w:val="32"/>
          <w:szCs w:val="32"/>
        </w:rPr>
        <w:t>池，并顺接市政管网</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对施工裸露区、临时堆土等采用彩条布临时覆盖</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在厂区填方边坡坡脚布设编织土袋拦挡措施</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地块边坡坡脚布设排水沟，并顺接市政管网。施工末期，对该区实施雨水管网、透水铺装、土地整治及景观绿化措施。</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2.管网工程防治区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（1）管道作业带</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平地段：施工中，对施工裸露区、临时堆土点等采用彩条布临时覆盖。施工末期，对该区实施场地清理措施。</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顺坡段：施工前，对该区施工扰动范围进行表土剥离，剥离表土就近择地堆放，并做好表土保护措施。施工中，对施工裸露区、临时堆土等采用彩条布临时覆盖。施工末期，实施该区土地整治及植被恢复措施。</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横坡段：施工前，对该区施工扰动范围进行表土剥离，剥离表土就近择地堆放，并做好表土保护措施。施工中，对施工裸露区、临时堆土等采用彩条布临时覆盖</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对填方边坡坡脚采用编织土袋临时拦挡</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根据管道上边坡汇水情况增设截排水沟，并顺接下游水系。施工末期，实施该区土地整治及植被恢复措施。</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（2）穿越工程</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施工中，对施工裸露区、临时堆土等采用彩条布临时覆盖和编织土袋临时拦挡。施工末期，对该区实施土地整治及植被恢复措施。</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3.新春加压站防治区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目前，该区已动工。在场地东侧出入口实施了车辆清洗站1座，对施工扰动范围</w:t>
      </w:r>
      <w:r>
        <w:rPr>
          <w:rFonts w:hint="eastAsia" w:ascii="Times New Roman" w:hAnsi="Times New Roman" w:eastAsia="方正仿宋_GBK" w:cs="Times New Roman"/>
          <w:bCs/>
          <w:color w:val="auto"/>
          <w:sz w:val="32"/>
          <w:szCs w:val="32"/>
          <w:lang w:eastAsia="zh-CN"/>
        </w:rPr>
        <w:t>进行</w:t>
      </w:r>
      <w:r>
        <w:rPr>
          <w:rFonts w:hint="eastAsia" w:ascii="Times New Roman" w:hAnsi="Times New Roman" w:eastAsia="方正仿宋_GBK" w:cs="Times New Roman"/>
          <w:bCs/>
          <w:color w:val="auto"/>
          <w:sz w:val="32"/>
          <w:szCs w:val="32"/>
        </w:rPr>
        <w:t>了表土剥离，剥离表土集中堆放于站区西侧的表土堆放场。后续施工中，根据该区排水需要，按照“永临结合”原则，在永久排水边沟位置开挖临时排水沟，排水沟出口处设置临时沉</w:t>
      </w:r>
      <w:r>
        <w:rPr>
          <w:rFonts w:hint="eastAsia" w:ascii="Times New Roman" w:hAnsi="Times New Roman" w:eastAsia="方正仿宋_GBK" w:cs="Times New Roman"/>
          <w:bCs/>
          <w:color w:val="auto"/>
          <w:sz w:val="32"/>
          <w:szCs w:val="32"/>
          <w:lang w:eastAsia="zh-CN"/>
        </w:rPr>
        <w:t>沙</w:t>
      </w:r>
      <w:r>
        <w:rPr>
          <w:rFonts w:hint="eastAsia" w:ascii="Times New Roman" w:hAnsi="Times New Roman" w:eastAsia="方正仿宋_GBK" w:cs="Times New Roman"/>
          <w:bCs/>
          <w:color w:val="auto"/>
          <w:sz w:val="32"/>
          <w:szCs w:val="32"/>
        </w:rPr>
        <w:t>池，并顺接周边水系或市政管网</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对施工裸露区、临时堆土、表土堆放场等采用彩条布临时覆盖和编织土袋拦挡措施</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对填方边坡坡脚布设编织土袋拦挡措施</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地块成形后实施排水边沟，坡面采取植草护坡。施工末期，对该区实施雨水管网、土地整治及景观绿化措施。</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4.高压电线防治区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施工时，对施工裸露区、临时堆土等采用彩条布临时覆盖。施工末期，对该区实施场地清理措施。</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5.施工便道防治区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施工前，对该区施工扰动范围进行表土剥离，剥离表土场内择地堆放，并做好表土保护措施。施工中，便道两侧布设临时排水沟，排水沟出口处设置临时沉</w:t>
      </w:r>
      <w:r>
        <w:rPr>
          <w:rFonts w:hint="eastAsia" w:ascii="Times New Roman" w:hAnsi="Times New Roman" w:eastAsia="方正仿宋_GBK" w:cs="Times New Roman"/>
          <w:bCs/>
          <w:color w:val="auto"/>
          <w:sz w:val="32"/>
          <w:szCs w:val="32"/>
          <w:lang w:eastAsia="zh-CN"/>
        </w:rPr>
        <w:t>沙</w:t>
      </w:r>
      <w:r>
        <w:rPr>
          <w:rFonts w:hint="eastAsia" w:ascii="Times New Roman" w:hAnsi="Times New Roman" w:eastAsia="方正仿宋_GBK" w:cs="Times New Roman"/>
          <w:bCs/>
          <w:color w:val="auto"/>
          <w:sz w:val="32"/>
          <w:szCs w:val="32"/>
        </w:rPr>
        <w:t>池，并顺接周边水系。施工结束后，对该区实施土地整治及植被恢复措施。</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6.施工生产生活</w:t>
      </w:r>
      <w:r>
        <w:rPr>
          <w:rFonts w:hint="eastAsia" w:ascii="Times New Roman" w:hAnsi="Times New Roman" w:eastAsia="方正仿宋_GBK" w:cs="Times New Roman"/>
          <w:bCs/>
          <w:color w:val="auto"/>
          <w:sz w:val="32"/>
          <w:szCs w:val="32"/>
          <w:lang w:eastAsia="zh-CN"/>
        </w:rPr>
        <w:t>区</w:t>
      </w:r>
      <w:r>
        <w:rPr>
          <w:rFonts w:hint="eastAsia" w:ascii="Times New Roman" w:hAnsi="Times New Roman" w:eastAsia="方正仿宋_GBK" w:cs="Times New Roman"/>
          <w:bCs/>
          <w:color w:val="auto"/>
          <w:sz w:val="32"/>
          <w:szCs w:val="32"/>
        </w:rPr>
        <w:t>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目前，该区已建成投用。场地建设前，该区施工扰动范围已实施表土剥离，剥离表土集中堆放四期水厂北侧表土堆放</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场地四周已实施临时排水沟。现阶段，补充排水沟出口处临时沉</w:t>
      </w:r>
      <w:r>
        <w:rPr>
          <w:rFonts w:hint="eastAsia" w:ascii="Times New Roman" w:hAnsi="Times New Roman" w:eastAsia="方正仿宋_GBK" w:cs="Times New Roman"/>
          <w:bCs/>
          <w:color w:val="auto"/>
          <w:sz w:val="32"/>
          <w:szCs w:val="32"/>
          <w:lang w:eastAsia="zh-CN"/>
        </w:rPr>
        <w:t>沙</w:t>
      </w:r>
      <w:r>
        <w:rPr>
          <w:rFonts w:hint="eastAsia" w:ascii="Times New Roman" w:hAnsi="Times New Roman" w:eastAsia="方正仿宋_GBK" w:cs="Times New Roman"/>
          <w:bCs/>
          <w:color w:val="auto"/>
          <w:sz w:val="32"/>
          <w:szCs w:val="32"/>
        </w:rPr>
        <w:t>池，并顺接周边水系。工程完工后，对该区实施土地整治及植被恢复措施。</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7.表土堆场防治区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堆土前，表土堆放场坡脚布设编织土袋临时拦挡，四周布设临时排水沟，排水沟出口处设置临时沉</w:t>
      </w:r>
      <w:r>
        <w:rPr>
          <w:rFonts w:hint="eastAsia" w:ascii="Times New Roman" w:hAnsi="Times New Roman" w:eastAsia="方正仿宋_GBK" w:cs="Times New Roman"/>
          <w:bCs/>
          <w:color w:val="auto"/>
          <w:sz w:val="32"/>
          <w:szCs w:val="32"/>
          <w:lang w:eastAsia="zh-CN"/>
        </w:rPr>
        <w:t>沙</w:t>
      </w:r>
      <w:r>
        <w:rPr>
          <w:rFonts w:hint="eastAsia" w:ascii="Times New Roman" w:hAnsi="Times New Roman" w:eastAsia="方正仿宋_GBK" w:cs="Times New Roman"/>
          <w:bCs/>
          <w:color w:val="auto"/>
          <w:sz w:val="32"/>
          <w:szCs w:val="32"/>
        </w:rPr>
        <w:t>池，并顺接周边水系或市政管网。施工结束后，对该区实施土地整治及植被恢复措施。</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bCs/>
          <w:color w:val="auto"/>
          <w:sz w:val="32"/>
          <w:szCs w:val="32"/>
        </w:rPr>
        <w:t>（四）</w:t>
      </w:r>
      <w:r>
        <w:rPr>
          <w:rFonts w:hint="eastAsia" w:ascii="Times New Roman" w:hAnsi="Times New Roman" w:eastAsia="方正仿宋_GBK" w:cs="Times New Roman"/>
          <w:bCs/>
          <w:color w:val="auto"/>
          <w:sz w:val="32"/>
          <w:szCs w:val="32"/>
          <w:lang w:eastAsia="zh-CN"/>
        </w:rPr>
        <w:t>基本同意</w:t>
      </w:r>
      <w:r>
        <w:rPr>
          <w:rFonts w:hint="eastAsia" w:ascii="Times New Roman" w:hAnsi="Times New Roman" w:eastAsia="方正仿宋_GBK" w:cs="Times New Roman"/>
          <w:bCs/>
          <w:color w:val="auto"/>
          <w:sz w:val="32"/>
          <w:szCs w:val="32"/>
        </w:rPr>
        <w:t>水土保持施工组织</w:t>
      </w:r>
      <w:r>
        <w:rPr>
          <w:rFonts w:hint="eastAsia" w:ascii="Times New Roman" w:hAnsi="Times New Roman" w:eastAsia="方正仿宋_GBK" w:cs="Times New Roman"/>
          <w:bCs/>
          <w:color w:val="auto"/>
          <w:sz w:val="32"/>
          <w:szCs w:val="32"/>
          <w:lang w:eastAsia="zh-CN"/>
        </w:rPr>
        <w:t>设计及施工时间安排</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六、水土保持监测</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基本同意水土保持监测方案</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七、水土保持投资估算及效益分析</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投资估算编制依据正确，费用及定额选择基本合理，编制深度基本满足规范要求。</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（二）经审核，水土保持方案</w:t>
      </w:r>
      <w:r>
        <w:rPr>
          <w:rFonts w:hint="eastAsia" w:ascii="Times New Roman" w:hAnsi="Times New Roman" w:eastAsia="方正仿宋_GBK" w:cs="Times New Roman"/>
          <w:color w:val="auto"/>
          <w:sz w:val="32"/>
          <w:szCs w:val="32"/>
          <w:lang w:eastAsia="zh-CN"/>
        </w:rPr>
        <w:t>工程</w:t>
      </w:r>
      <w:r>
        <w:rPr>
          <w:rFonts w:hint="eastAsia" w:ascii="Times New Roman" w:hAnsi="Times New Roman" w:eastAsia="方正仿宋_GBK" w:cs="Times New Roman"/>
          <w:color w:val="auto"/>
          <w:sz w:val="32"/>
          <w:szCs w:val="32"/>
        </w:rPr>
        <w:t>静态总投资1224.31万元，其中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主体已列943.80万元，方案新增投资280.51万元（其中：工程措施8.17万元，植物措施18.96万元，监测措施52.66万元，</w:t>
      </w:r>
      <w:r>
        <w:rPr>
          <w:rFonts w:hint="eastAsia" w:ascii="Times New Roman" w:hAnsi="Times New Roman" w:eastAsia="方正仿宋_GBK" w:cs="Times New Roman"/>
          <w:color w:val="auto"/>
          <w:sz w:val="32"/>
          <w:szCs w:val="32"/>
          <w:lang w:eastAsia="zh-CN"/>
        </w:rPr>
        <w:t>施工</w:t>
      </w:r>
      <w:r>
        <w:rPr>
          <w:rFonts w:hint="eastAsia" w:ascii="Times New Roman" w:hAnsi="Times New Roman" w:eastAsia="方正仿宋_GBK" w:cs="Times New Roman"/>
          <w:color w:val="auto"/>
          <w:sz w:val="32"/>
          <w:szCs w:val="32"/>
        </w:rPr>
        <w:t>临时措施48.88万元，独立费用65.43万元，基本预备费11.65万元，水土保持补偿费74.760万元）。</w:t>
      </w:r>
    </w:p>
    <w:p>
      <w:pPr>
        <w:snapToGrid w:val="0"/>
        <w:spacing w:line="560" w:lineRule="exact"/>
        <w:ind w:firstLine="640" w:firstLineChars="200"/>
        <w:rPr>
          <w:rFonts w:ascii="Times New Roman" w:hAnsi="Times New Roman" w:eastAsia="方正仿宋_GBK" w:cs="Times New Roman"/>
          <w:color w:val="FF0000"/>
          <w:sz w:val="32"/>
          <w:szCs w:val="32"/>
        </w:rPr>
      </w:pPr>
      <w:r>
        <w:rPr>
          <w:rFonts w:hint="eastAsia" w:ascii="Times New Roman" w:hAnsi="Times New Roman" w:eastAsia="方正仿宋_GBK" w:cs="Times New Roman"/>
          <w:color w:val="auto"/>
          <w:sz w:val="32"/>
          <w:szCs w:val="32"/>
        </w:rPr>
        <w:t>（三）效益分析方法基本正确，分析结果基本合理</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八、水土保持管理</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基本同意组织管理、后续设计、水土保持监测、水土保持监理、水土保持施工、水土保持设施验收等保障措施和要求。</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黑体_GBK" w:cs="Times New Roman"/>
          <w:bCs/>
          <w:color w:val="auto"/>
          <w:sz w:val="32"/>
          <w:szCs w:val="32"/>
        </w:rPr>
        <w:t>九、其他</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（一）</w:t>
      </w:r>
      <w:r>
        <w:rPr>
          <w:rFonts w:hint="eastAsia" w:ascii="Times New Roman" w:hAnsi="Times New Roman" w:eastAsia="方正仿宋_GBK" w:cs="Times New Roman"/>
          <w:color w:val="auto"/>
          <w:sz w:val="32"/>
          <w:szCs w:val="32"/>
        </w:rPr>
        <w:t>项目法人应加强施工组织，优化施工工艺，减少土石方开挖填筑、地表扰动及植被破坏，严禁超界施工，严禁乱挖乱堆乱放，严禁向河道弃渣，严格控制工程建设中水土流失。</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二</w:t>
      </w:r>
      <w:r>
        <w:rPr>
          <w:rFonts w:hint="eastAsia" w:ascii="Times New Roman" w:hAnsi="Times New Roman" w:eastAsia="方正仿宋_GBK" w:cs="Times New Roman"/>
          <w:color w:val="auto"/>
          <w:sz w:val="32"/>
          <w:szCs w:val="32"/>
        </w:rPr>
        <w:t>）本项目不设置弃渣场，弃渣必须运至合法合规的场所消纳处置。</w:t>
      </w:r>
    </w:p>
    <w:p>
      <w:pPr>
        <w:keepNext/>
        <w:keepLines/>
        <w:widowControl/>
        <w:adjustRightInd w:val="0"/>
        <w:snapToGrid w:val="0"/>
        <w:spacing w:before="120" w:beforeLines="0" w:after="120" w:afterLines="0" w:line="460" w:lineRule="atLeast"/>
        <w:jc w:val="left"/>
        <w:outlineLvl w:val="2"/>
        <w:rPr>
          <w:rFonts w:hint="eastAsia" w:ascii="宋体" w:hAnsi="宋体" w:eastAsia="宋体" w:cs="Times New Roman"/>
          <w:b/>
          <w:color w:val="auto"/>
          <w:kern w:val="2"/>
          <w:sz w:val="24"/>
          <w:szCs w:val="20"/>
          <w:lang w:val="en-US" w:eastAsia="zh-CN" w:bidi="ar-SA"/>
        </w:rPr>
      </w:pPr>
    </w:p>
    <w:p>
      <w:pPr>
        <w:snapToGrid w:val="0"/>
        <w:spacing w:line="560" w:lineRule="exact"/>
        <w:ind w:left="1598" w:leftChars="228" w:hanging="960" w:hangingChars="3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附件：</w:t>
      </w:r>
      <w:r>
        <w:rPr>
          <w:rFonts w:hint="eastAsia" w:ascii="Times New Roman" w:hAnsi="Times New Roman" w:eastAsia="方正仿宋_GBK" w:cs="Times New Roman"/>
          <w:color w:val="auto"/>
          <w:sz w:val="32"/>
          <w:szCs w:val="32"/>
          <w:lang w:eastAsia="zh-CN"/>
        </w:rPr>
        <w:t>悦来水厂四期扩建工程</w:t>
      </w:r>
      <w:r>
        <w:rPr>
          <w:rFonts w:hint="eastAsia" w:ascii="Times New Roman" w:hAnsi="Times New Roman" w:eastAsia="方正仿宋_GBK" w:cs="Times New Roman"/>
          <w:color w:val="auto"/>
          <w:sz w:val="32"/>
          <w:szCs w:val="32"/>
        </w:rPr>
        <w:t>水土保持方案投资估算审核表</w:t>
      </w:r>
      <w:r>
        <w:rPr>
          <w:rFonts w:ascii="Times New Roman" w:hAnsi="Times New Roman" w:eastAsia="方正仿宋_GBK" w:cs="Times New Roman"/>
          <w:color w:val="auto"/>
          <w:sz w:val="32"/>
          <w:szCs w:val="32"/>
        </w:rPr>
        <w:t xml:space="preserve">                    </w:t>
      </w:r>
    </w:p>
    <w:p>
      <w:pPr>
        <w:snapToGrid w:val="0"/>
        <w:spacing w:line="594" w:lineRule="exact"/>
        <w:ind w:firstLine="640" w:firstLineChars="200"/>
        <w:jc w:val="lef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 xml:space="preserve">                        </w:t>
      </w:r>
    </w:p>
    <w:p>
      <w:pPr>
        <w:snapToGrid w:val="0"/>
        <w:spacing w:line="594" w:lineRule="exact"/>
        <w:ind w:firstLine="640" w:firstLineChars="200"/>
        <w:jc w:val="left"/>
        <w:rPr>
          <w:rFonts w:ascii="Times New Roman" w:hAnsi="Times New Roman" w:eastAsia="方正仿宋_GBK" w:cs="Times New Roman"/>
          <w:color w:val="auto"/>
          <w:sz w:val="32"/>
          <w:szCs w:val="32"/>
        </w:rPr>
      </w:pPr>
      <w:r>
        <w:rPr>
          <w:rFonts w:hint="default" w:ascii="方正仿宋_GBK" w:hAnsi="方正仿宋_GBK" w:eastAsia="方正仿宋_GBK" w:cs="方正仿宋_GBK"/>
          <w:color w:val="auto"/>
          <w:kern w:val="2"/>
          <w:sz w:val="32"/>
          <w:szCs w:val="32"/>
          <w:lang w:val="en-US" w:eastAsia="zh-CN" w:bidi="ar"/>
        </w:rPr>
        <w:drawing>
          <wp:anchor distT="0" distB="0" distL="114300" distR="114300" simplePos="0" relativeHeight="251659264" behindDoc="1" locked="0" layoutInCell="1" allowOverlap="1">
            <wp:simplePos x="0" y="0"/>
            <wp:positionH relativeFrom="column">
              <wp:posOffset>4406900</wp:posOffset>
            </wp:positionH>
            <wp:positionV relativeFrom="paragraph">
              <wp:posOffset>193675</wp:posOffset>
            </wp:positionV>
            <wp:extent cx="1229360" cy="593090"/>
            <wp:effectExtent l="0" t="0" r="5080" b="1270"/>
            <wp:wrapNone/>
            <wp:docPr id="3" name="图片 1" descr="冷光义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冷光义电子签名"/>
                    <pic:cNvPicPr>
                      <a:picLocks noChangeAspect="1"/>
                    </pic:cNvPicPr>
                  </pic:nvPicPr>
                  <pic:blipFill>
                    <a:blip r:embed="rId6"/>
                    <a:stretch>
                      <a:fillRect/>
                    </a:stretch>
                  </pic:blipFill>
                  <pic:spPr>
                    <a:xfrm>
                      <a:off x="0" y="0"/>
                      <a:ext cx="1229360" cy="593090"/>
                    </a:xfrm>
                    <a:prstGeom prst="rect">
                      <a:avLst/>
                    </a:prstGeom>
                    <a:noFill/>
                    <a:ln>
                      <a:noFill/>
                    </a:ln>
                  </pic:spPr>
                </pic:pic>
              </a:graphicData>
            </a:graphic>
          </wp:anchor>
        </w:drawing>
      </w:r>
    </w:p>
    <w:p>
      <w:pPr>
        <w:snapToGrid w:val="0"/>
        <w:spacing w:line="240" w:lineRule="auto"/>
        <w:ind w:firstLine="4800" w:firstLineChars="1500"/>
        <w:jc w:val="left"/>
        <w:rPr>
          <w:rFonts w:hint="eastAsia"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rPr>
        <w:t xml:space="preserve"> 专家组组长：</w:t>
      </w:r>
    </w:p>
    <w:p>
      <w:pPr>
        <w:snapToGrid w:val="0"/>
        <w:spacing w:line="594" w:lineRule="exact"/>
        <w:ind w:firstLine="5120" w:firstLineChars="1600"/>
        <w:rPr>
          <w:rFonts w:eastAsia="方正仿宋_GBK"/>
          <w:color w:val="auto"/>
          <w:sz w:val="32"/>
          <w:szCs w:val="32"/>
        </w:rPr>
        <w:sectPr>
          <w:footerReference r:id="rId3" w:type="default"/>
          <w:pgSz w:w="11906" w:h="16838"/>
          <w:pgMar w:top="1985" w:right="1446" w:bottom="1684" w:left="1446" w:header="851" w:footer="1474" w:gutter="0"/>
          <w:pgBorders>
            <w:top w:val="none" w:sz="0" w:space="0"/>
            <w:left w:val="none" w:sz="0" w:space="0"/>
            <w:bottom w:val="none" w:sz="0" w:space="0"/>
            <w:right w:val="none" w:sz="0" w:space="0"/>
          </w:pgBorders>
          <w:cols w:space="720" w:num="1"/>
          <w:docGrid w:linePitch="381" w:charSpace="0"/>
        </w:sectPr>
      </w:pP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5</w:t>
      </w:r>
      <w:r>
        <w:rPr>
          <w:rFonts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1</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17</w:t>
      </w:r>
      <w:r>
        <w:rPr>
          <w:rFonts w:ascii="Times New Roman" w:hAnsi="Times New Roman" w:eastAsia="方正仿宋_GBK" w:cs="Times New Roman"/>
          <w:color w:val="auto"/>
          <w:sz w:val="32"/>
          <w:szCs w:val="32"/>
        </w:rPr>
        <w:t>日</w:t>
      </w:r>
    </w:p>
    <w:p>
      <w:pPr>
        <w:snapToGrid w:val="0"/>
        <w:spacing w:line="594" w:lineRule="exact"/>
        <w:jc w:val="left"/>
        <w:rPr>
          <w:rFonts w:ascii="Times New Roman" w:hAnsi="Times New Roman" w:eastAsia="方正黑体_GBK" w:cs="Times New Roman"/>
          <w:color w:val="auto"/>
          <w:w w:val="90"/>
          <w:sz w:val="32"/>
          <w:szCs w:val="32"/>
        </w:rPr>
      </w:pPr>
      <w:r>
        <w:rPr>
          <w:rFonts w:ascii="Times New Roman" w:hAnsi="Times New Roman" w:eastAsia="方正黑体_GBK" w:cs="Times New Roman"/>
          <w:color w:val="auto"/>
          <w:w w:val="90"/>
          <w:sz w:val="32"/>
          <w:szCs w:val="32"/>
        </w:rPr>
        <w:t>附件</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ascii="Times New Roman" w:hAnsi="Times New Roman" w:eastAsia="方正小标宋_GBK" w:cs="Times New Roman"/>
          <w:color w:val="auto"/>
          <w:spacing w:val="0"/>
          <w:w w:val="100"/>
          <w:sz w:val="36"/>
          <w:szCs w:val="36"/>
        </w:rPr>
      </w:pPr>
      <w:r>
        <w:rPr>
          <w:rFonts w:hint="eastAsia" w:ascii="Times New Roman" w:hAnsi="Times New Roman" w:eastAsia="方正小标宋_GBK" w:cs="Times New Roman"/>
          <w:color w:val="auto"/>
          <w:spacing w:val="0"/>
          <w:w w:val="100"/>
          <w:sz w:val="36"/>
          <w:szCs w:val="36"/>
          <w:lang w:eastAsia="zh-CN"/>
        </w:rPr>
        <w:t>悦来水厂四期扩建工程</w:t>
      </w:r>
      <w:r>
        <w:rPr>
          <w:rFonts w:ascii="Times New Roman" w:hAnsi="Times New Roman" w:eastAsia="方正小标宋_GBK" w:cs="Times New Roman"/>
          <w:color w:val="auto"/>
          <w:spacing w:val="0"/>
          <w:w w:val="100"/>
          <w:sz w:val="36"/>
          <w:szCs w:val="36"/>
        </w:rPr>
        <w:t>水土保持方案投资估算审核表</w:t>
      </w:r>
    </w:p>
    <w:p>
      <w:pPr>
        <w:widowControl/>
        <w:jc w:val="righ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单位：万元</w:t>
      </w:r>
    </w:p>
    <w:tbl>
      <w:tblPr>
        <w:tblStyle w:val="17"/>
        <w:tblW w:w="9119" w:type="dxa"/>
        <w:jc w:val="center"/>
        <w:tblLayout w:type="autofit"/>
        <w:tblCellMar>
          <w:top w:w="0" w:type="dxa"/>
          <w:left w:w="108" w:type="dxa"/>
          <w:bottom w:w="0" w:type="dxa"/>
          <w:right w:w="108" w:type="dxa"/>
        </w:tblCellMar>
      </w:tblPr>
      <w:tblGrid>
        <w:gridCol w:w="522"/>
        <w:gridCol w:w="2890"/>
        <w:gridCol w:w="1711"/>
        <w:gridCol w:w="1711"/>
        <w:gridCol w:w="1515"/>
        <w:gridCol w:w="770"/>
      </w:tblGrid>
      <w:tr>
        <w:tblPrEx>
          <w:tblCellMar>
            <w:top w:w="0" w:type="dxa"/>
            <w:left w:w="108" w:type="dxa"/>
            <w:bottom w:w="0" w:type="dxa"/>
            <w:right w:w="108" w:type="dxa"/>
          </w:tblCellMar>
        </w:tblPrEx>
        <w:trPr>
          <w:trHeight w:val="317" w:hRule="atLeast"/>
          <w:jc w:val="center"/>
        </w:trPr>
        <w:tc>
          <w:tcPr>
            <w:tcW w:w="522" w:type="dxa"/>
            <w:vMerge w:val="restart"/>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序号</w:t>
            </w:r>
          </w:p>
        </w:tc>
        <w:tc>
          <w:tcPr>
            <w:tcW w:w="2890" w:type="dxa"/>
            <w:vMerge w:val="restart"/>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工程或费用名称</w:t>
            </w:r>
          </w:p>
        </w:tc>
        <w:tc>
          <w:tcPr>
            <w:tcW w:w="4936"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审核投资</w:t>
            </w:r>
          </w:p>
        </w:tc>
        <w:tc>
          <w:tcPr>
            <w:tcW w:w="77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备注</w:t>
            </w:r>
          </w:p>
        </w:tc>
      </w:tr>
      <w:tr>
        <w:tblPrEx>
          <w:tblCellMar>
            <w:top w:w="0" w:type="dxa"/>
            <w:left w:w="108" w:type="dxa"/>
            <w:bottom w:w="0" w:type="dxa"/>
            <w:right w:w="108" w:type="dxa"/>
          </w:tblCellMar>
        </w:tblPrEx>
        <w:trPr>
          <w:trHeight w:val="271" w:hRule="atLeast"/>
          <w:jc w:val="center"/>
        </w:trPr>
        <w:tc>
          <w:tcPr>
            <w:tcW w:w="522"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p>
        </w:tc>
        <w:tc>
          <w:tcPr>
            <w:tcW w:w="2890"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方案新增</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主体已列</w:t>
            </w:r>
          </w:p>
        </w:tc>
        <w:tc>
          <w:tcPr>
            <w:tcW w:w="151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小计</w:t>
            </w:r>
          </w:p>
        </w:tc>
        <w:tc>
          <w:tcPr>
            <w:tcW w:w="7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319" w:hRule="atLeast"/>
          <w:jc w:val="center"/>
        </w:trPr>
        <w:tc>
          <w:tcPr>
            <w:tcW w:w="52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一</w:t>
            </w:r>
          </w:p>
        </w:tc>
        <w:tc>
          <w:tcPr>
            <w:tcW w:w="289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第一部分 工程措施</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8.17</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441.27</w:t>
            </w:r>
          </w:p>
        </w:tc>
        <w:tc>
          <w:tcPr>
            <w:tcW w:w="151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449.44</w:t>
            </w:r>
          </w:p>
        </w:tc>
        <w:tc>
          <w:tcPr>
            <w:tcW w:w="77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auto"/>
                <w:kern w:val="0"/>
                <w:sz w:val="24"/>
                <w:szCs w:val="24"/>
              </w:rPr>
            </w:pPr>
          </w:p>
        </w:tc>
      </w:tr>
      <w:tr>
        <w:tblPrEx>
          <w:tblCellMar>
            <w:top w:w="0" w:type="dxa"/>
            <w:left w:w="108" w:type="dxa"/>
            <w:bottom w:w="0" w:type="dxa"/>
            <w:right w:w="108" w:type="dxa"/>
          </w:tblCellMar>
        </w:tblPrEx>
        <w:trPr>
          <w:trHeight w:val="319" w:hRule="atLeast"/>
          <w:jc w:val="center"/>
        </w:trPr>
        <w:tc>
          <w:tcPr>
            <w:tcW w:w="52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89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四期水厂防治区</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364.70</w:t>
            </w:r>
          </w:p>
        </w:tc>
        <w:tc>
          <w:tcPr>
            <w:tcW w:w="151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364.70</w:t>
            </w:r>
          </w:p>
        </w:tc>
        <w:tc>
          <w:tcPr>
            <w:tcW w:w="77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319" w:hRule="atLeast"/>
          <w:jc w:val="center"/>
        </w:trPr>
        <w:tc>
          <w:tcPr>
            <w:tcW w:w="52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289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施工生产生活防治区</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0.10</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2.20</w:t>
            </w:r>
          </w:p>
        </w:tc>
        <w:tc>
          <w:tcPr>
            <w:tcW w:w="151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2.30</w:t>
            </w:r>
          </w:p>
        </w:tc>
        <w:tc>
          <w:tcPr>
            <w:tcW w:w="77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319" w:hRule="atLeast"/>
          <w:jc w:val="center"/>
        </w:trPr>
        <w:tc>
          <w:tcPr>
            <w:tcW w:w="52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289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表土堆场防治区</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0.23</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p>
        </w:tc>
        <w:tc>
          <w:tcPr>
            <w:tcW w:w="151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0.23</w:t>
            </w:r>
          </w:p>
        </w:tc>
        <w:tc>
          <w:tcPr>
            <w:tcW w:w="77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319" w:hRule="atLeast"/>
          <w:jc w:val="center"/>
        </w:trPr>
        <w:tc>
          <w:tcPr>
            <w:tcW w:w="52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289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管网工程防治区</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2.62</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38.62</w:t>
            </w:r>
          </w:p>
        </w:tc>
        <w:tc>
          <w:tcPr>
            <w:tcW w:w="151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41.24</w:t>
            </w:r>
          </w:p>
        </w:tc>
        <w:tc>
          <w:tcPr>
            <w:tcW w:w="77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319" w:hRule="atLeast"/>
          <w:jc w:val="center"/>
        </w:trPr>
        <w:tc>
          <w:tcPr>
            <w:tcW w:w="52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289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施工便道防治区</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5.12</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p>
        </w:tc>
        <w:tc>
          <w:tcPr>
            <w:tcW w:w="151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5.12</w:t>
            </w:r>
          </w:p>
        </w:tc>
        <w:tc>
          <w:tcPr>
            <w:tcW w:w="77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319" w:hRule="atLeast"/>
          <w:jc w:val="center"/>
        </w:trPr>
        <w:tc>
          <w:tcPr>
            <w:tcW w:w="52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289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新春加压站防治区</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0.10</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35.75</w:t>
            </w:r>
          </w:p>
        </w:tc>
        <w:tc>
          <w:tcPr>
            <w:tcW w:w="151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35.85</w:t>
            </w:r>
          </w:p>
        </w:tc>
        <w:tc>
          <w:tcPr>
            <w:tcW w:w="77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319" w:hRule="atLeast"/>
          <w:jc w:val="center"/>
        </w:trPr>
        <w:tc>
          <w:tcPr>
            <w:tcW w:w="52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二</w:t>
            </w:r>
          </w:p>
        </w:tc>
        <w:tc>
          <w:tcPr>
            <w:tcW w:w="289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第二部分 植物措施</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18.96</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499.33</w:t>
            </w:r>
          </w:p>
        </w:tc>
        <w:tc>
          <w:tcPr>
            <w:tcW w:w="151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518.29</w:t>
            </w:r>
          </w:p>
        </w:tc>
        <w:tc>
          <w:tcPr>
            <w:tcW w:w="77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auto"/>
                <w:kern w:val="0"/>
                <w:sz w:val="24"/>
                <w:szCs w:val="24"/>
              </w:rPr>
            </w:pPr>
          </w:p>
        </w:tc>
      </w:tr>
      <w:tr>
        <w:tblPrEx>
          <w:tblCellMar>
            <w:top w:w="0" w:type="dxa"/>
            <w:left w:w="108" w:type="dxa"/>
            <w:bottom w:w="0" w:type="dxa"/>
            <w:right w:w="108" w:type="dxa"/>
          </w:tblCellMar>
        </w:tblPrEx>
        <w:trPr>
          <w:trHeight w:val="319" w:hRule="atLeast"/>
          <w:jc w:val="center"/>
        </w:trPr>
        <w:tc>
          <w:tcPr>
            <w:tcW w:w="52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89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四期水厂防治区</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450.32</w:t>
            </w:r>
          </w:p>
        </w:tc>
        <w:tc>
          <w:tcPr>
            <w:tcW w:w="151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450.32</w:t>
            </w:r>
          </w:p>
        </w:tc>
        <w:tc>
          <w:tcPr>
            <w:tcW w:w="77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319" w:hRule="atLeast"/>
          <w:jc w:val="center"/>
        </w:trPr>
        <w:tc>
          <w:tcPr>
            <w:tcW w:w="52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289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施工生产生活防治区</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0.57</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p>
        </w:tc>
        <w:tc>
          <w:tcPr>
            <w:tcW w:w="151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0.57</w:t>
            </w:r>
          </w:p>
        </w:tc>
        <w:tc>
          <w:tcPr>
            <w:tcW w:w="77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319" w:hRule="atLeast"/>
          <w:jc w:val="center"/>
        </w:trPr>
        <w:tc>
          <w:tcPr>
            <w:tcW w:w="52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289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表土堆场防治区</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1.38</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p>
        </w:tc>
        <w:tc>
          <w:tcPr>
            <w:tcW w:w="151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1.38</w:t>
            </w:r>
          </w:p>
        </w:tc>
        <w:tc>
          <w:tcPr>
            <w:tcW w:w="77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319" w:hRule="atLeast"/>
          <w:jc w:val="center"/>
        </w:trPr>
        <w:tc>
          <w:tcPr>
            <w:tcW w:w="52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289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管网工程防治区</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15.68</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p>
        </w:tc>
        <w:tc>
          <w:tcPr>
            <w:tcW w:w="151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15.68</w:t>
            </w:r>
          </w:p>
        </w:tc>
        <w:tc>
          <w:tcPr>
            <w:tcW w:w="77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319" w:hRule="atLeast"/>
          <w:jc w:val="center"/>
        </w:trPr>
        <w:tc>
          <w:tcPr>
            <w:tcW w:w="52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289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施工便道防治区</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1.33</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p>
        </w:tc>
        <w:tc>
          <w:tcPr>
            <w:tcW w:w="151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1.33</w:t>
            </w:r>
          </w:p>
        </w:tc>
        <w:tc>
          <w:tcPr>
            <w:tcW w:w="77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319" w:hRule="atLeast"/>
          <w:jc w:val="center"/>
        </w:trPr>
        <w:tc>
          <w:tcPr>
            <w:tcW w:w="52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289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新春加压站防治区</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49.01</w:t>
            </w:r>
          </w:p>
        </w:tc>
        <w:tc>
          <w:tcPr>
            <w:tcW w:w="151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49.01</w:t>
            </w:r>
          </w:p>
        </w:tc>
        <w:tc>
          <w:tcPr>
            <w:tcW w:w="77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319" w:hRule="atLeast"/>
          <w:jc w:val="center"/>
        </w:trPr>
        <w:tc>
          <w:tcPr>
            <w:tcW w:w="52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三</w:t>
            </w:r>
          </w:p>
        </w:tc>
        <w:tc>
          <w:tcPr>
            <w:tcW w:w="289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第三部分 监测措施</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52.66</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auto"/>
                <w:kern w:val="0"/>
                <w:sz w:val="24"/>
                <w:szCs w:val="24"/>
              </w:rPr>
            </w:pPr>
          </w:p>
        </w:tc>
        <w:tc>
          <w:tcPr>
            <w:tcW w:w="151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52.66</w:t>
            </w:r>
          </w:p>
        </w:tc>
        <w:tc>
          <w:tcPr>
            <w:tcW w:w="77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auto"/>
                <w:kern w:val="0"/>
                <w:sz w:val="24"/>
                <w:szCs w:val="24"/>
              </w:rPr>
            </w:pPr>
          </w:p>
        </w:tc>
      </w:tr>
      <w:tr>
        <w:tblPrEx>
          <w:tblCellMar>
            <w:top w:w="0" w:type="dxa"/>
            <w:left w:w="108" w:type="dxa"/>
            <w:bottom w:w="0" w:type="dxa"/>
            <w:right w:w="108" w:type="dxa"/>
          </w:tblCellMar>
        </w:tblPrEx>
        <w:trPr>
          <w:trHeight w:val="319" w:hRule="atLeast"/>
          <w:jc w:val="center"/>
        </w:trPr>
        <w:tc>
          <w:tcPr>
            <w:tcW w:w="52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89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设备折旧费</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1.41</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p>
        </w:tc>
        <w:tc>
          <w:tcPr>
            <w:tcW w:w="151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1.41</w:t>
            </w:r>
          </w:p>
        </w:tc>
        <w:tc>
          <w:tcPr>
            <w:tcW w:w="77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319" w:hRule="atLeast"/>
          <w:jc w:val="center"/>
        </w:trPr>
        <w:tc>
          <w:tcPr>
            <w:tcW w:w="52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289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观测运行费</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51.25</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p>
        </w:tc>
        <w:tc>
          <w:tcPr>
            <w:tcW w:w="151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51.25</w:t>
            </w:r>
          </w:p>
        </w:tc>
        <w:tc>
          <w:tcPr>
            <w:tcW w:w="77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319" w:hRule="atLeast"/>
          <w:jc w:val="center"/>
        </w:trPr>
        <w:tc>
          <w:tcPr>
            <w:tcW w:w="52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四</w:t>
            </w:r>
          </w:p>
        </w:tc>
        <w:tc>
          <w:tcPr>
            <w:tcW w:w="289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第四部分 临时措施</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48.88</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3.20</w:t>
            </w:r>
          </w:p>
        </w:tc>
        <w:tc>
          <w:tcPr>
            <w:tcW w:w="151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52.08</w:t>
            </w:r>
          </w:p>
        </w:tc>
        <w:tc>
          <w:tcPr>
            <w:tcW w:w="77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auto"/>
                <w:kern w:val="0"/>
                <w:sz w:val="24"/>
                <w:szCs w:val="24"/>
              </w:rPr>
            </w:pPr>
          </w:p>
        </w:tc>
      </w:tr>
      <w:tr>
        <w:tblPrEx>
          <w:tblCellMar>
            <w:top w:w="0" w:type="dxa"/>
            <w:left w:w="108" w:type="dxa"/>
            <w:bottom w:w="0" w:type="dxa"/>
            <w:right w:w="108" w:type="dxa"/>
          </w:tblCellMar>
        </w:tblPrEx>
        <w:trPr>
          <w:trHeight w:val="319" w:hRule="atLeast"/>
          <w:jc w:val="center"/>
        </w:trPr>
        <w:tc>
          <w:tcPr>
            <w:tcW w:w="52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89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四期水厂防治区</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3.85</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0.66</w:t>
            </w:r>
          </w:p>
        </w:tc>
        <w:tc>
          <w:tcPr>
            <w:tcW w:w="151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4.51</w:t>
            </w:r>
          </w:p>
        </w:tc>
        <w:tc>
          <w:tcPr>
            <w:tcW w:w="77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319" w:hRule="atLeast"/>
          <w:jc w:val="center"/>
        </w:trPr>
        <w:tc>
          <w:tcPr>
            <w:tcW w:w="52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289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施工生产生活防治区</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0.13</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1.88</w:t>
            </w:r>
          </w:p>
        </w:tc>
        <w:tc>
          <w:tcPr>
            <w:tcW w:w="151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2.01</w:t>
            </w:r>
          </w:p>
        </w:tc>
        <w:tc>
          <w:tcPr>
            <w:tcW w:w="77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319" w:hRule="atLeast"/>
          <w:jc w:val="center"/>
        </w:trPr>
        <w:tc>
          <w:tcPr>
            <w:tcW w:w="52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289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表土堆场防治区</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11.13</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p>
        </w:tc>
        <w:tc>
          <w:tcPr>
            <w:tcW w:w="151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11.13</w:t>
            </w:r>
          </w:p>
        </w:tc>
        <w:tc>
          <w:tcPr>
            <w:tcW w:w="77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319" w:hRule="atLeast"/>
          <w:jc w:val="center"/>
        </w:trPr>
        <w:tc>
          <w:tcPr>
            <w:tcW w:w="52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289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管网工程防治区</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22.32</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p>
        </w:tc>
        <w:tc>
          <w:tcPr>
            <w:tcW w:w="151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22.32</w:t>
            </w:r>
          </w:p>
        </w:tc>
        <w:tc>
          <w:tcPr>
            <w:tcW w:w="77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319" w:hRule="atLeast"/>
          <w:jc w:val="center"/>
        </w:trPr>
        <w:tc>
          <w:tcPr>
            <w:tcW w:w="52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289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施工便道防治区</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9.20</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p>
        </w:tc>
        <w:tc>
          <w:tcPr>
            <w:tcW w:w="151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9.20</w:t>
            </w:r>
          </w:p>
        </w:tc>
        <w:tc>
          <w:tcPr>
            <w:tcW w:w="77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319" w:hRule="atLeast"/>
          <w:jc w:val="center"/>
        </w:trPr>
        <w:tc>
          <w:tcPr>
            <w:tcW w:w="52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289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新春加压站防治区</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1.26</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0.66</w:t>
            </w:r>
          </w:p>
        </w:tc>
        <w:tc>
          <w:tcPr>
            <w:tcW w:w="151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1.92</w:t>
            </w:r>
          </w:p>
        </w:tc>
        <w:tc>
          <w:tcPr>
            <w:tcW w:w="77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319" w:hRule="atLeast"/>
          <w:jc w:val="center"/>
        </w:trPr>
        <w:tc>
          <w:tcPr>
            <w:tcW w:w="52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289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高压电线防治区</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0.03</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p>
        </w:tc>
        <w:tc>
          <w:tcPr>
            <w:tcW w:w="151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0.03</w:t>
            </w:r>
          </w:p>
        </w:tc>
        <w:tc>
          <w:tcPr>
            <w:tcW w:w="77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319" w:hRule="atLeast"/>
          <w:jc w:val="center"/>
        </w:trPr>
        <w:tc>
          <w:tcPr>
            <w:tcW w:w="52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289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其他临时工程</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0.96</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p>
        </w:tc>
        <w:tc>
          <w:tcPr>
            <w:tcW w:w="151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0.96</w:t>
            </w:r>
          </w:p>
        </w:tc>
        <w:tc>
          <w:tcPr>
            <w:tcW w:w="77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319" w:hRule="atLeast"/>
          <w:jc w:val="center"/>
        </w:trPr>
        <w:tc>
          <w:tcPr>
            <w:tcW w:w="52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五</w:t>
            </w:r>
          </w:p>
        </w:tc>
        <w:tc>
          <w:tcPr>
            <w:tcW w:w="289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第五部分 独立费用</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65.43</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auto"/>
                <w:kern w:val="0"/>
                <w:sz w:val="24"/>
                <w:szCs w:val="24"/>
              </w:rPr>
            </w:pPr>
          </w:p>
        </w:tc>
        <w:tc>
          <w:tcPr>
            <w:tcW w:w="151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65.43</w:t>
            </w:r>
          </w:p>
        </w:tc>
        <w:tc>
          <w:tcPr>
            <w:tcW w:w="77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auto"/>
                <w:kern w:val="0"/>
                <w:sz w:val="24"/>
                <w:szCs w:val="24"/>
              </w:rPr>
            </w:pPr>
          </w:p>
        </w:tc>
      </w:tr>
      <w:tr>
        <w:tblPrEx>
          <w:tblCellMar>
            <w:top w:w="0" w:type="dxa"/>
            <w:left w:w="108" w:type="dxa"/>
            <w:bottom w:w="0" w:type="dxa"/>
            <w:right w:w="108" w:type="dxa"/>
          </w:tblCellMar>
        </w:tblPrEx>
        <w:trPr>
          <w:trHeight w:val="319" w:hRule="atLeast"/>
          <w:jc w:val="center"/>
        </w:trPr>
        <w:tc>
          <w:tcPr>
            <w:tcW w:w="52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89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技术咨询费</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57.36</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p>
        </w:tc>
        <w:tc>
          <w:tcPr>
            <w:tcW w:w="151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57.36</w:t>
            </w:r>
          </w:p>
        </w:tc>
        <w:tc>
          <w:tcPr>
            <w:tcW w:w="77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319" w:hRule="atLeast"/>
          <w:jc w:val="center"/>
        </w:trPr>
        <w:tc>
          <w:tcPr>
            <w:tcW w:w="52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289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工程管理费</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8.07</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p>
        </w:tc>
        <w:tc>
          <w:tcPr>
            <w:tcW w:w="151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8.07</w:t>
            </w:r>
          </w:p>
        </w:tc>
        <w:tc>
          <w:tcPr>
            <w:tcW w:w="77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319" w:hRule="atLeast"/>
          <w:jc w:val="center"/>
        </w:trPr>
        <w:tc>
          <w:tcPr>
            <w:tcW w:w="3411" w:type="dxa"/>
            <w:gridSpan w:val="2"/>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一至五部分投资合计</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color w:val="auto"/>
                <w:kern w:val="0"/>
                <w:sz w:val="24"/>
                <w:szCs w:val="24"/>
              </w:rPr>
            </w:pPr>
            <w:r>
              <w:rPr>
                <w:rFonts w:hint="default" w:ascii="Times New Roman" w:hAnsi="Times New Roman" w:eastAsia="宋体" w:cs="Times New Roman"/>
                <w:b/>
                <w:color w:val="auto"/>
                <w:kern w:val="0"/>
                <w:sz w:val="24"/>
                <w:szCs w:val="24"/>
              </w:rPr>
              <w:t>194.10</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color w:val="auto"/>
                <w:kern w:val="0"/>
                <w:sz w:val="24"/>
                <w:szCs w:val="24"/>
              </w:rPr>
            </w:pPr>
            <w:r>
              <w:rPr>
                <w:rFonts w:hint="default" w:ascii="Times New Roman" w:hAnsi="Times New Roman" w:eastAsia="宋体" w:cs="Times New Roman"/>
                <w:b/>
                <w:color w:val="auto"/>
                <w:kern w:val="0"/>
                <w:sz w:val="24"/>
                <w:szCs w:val="24"/>
              </w:rPr>
              <w:t>943.80</w:t>
            </w:r>
          </w:p>
        </w:tc>
        <w:tc>
          <w:tcPr>
            <w:tcW w:w="151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color w:val="auto"/>
                <w:kern w:val="0"/>
                <w:sz w:val="24"/>
                <w:szCs w:val="24"/>
              </w:rPr>
            </w:pPr>
            <w:r>
              <w:rPr>
                <w:rFonts w:hint="default" w:ascii="Times New Roman" w:hAnsi="Times New Roman" w:eastAsia="宋体" w:cs="Times New Roman"/>
                <w:b/>
                <w:color w:val="auto"/>
                <w:kern w:val="0"/>
                <w:sz w:val="24"/>
                <w:szCs w:val="24"/>
              </w:rPr>
              <w:t>1137.90</w:t>
            </w:r>
          </w:p>
        </w:tc>
        <w:tc>
          <w:tcPr>
            <w:tcW w:w="77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b/>
                <w:color w:val="auto"/>
                <w:kern w:val="0"/>
                <w:sz w:val="24"/>
                <w:szCs w:val="24"/>
              </w:rPr>
            </w:pPr>
          </w:p>
        </w:tc>
      </w:tr>
      <w:tr>
        <w:tblPrEx>
          <w:tblCellMar>
            <w:top w:w="0" w:type="dxa"/>
            <w:left w:w="108" w:type="dxa"/>
            <w:bottom w:w="0" w:type="dxa"/>
            <w:right w:w="108" w:type="dxa"/>
          </w:tblCellMar>
        </w:tblPrEx>
        <w:trPr>
          <w:trHeight w:val="319" w:hRule="atLeast"/>
          <w:jc w:val="center"/>
        </w:trPr>
        <w:tc>
          <w:tcPr>
            <w:tcW w:w="52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六</w:t>
            </w:r>
          </w:p>
        </w:tc>
        <w:tc>
          <w:tcPr>
            <w:tcW w:w="289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基本预备费</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11.65</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auto"/>
                <w:kern w:val="0"/>
                <w:sz w:val="24"/>
                <w:szCs w:val="24"/>
              </w:rPr>
            </w:pPr>
          </w:p>
        </w:tc>
        <w:tc>
          <w:tcPr>
            <w:tcW w:w="151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11.65</w:t>
            </w:r>
          </w:p>
        </w:tc>
        <w:tc>
          <w:tcPr>
            <w:tcW w:w="77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auto"/>
                <w:kern w:val="0"/>
                <w:sz w:val="24"/>
                <w:szCs w:val="24"/>
              </w:rPr>
            </w:pPr>
          </w:p>
        </w:tc>
      </w:tr>
      <w:tr>
        <w:tblPrEx>
          <w:tblCellMar>
            <w:top w:w="0" w:type="dxa"/>
            <w:left w:w="108" w:type="dxa"/>
            <w:bottom w:w="0" w:type="dxa"/>
            <w:right w:w="108" w:type="dxa"/>
          </w:tblCellMar>
        </w:tblPrEx>
        <w:trPr>
          <w:trHeight w:val="319" w:hRule="atLeast"/>
          <w:jc w:val="center"/>
        </w:trPr>
        <w:tc>
          <w:tcPr>
            <w:tcW w:w="52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七</w:t>
            </w:r>
          </w:p>
        </w:tc>
        <w:tc>
          <w:tcPr>
            <w:tcW w:w="289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水土保持补偿费</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auto"/>
                <w:kern w:val="0"/>
                <w:sz w:val="24"/>
                <w:szCs w:val="24"/>
                <w:lang w:val="en-US" w:eastAsia="zh-CN"/>
              </w:rPr>
            </w:pPr>
            <w:r>
              <w:rPr>
                <w:rFonts w:hint="default" w:ascii="Times New Roman" w:hAnsi="Times New Roman" w:eastAsia="宋体" w:cs="Times New Roman"/>
                <w:b/>
                <w:bCs/>
                <w:color w:val="auto"/>
                <w:kern w:val="0"/>
                <w:sz w:val="24"/>
                <w:szCs w:val="24"/>
              </w:rPr>
              <w:t>74.76</w:t>
            </w:r>
            <w:r>
              <w:rPr>
                <w:rFonts w:hint="default" w:ascii="Times New Roman" w:hAnsi="Times New Roman" w:eastAsia="宋体" w:cs="Times New Roman"/>
                <w:b/>
                <w:bCs/>
                <w:color w:val="auto"/>
                <w:kern w:val="0"/>
                <w:sz w:val="24"/>
                <w:szCs w:val="24"/>
                <w:lang w:val="en-US" w:eastAsia="zh-CN"/>
              </w:rPr>
              <w:t>0</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auto"/>
                <w:kern w:val="0"/>
                <w:sz w:val="24"/>
                <w:szCs w:val="24"/>
              </w:rPr>
            </w:pPr>
          </w:p>
        </w:tc>
        <w:tc>
          <w:tcPr>
            <w:tcW w:w="151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auto"/>
                <w:kern w:val="0"/>
                <w:sz w:val="24"/>
                <w:szCs w:val="24"/>
                <w:lang w:val="en-US" w:eastAsia="zh-CN"/>
              </w:rPr>
            </w:pPr>
            <w:r>
              <w:rPr>
                <w:rFonts w:hint="default" w:ascii="Times New Roman" w:hAnsi="Times New Roman" w:eastAsia="宋体" w:cs="Times New Roman"/>
                <w:b/>
                <w:bCs/>
                <w:color w:val="auto"/>
                <w:kern w:val="0"/>
                <w:sz w:val="24"/>
                <w:szCs w:val="24"/>
              </w:rPr>
              <w:t>74.76</w:t>
            </w:r>
            <w:r>
              <w:rPr>
                <w:rFonts w:hint="default" w:ascii="Times New Roman" w:hAnsi="Times New Roman" w:eastAsia="宋体" w:cs="Times New Roman"/>
                <w:b/>
                <w:bCs/>
                <w:color w:val="auto"/>
                <w:kern w:val="0"/>
                <w:sz w:val="24"/>
                <w:szCs w:val="24"/>
                <w:lang w:val="en-US" w:eastAsia="zh-CN"/>
              </w:rPr>
              <w:t>0</w:t>
            </w:r>
          </w:p>
        </w:tc>
        <w:tc>
          <w:tcPr>
            <w:tcW w:w="77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auto"/>
                <w:kern w:val="0"/>
                <w:sz w:val="24"/>
                <w:szCs w:val="24"/>
              </w:rPr>
            </w:pPr>
          </w:p>
        </w:tc>
      </w:tr>
      <w:tr>
        <w:tblPrEx>
          <w:tblCellMar>
            <w:top w:w="0" w:type="dxa"/>
            <w:left w:w="108" w:type="dxa"/>
            <w:bottom w:w="0" w:type="dxa"/>
            <w:right w:w="108" w:type="dxa"/>
          </w:tblCellMar>
        </w:tblPrEx>
        <w:trPr>
          <w:trHeight w:val="319" w:hRule="atLeast"/>
          <w:jc w:val="center"/>
        </w:trPr>
        <w:tc>
          <w:tcPr>
            <w:tcW w:w="3411" w:type="dxa"/>
            <w:gridSpan w:val="2"/>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水土保持静态总投资</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auto"/>
                <w:kern w:val="0"/>
                <w:sz w:val="24"/>
                <w:szCs w:val="24"/>
                <w:lang w:val="en-US" w:eastAsia="zh-CN"/>
              </w:rPr>
            </w:pPr>
            <w:r>
              <w:rPr>
                <w:rFonts w:hint="default" w:ascii="Times New Roman" w:hAnsi="Times New Roman" w:eastAsia="宋体" w:cs="Times New Roman"/>
                <w:b/>
                <w:bCs/>
                <w:color w:val="auto"/>
                <w:kern w:val="0"/>
                <w:sz w:val="24"/>
                <w:szCs w:val="24"/>
              </w:rPr>
              <w:t>280.51</w:t>
            </w:r>
          </w:p>
        </w:tc>
        <w:tc>
          <w:tcPr>
            <w:tcW w:w="171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943.80</w:t>
            </w:r>
          </w:p>
        </w:tc>
        <w:tc>
          <w:tcPr>
            <w:tcW w:w="151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auto"/>
                <w:kern w:val="0"/>
                <w:sz w:val="24"/>
                <w:szCs w:val="24"/>
                <w:lang w:val="en-US" w:eastAsia="zh-CN"/>
              </w:rPr>
            </w:pPr>
            <w:r>
              <w:rPr>
                <w:rFonts w:hint="default" w:ascii="Times New Roman" w:hAnsi="Times New Roman" w:eastAsia="宋体" w:cs="Times New Roman"/>
                <w:b/>
                <w:bCs/>
                <w:color w:val="auto"/>
                <w:kern w:val="0"/>
                <w:sz w:val="24"/>
                <w:szCs w:val="24"/>
              </w:rPr>
              <w:t>1224.31</w:t>
            </w:r>
          </w:p>
        </w:tc>
        <w:tc>
          <w:tcPr>
            <w:tcW w:w="77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auto"/>
                <w:kern w:val="0"/>
                <w:sz w:val="24"/>
                <w:szCs w:val="24"/>
              </w:rPr>
            </w:pPr>
          </w:p>
        </w:tc>
      </w:tr>
    </w:tbl>
    <w:p>
      <w:pPr>
        <w:pStyle w:val="4"/>
        <w:rPr>
          <w:rFonts w:hint="eastAsia"/>
          <w:color w:val="FF0000"/>
          <w:lang w:val="en-US" w:eastAsia="zh-CN"/>
        </w:rPr>
      </w:pPr>
    </w:p>
    <w:sectPr>
      <w:footerReference r:id="rId4" w:type="default"/>
      <w:pgSz w:w="11906" w:h="16838"/>
      <w:pgMar w:top="1985" w:right="1446" w:bottom="1644" w:left="1446" w:header="851" w:footer="1474" w:gutter="0"/>
      <w:pgBorders>
        <w:top w:val="none" w:sz="0" w:space="0"/>
        <w:left w:val="none" w:sz="0" w:space="0"/>
        <w:bottom w:val="none" w:sz="0" w:space="0"/>
        <w:right w:val="none" w:sz="0" w:space="0"/>
      </w:pgBorders>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wis721 BT">
    <w:altName w:val="Segoe Script"/>
    <w:panose1 w:val="020B0504020202020204"/>
    <w:charset w:val="00"/>
    <w:family w:val="swiss"/>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entury Gothic">
    <w:altName w:val="Segoe Print"/>
    <w:panose1 w:val="020B0502020202020204"/>
    <w:charset w:val="00"/>
    <w:family w:val="swiss"/>
    <w:pitch w:val="default"/>
    <w:sig w:usb0="00000000" w:usb1="00000000" w:usb2="00000000" w:usb3="00000000" w:csb0="2000009F" w:csb1="DFD7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Segoe Script">
    <w:panose1 w:val="020B0504020000000003"/>
    <w:charset w:val="00"/>
    <w:family w:val="auto"/>
    <w:pitch w:val="default"/>
    <w:sig w:usb0="0000028F" w:usb1="00000000" w:usb2="00000000" w:usb3="00000000" w:csb0="0000009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wps:spPr>
                    <wps:txbx>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60288;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DMzFdEAAAADAQAADwAAAAAAAAABACAAAAAiAAAAZHJzL2Rvd25yZXYueG1sUEsBAhQAFAAAAAgA&#10;h07iQCZM3bfzAQAAwgMAAA4AAAAAAAAAAQAgAAAAIAEAAGRycy9lMm9Eb2MueG1sUEsFBgAAAAAG&#10;AAYAWQEAAIUFAAAAAA==&#10;">
              <v:fill on="f" focussize="0,0"/>
              <v:stroke on="f"/>
              <v:imagedata o:title=""/>
              <o:lock v:ext="edit" aspectratio="f"/>
              <v:textbox inset="0mm,0mm,0mm,0mm" style="mso-fit-shape-to-text:t;">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4"/>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vlmNoswBAAB6AwAADgAAAAAAAAABACAAAAAiAQAAZHJz&#10;L2Uyb0RvYy54bWxQSwUGAAAAAAYABgBZAQAAYAUAAAAA&#10;">
              <v:fill on="f" focussize="0,0"/>
              <v:stroke on="f" weight="1.25pt"/>
              <v:imagedata o:title=""/>
              <o:lock v:ext="edit" aspectratio="f"/>
              <v:textbox inset="0mm,0mm,0mm,0mm" style="mso-fit-shape-to-text:t;">
                <w:txbxContent>
                  <w:p>
                    <w:pPr>
                      <w:pStyle w:val="14"/>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DB"/>
    <w:rsid w:val="0000400D"/>
    <w:rsid w:val="0001360F"/>
    <w:rsid w:val="00013DC7"/>
    <w:rsid w:val="00030673"/>
    <w:rsid w:val="00033909"/>
    <w:rsid w:val="00037512"/>
    <w:rsid w:val="000407F0"/>
    <w:rsid w:val="000523B1"/>
    <w:rsid w:val="000555E9"/>
    <w:rsid w:val="000568AA"/>
    <w:rsid w:val="00061B2E"/>
    <w:rsid w:val="00062293"/>
    <w:rsid w:val="00062D2C"/>
    <w:rsid w:val="00063B50"/>
    <w:rsid w:val="00065DBF"/>
    <w:rsid w:val="000766E7"/>
    <w:rsid w:val="00092431"/>
    <w:rsid w:val="000A5496"/>
    <w:rsid w:val="000A5C46"/>
    <w:rsid w:val="000B4ADE"/>
    <w:rsid w:val="000B5CD7"/>
    <w:rsid w:val="000B5F67"/>
    <w:rsid w:val="000C0B1D"/>
    <w:rsid w:val="000C0CA4"/>
    <w:rsid w:val="000E013A"/>
    <w:rsid w:val="000E6F54"/>
    <w:rsid w:val="000E7136"/>
    <w:rsid w:val="000F1818"/>
    <w:rsid w:val="000F36A3"/>
    <w:rsid w:val="0010191B"/>
    <w:rsid w:val="00104BDA"/>
    <w:rsid w:val="00106CEA"/>
    <w:rsid w:val="00112AF1"/>
    <w:rsid w:val="00115A0D"/>
    <w:rsid w:val="00120D21"/>
    <w:rsid w:val="001226FF"/>
    <w:rsid w:val="00127815"/>
    <w:rsid w:val="001308FC"/>
    <w:rsid w:val="00132F0D"/>
    <w:rsid w:val="001341DF"/>
    <w:rsid w:val="001406E7"/>
    <w:rsid w:val="00151460"/>
    <w:rsid w:val="00157513"/>
    <w:rsid w:val="00160893"/>
    <w:rsid w:val="00165DF4"/>
    <w:rsid w:val="00166002"/>
    <w:rsid w:val="00175A39"/>
    <w:rsid w:val="00183AE1"/>
    <w:rsid w:val="001903CD"/>
    <w:rsid w:val="001930D3"/>
    <w:rsid w:val="001932A2"/>
    <w:rsid w:val="00196EFA"/>
    <w:rsid w:val="001A51C7"/>
    <w:rsid w:val="001B217D"/>
    <w:rsid w:val="001C0A6F"/>
    <w:rsid w:val="001D062B"/>
    <w:rsid w:val="001F3035"/>
    <w:rsid w:val="001F34AB"/>
    <w:rsid w:val="001F5AB0"/>
    <w:rsid w:val="00205E64"/>
    <w:rsid w:val="00206494"/>
    <w:rsid w:val="00213017"/>
    <w:rsid w:val="00215D0D"/>
    <w:rsid w:val="0021642A"/>
    <w:rsid w:val="0022295E"/>
    <w:rsid w:val="00234598"/>
    <w:rsid w:val="00235A74"/>
    <w:rsid w:val="00235AA8"/>
    <w:rsid w:val="00237ECB"/>
    <w:rsid w:val="00241B99"/>
    <w:rsid w:val="0024677B"/>
    <w:rsid w:val="00254D2B"/>
    <w:rsid w:val="00255C32"/>
    <w:rsid w:val="00260628"/>
    <w:rsid w:val="002618BB"/>
    <w:rsid w:val="002677DD"/>
    <w:rsid w:val="00274C14"/>
    <w:rsid w:val="00284091"/>
    <w:rsid w:val="00285603"/>
    <w:rsid w:val="00295BFD"/>
    <w:rsid w:val="002A2424"/>
    <w:rsid w:val="002A33A6"/>
    <w:rsid w:val="002B497B"/>
    <w:rsid w:val="002B6B43"/>
    <w:rsid w:val="002B7B01"/>
    <w:rsid w:val="002C04D3"/>
    <w:rsid w:val="002D45CC"/>
    <w:rsid w:val="002D55BB"/>
    <w:rsid w:val="002D70D3"/>
    <w:rsid w:val="002D7205"/>
    <w:rsid w:val="002E5667"/>
    <w:rsid w:val="002E6C6F"/>
    <w:rsid w:val="002F7738"/>
    <w:rsid w:val="002F7A4F"/>
    <w:rsid w:val="0030765D"/>
    <w:rsid w:val="00310A7F"/>
    <w:rsid w:val="003119F3"/>
    <w:rsid w:val="00315A19"/>
    <w:rsid w:val="00316AB1"/>
    <w:rsid w:val="00321AE7"/>
    <w:rsid w:val="00340609"/>
    <w:rsid w:val="00342062"/>
    <w:rsid w:val="00351FF2"/>
    <w:rsid w:val="0035241F"/>
    <w:rsid w:val="00352952"/>
    <w:rsid w:val="00354055"/>
    <w:rsid w:val="00357672"/>
    <w:rsid w:val="0037216D"/>
    <w:rsid w:val="0038087C"/>
    <w:rsid w:val="00397F9F"/>
    <w:rsid w:val="003A2C4B"/>
    <w:rsid w:val="003A6141"/>
    <w:rsid w:val="003B545E"/>
    <w:rsid w:val="003C3BBF"/>
    <w:rsid w:val="003C5CAA"/>
    <w:rsid w:val="003E623A"/>
    <w:rsid w:val="003F0E48"/>
    <w:rsid w:val="003F259B"/>
    <w:rsid w:val="003F3155"/>
    <w:rsid w:val="003F3CCA"/>
    <w:rsid w:val="003F6AD1"/>
    <w:rsid w:val="00402683"/>
    <w:rsid w:val="004046C2"/>
    <w:rsid w:val="0043029A"/>
    <w:rsid w:val="004312D6"/>
    <w:rsid w:val="00431BB7"/>
    <w:rsid w:val="00436E7E"/>
    <w:rsid w:val="0043754E"/>
    <w:rsid w:val="00437D48"/>
    <w:rsid w:val="00440E38"/>
    <w:rsid w:val="004445C8"/>
    <w:rsid w:val="004515D0"/>
    <w:rsid w:val="0045241E"/>
    <w:rsid w:val="0045392E"/>
    <w:rsid w:val="004617F0"/>
    <w:rsid w:val="004621ED"/>
    <w:rsid w:val="004653E3"/>
    <w:rsid w:val="00474F83"/>
    <w:rsid w:val="004759F5"/>
    <w:rsid w:val="00483C2E"/>
    <w:rsid w:val="004A36B8"/>
    <w:rsid w:val="004B124C"/>
    <w:rsid w:val="004B167F"/>
    <w:rsid w:val="004B5008"/>
    <w:rsid w:val="004C0513"/>
    <w:rsid w:val="004C3E7F"/>
    <w:rsid w:val="004C6217"/>
    <w:rsid w:val="004C7B88"/>
    <w:rsid w:val="004D5DFA"/>
    <w:rsid w:val="004E0116"/>
    <w:rsid w:val="004E0A81"/>
    <w:rsid w:val="004E5C09"/>
    <w:rsid w:val="004F06AF"/>
    <w:rsid w:val="004F3A18"/>
    <w:rsid w:val="004F5077"/>
    <w:rsid w:val="005115C4"/>
    <w:rsid w:val="005139F5"/>
    <w:rsid w:val="00514647"/>
    <w:rsid w:val="00520CF7"/>
    <w:rsid w:val="00524443"/>
    <w:rsid w:val="00524DD2"/>
    <w:rsid w:val="00535712"/>
    <w:rsid w:val="00560578"/>
    <w:rsid w:val="0056487A"/>
    <w:rsid w:val="00571068"/>
    <w:rsid w:val="005752D3"/>
    <w:rsid w:val="0057599A"/>
    <w:rsid w:val="00575A67"/>
    <w:rsid w:val="005822B6"/>
    <w:rsid w:val="00582D98"/>
    <w:rsid w:val="005837BA"/>
    <w:rsid w:val="0058427A"/>
    <w:rsid w:val="0058610A"/>
    <w:rsid w:val="00594D43"/>
    <w:rsid w:val="005A0A69"/>
    <w:rsid w:val="005A18E7"/>
    <w:rsid w:val="005A4BAB"/>
    <w:rsid w:val="005A6E19"/>
    <w:rsid w:val="005A7156"/>
    <w:rsid w:val="005B0C9E"/>
    <w:rsid w:val="005B0D68"/>
    <w:rsid w:val="005B2FF4"/>
    <w:rsid w:val="005C0CCE"/>
    <w:rsid w:val="005C1D60"/>
    <w:rsid w:val="005C334A"/>
    <w:rsid w:val="005C6C4A"/>
    <w:rsid w:val="005D6A26"/>
    <w:rsid w:val="005D6FAE"/>
    <w:rsid w:val="005F0F49"/>
    <w:rsid w:val="00602204"/>
    <w:rsid w:val="00603CA3"/>
    <w:rsid w:val="00607864"/>
    <w:rsid w:val="00624B36"/>
    <w:rsid w:val="006533BD"/>
    <w:rsid w:val="00654F91"/>
    <w:rsid w:val="00655A47"/>
    <w:rsid w:val="00656B0C"/>
    <w:rsid w:val="006571D7"/>
    <w:rsid w:val="0067235F"/>
    <w:rsid w:val="0069564E"/>
    <w:rsid w:val="006A3AA2"/>
    <w:rsid w:val="006B110A"/>
    <w:rsid w:val="006B1DE4"/>
    <w:rsid w:val="006B63D8"/>
    <w:rsid w:val="006D159B"/>
    <w:rsid w:val="006D4B21"/>
    <w:rsid w:val="006D4C7B"/>
    <w:rsid w:val="006D6CC7"/>
    <w:rsid w:val="006D74D2"/>
    <w:rsid w:val="006E1444"/>
    <w:rsid w:val="006F479E"/>
    <w:rsid w:val="006F48FE"/>
    <w:rsid w:val="006F6EB3"/>
    <w:rsid w:val="006F6FB4"/>
    <w:rsid w:val="007034D0"/>
    <w:rsid w:val="007038C8"/>
    <w:rsid w:val="00706EE8"/>
    <w:rsid w:val="007108F5"/>
    <w:rsid w:val="00713BC0"/>
    <w:rsid w:val="0072265A"/>
    <w:rsid w:val="007230EE"/>
    <w:rsid w:val="007406AC"/>
    <w:rsid w:val="00741D91"/>
    <w:rsid w:val="007452C5"/>
    <w:rsid w:val="00750073"/>
    <w:rsid w:val="0076107D"/>
    <w:rsid w:val="0076527A"/>
    <w:rsid w:val="00773E09"/>
    <w:rsid w:val="00775EB0"/>
    <w:rsid w:val="007821DE"/>
    <w:rsid w:val="00782676"/>
    <w:rsid w:val="00784393"/>
    <w:rsid w:val="00787FC0"/>
    <w:rsid w:val="00797906"/>
    <w:rsid w:val="007A529C"/>
    <w:rsid w:val="007A7FD2"/>
    <w:rsid w:val="007B00B6"/>
    <w:rsid w:val="007B3307"/>
    <w:rsid w:val="007B7093"/>
    <w:rsid w:val="007B73DB"/>
    <w:rsid w:val="007C02B9"/>
    <w:rsid w:val="007C4701"/>
    <w:rsid w:val="007C4AF1"/>
    <w:rsid w:val="007C6BDE"/>
    <w:rsid w:val="007C7CC0"/>
    <w:rsid w:val="007D3412"/>
    <w:rsid w:val="007E5D34"/>
    <w:rsid w:val="007F0F80"/>
    <w:rsid w:val="007F4723"/>
    <w:rsid w:val="00801A99"/>
    <w:rsid w:val="00803DD8"/>
    <w:rsid w:val="00810362"/>
    <w:rsid w:val="008170EF"/>
    <w:rsid w:val="008174D5"/>
    <w:rsid w:val="00823F6A"/>
    <w:rsid w:val="00843B99"/>
    <w:rsid w:val="00846224"/>
    <w:rsid w:val="00853163"/>
    <w:rsid w:val="0085340B"/>
    <w:rsid w:val="00857647"/>
    <w:rsid w:val="00860D33"/>
    <w:rsid w:val="00867E7F"/>
    <w:rsid w:val="00871FA8"/>
    <w:rsid w:val="00874A6A"/>
    <w:rsid w:val="008771E0"/>
    <w:rsid w:val="0087747E"/>
    <w:rsid w:val="00883B07"/>
    <w:rsid w:val="00884BB2"/>
    <w:rsid w:val="00886249"/>
    <w:rsid w:val="0089351B"/>
    <w:rsid w:val="00895DB9"/>
    <w:rsid w:val="00897175"/>
    <w:rsid w:val="008A1DB3"/>
    <w:rsid w:val="008A2D9C"/>
    <w:rsid w:val="008A6A44"/>
    <w:rsid w:val="008A7146"/>
    <w:rsid w:val="008A78A9"/>
    <w:rsid w:val="008B1D58"/>
    <w:rsid w:val="008B3171"/>
    <w:rsid w:val="008B3303"/>
    <w:rsid w:val="008B3C73"/>
    <w:rsid w:val="008B40AF"/>
    <w:rsid w:val="008C37AC"/>
    <w:rsid w:val="008C48FE"/>
    <w:rsid w:val="008C699F"/>
    <w:rsid w:val="008D03FF"/>
    <w:rsid w:val="008D1156"/>
    <w:rsid w:val="008E237C"/>
    <w:rsid w:val="008E4B6D"/>
    <w:rsid w:val="008E6BE6"/>
    <w:rsid w:val="008F27F1"/>
    <w:rsid w:val="009052B5"/>
    <w:rsid w:val="00905994"/>
    <w:rsid w:val="00907BE2"/>
    <w:rsid w:val="0091382C"/>
    <w:rsid w:val="00913F36"/>
    <w:rsid w:val="00924678"/>
    <w:rsid w:val="00934C04"/>
    <w:rsid w:val="009439C9"/>
    <w:rsid w:val="00943F6D"/>
    <w:rsid w:val="00945285"/>
    <w:rsid w:val="00945B73"/>
    <w:rsid w:val="0094698B"/>
    <w:rsid w:val="00947985"/>
    <w:rsid w:val="00950B4F"/>
    <w:rsid w:val="00953230"/>
    <w:rsid w:val="00962090"/>
    <w:rsid w:val="00971427"/>
    <w:rsid w:val="00983119"/>
    <w:rsid w:val="00991445"/>
    <w:rsid w:val="00992768"/>
    <w:rsid w:val="00993BBF"/>
    <w:rsid w:val="009B0EA6"/>
    <w:rsid w:val="009B4011"/>
    <w:rsid w:val="009B7763"/>
    <w:rsid w:val="009C35E1"/>
    <w:rsid w:val="009D56D9"/>
    <w:rsid w:val="009E11E8"/>
    <w:rsid w:val="009F4C11"/>
    <w:rsid w:val="00A00200"/>
    <w:rsid w:val="00A048F3"/>
    <w:rsid w:val="00A17B1B"/>
    <w:rsid w:val="00A23010"/>
    <w:rsid w:val="00A2448D"/>
    <w:rsid w:val="00A2654D"/>
    <w:rsid w:val="00A30896"/>
    <w:rsid w:val="00A34111"/>
    <w:rsid w:val="00A37551"/>
    <w:rsid w:val="00A410D0"/>
    <w:rsid w:val="00A50D9F"/>
    <w:rsid w:val="00A60805"/>
    <w:rsid w:val="00A61854"/>
    <w:rsid w:val="00A63A0D"/>
    <w:rsid w:val="00A65741"/>
    <w:rsid w:val="00A66E46"/>
    <w:rsid w:val="00A67B4D"/>
    <w:rsid w:val="00A72322"/>
    <w:rsid w:val="00A7391C"/>
    <w:rsid w:val="00A74139"/>
    <w:rsid w:val="00A80FC5"/>
    <w:rsid w:val="00A90F78"/>
    <w:rsid w:val="00A96445"/>
    <w:rsid w:val="00A97CFE"/>
    <w:rsid w:val="00AA08A6"/>
    <w:rsid w:val="00AA25AC"/>
    <w:rsid w:val="00AA3C5C"/>
    <w:rsid w:val="00AA4199"/>
    <w:rsid w:val="00AA4410"/>
    <w:rsid w:val="00AA47EB"/>
    <w:rsid w:val="00AA5136"/>
    <w:rsid w:val="00AB0D0D"/>
    <w:rsid w:val="00AC5C20"/>
    <w:rsid w:val="00AC6FD2"/>
    <w:rsid w:val="00AD47C3"/>
    <w:rsid w:val="00AD552A"/>
    <w:rsid w:val="00AE2C56"/>
    <w:rsid w:val="00AE317C"/>
    <w:rsid w:val="00AE4DEE"/>
    <w:rsid w:val="00AE54DD"/>
    <w:rsid w:val="00AE675A"/>
    <w:rsid w:val="00AE7973"/>
    <w:rsid w:val="00AF2088"/>
    <w:rsid w:val="00AF4D93"/>
    <w:rsid w:val="00AF65D5"/>
    <w:rsid w:val="00B01E33"/>
    <w:rsid w:val="00B0754C"/>
    <w:rsid w:val="00B11B53"/>
    <w:rsid w:val="00B17D1E"/>
    <w:rsid w:val="00B207DD"/>
    <w:rsid w:val="00B216EC"/>
    <w:rsid w:val="00B3113A"/>
    <w:rsid w:val="00B32F7D"/>
    <w:rsid w:val="00B36599"/>
    <w:rsid w:val="00B37BB4"/>
    <w:rsid w:val="00B41EF0"/>
    <w:rsid w:val="00B42430"/>
    <w:rsid w:val="00B512EA"/>
    <w:rsid w:val="00B52E37"/>
    <w:rsid w:val="00B537BC"/>
    <w:rsid w:val="00B53D78"/>
    <w:rsid w:val="00B55E69"/>
    <w:rsid w:val="00B57E3E"/>
    <w:rsid w:val="00B60C2F"/>
    <w:rsid w:val="00B63E41"/>
    <w:rsid w:val="00B65646"/>
    <w:rsid w:val="00B67ABB"/>
    <w:rsid w:val="00B77FAF"/>
    <w:rsid w:val="00B81A16"/>
    <w:rsid w:val="00B82421"/>
    <w:rsid w:val="00B8744A"/>
    <w:rsid w:val="00B92E95"/>
    <w:rsid w:val="00B96529"/>
    <w:rsid w:val="00B978A1"/>
    <w:rsid w:val="00BA2992"/>
    <w:rsid w:val="00BA447A"/>
    <w:rsid w:val="00BA4620"/>
    <w:rsid w:val="00BA4905"/>
    <w:rsid w:val="00BB189A"/>
    <w:rsid w:val="00BB2DF2"/>
    <w:rsid w:val="00BB6E6D"/>
    <w:rsid w:val="00BC05B3"/>
    <w:rsid w:val="00BC1430"/>
    <w:rsid w:val="00BD11FE"/>
    <w:rsid w:val="00BD417A"/>
    <w:rsid w:val="00BD5D11"/>
    <w:rsid w:val="00BD7B5B"/>
    <w:rsid w:val="00BE69AE"/>
    <w:rsid w:val="00BF0D55"/>
    <w:rsid w:val="00BF3540"/>
    <w:rsid w:val="00C058C5"/>
    <w:rsid w:val="00C15791"/>
    <w:rsid w:val="00C16AB5"/>
    <w:rsid w:val="00C23D8F"/>
    <w:rsid w:val="00C247D0"/>
    <w:rsid w:val="00C2558A"/>
    <w:rsid w:val="00C25652"/>
    <w:rsid w:val="00C27A4E"/>
    <w:rsid w:val="00C31A10"/>
    <w:rsid w:val="00C3695A"/>
    <w:rsid w:val="00C530BD"/>
    <w:rsid w:val="00C553B5"/>
    <w:rsid w:val="00C573D0"/>
    <w:rsid w:val="00C736FC"/>
    <w:rsid w:val="00C77DEA"/>
    <w:rsid w:val="00C80122"/>
    <w:rsid w:val="00C80BC2"/>
    <w:rsid w:val="00C847F7"/>
    <w:rsid w:val="00C87E84"/>
    <w:rsid w:val="00C97820"/>
    <w:rsid w:val="00CA33D9"/>
    <w:rsid w:val="00CA3DCF"/>
    <w:rsid w:val="00CB3875"/>
    <w:rsid w:val="00CB5333"/>
    <w:rsid w:val="00CC1130"/>
    <w:rsid w:val="00CC47A6"/>
    <w:rsid w:val="00CD1138"/>
    <w:rsid w:val="00CD283B"/>
    <w:rsid w:val="00CD65F8"/>
    <w:rsid w:val="00CE1208"/>
    <w:rsid w:val="00CF0686"/>
    <w:rsid w:val="00CF3A6D"/>
    <w:rsid w:val="00CF5E70"/>
    <w:rsid w:val="00D06A08"/>
    <w:rsid w:val="00D2019C"/>
    <w:rsid w:val="00D232D4"/>
    <w:rsid w:val="00D271CA"/>
    <w:rsid w:val="00D27F26"/>
    <w:rsid w:val="00D308FB"/>
    <w:rsid w:val="00D35A9A"/>
    <w:rsid w:val="00D47EAA"/>
    <w:rsid w:val="00D62263"/>
    <w:rsid w:val="00D64280"/>
    <w:rsid w:val="00D65450"/>
    <w:rsid w:val="00D67AD5"/>
    <w:rsid w:val="00D67D3C"/>
    <w:rsid w:val="00D741FA"/>
    <w:rsid w:val="00D74F20"/>
    <w:rsid w:val="00D76099"/>
    <w:rsid w:val="00D8442B"/>
    <w:rsid w:val="00D93BAF"/>
    <w:rsid w:val="00D93F10"/>
    <w:rsid w:val="00D952D7"/>
    <w:rsid w:val="00DA1312"/>
    <w:rsid w:val="00DB2FF3"/>
    <w:rsid w:val="00DC0DF9"/>
    <w:rsid w:val="00DC1913"/>
    <w:rsid w:val="00DC3CDF"/>
    <w:rsid w:val="00DC727C"/>
    <w:rsid w:val="00DD5257"/>
    <w:rsid w:val="00DD5FA2"/>
    <w:rsid w:val="00DF3456"/>
    <w:rsid w:val="00E00306"/>
    <w:rsid w:val="00E01FC4"/>
    <w:rsid w:val="00E025F1"/>
    <w:rsid w:val="00E0291F"/>
    <w:rsid w:val="00E11285"/>
    <w:rsid w:val="00E11BB0"/>
    <w:rsid w:val="00E132A3"/>
    <w:rsid w:val="00E16C41"/>
    <w:rsid w:val="00E20AED"/>
    <w:rsid w:val="00E23D57"/>
    <w:rsid w:val="00E306E0"/>
    <w:rsid w:val="00E31E93"/>
    <w:rsid w:val="00E32469"/>
    <w:rsid w:val="00E368CB"/>
    <w:rsid w:val="00E52155"/>
    <w:rsid w:val="00E52175"/>
    <w:rsid w:val="00E560F3"/>
    <w:rsid w:val="00E61BFE"/>
    <w:rsid w:val="00E65AD7"/>
    <w:rsid w:val="00E66531"/>
    <w:rsid w:val="00E67252"/>
    <w:rsid w:val="00E7051E"/>
    <w:rsid w:val="00E727CE"/>
    <w:rsid w:val="00E72A27"/>
    <w:rsid w:val="00E764EC"/>
    <w:rsid w:val="00E87ED3"/>
    <w:rsid w:val="00E92DB0"/>
    <w:rsid w:val="00E95561"/>
    <w:rsid w:val="00E9698C"/>
    <w:rsid w:val="00E978C2"/>
    <w:rsid w:val="00EA08C5"/>
    <w:rsid w:val="00EA33B0"/>
    <w:rsid w:val="00EB5991"/>
    <w:rsid w:val="00EC07EE"/>
    <w:rsid w:val="00EC7F30"/>
    <w:rsid w:val="00ED1C88"/>
    <w:rsid w:val="00EE0FAA"/>
    <w:rsid w:val="00EE20D2"/>
    <w:rsid w:val="00EF2BD0"/>
    <w:rsid w:val="00F00652"/>
    <w:rsid w:val="00F015C1"/>
    <w:rsid w:val="00F1001E"/>
    <w:rsid w:val="00F227CF"/>
    <w:rsid w:val="00F23015"/>
    <w:rsid w:val="00F3450D"/>
    <w:rsid w:val="00F35816"/>
    <w:rsid w:val="00F37419"/>
    <w:rsid w:val="00F400FE"/>
    <w:rsid w:val="00F407ED"/>
    <w:rsid w:val="00F4330D"/>
    <w:rsid w:val="00F5171F"/>
    <w:rsid w:val="00F524B1"/>
    <w:rsid w:val="00F52F56"/>
    <w:rsid w:val="00F55267"/>
    <w:rsid w:val="00F56A1C"/>
    <w:rsid w:val="00F574B8"/>
    <w:rsid w:val="00F60ECA"/>
    <w:rsid w:val="00F620F3"/>
    <w:rsid w:val="00F67722"/>
    <w:rsid w:val="00F7012C"/>
    <w:rsid w:val="00F72BBF"/>
    <w:rsid w:val="00F74B5B"/>
    <w:rsid w:val="00F757A6"/>
    <w:rsid w:val="00F77D2E"/>
    <w:rsid w:val="00F8027A"/>
    <w:rsid w:val="00F91499"/>
    <w:rsid w:val="00F94FBA"/>
    <w:rsid w:val="00F952C5"/>
    <w:rsid w:val="00FA0D4B"/>
    <w:rsid w:val="00FA1A6E"/>
    <w:rsid w:val="00FA6622"/>
    <w:rsid w:val="00FB007C"/>
    <w:rsid w:val="00FB512A"/>
    <w:rsid w:val="00FB5B96"/>
    <w:rsid w:val="00FB71A5"/>
    <w:rsid w:val="00FB731C"/>
    <w:rsid w:val="00FC08B0"/>
    <w:rsid w:val="00FC0DF0"/>
    <w:rsid w:val="00FC4344"/>
    <w:rsid w:val="00FD08F3"/>
    <w:rsid w:val="00FD6A6A"/>
    <w:rsid w:val="00FE6FDC"/>
    <w:rsid w:val="00FE7579"/>
    <w:rsid w:val="02B50089"/>
    <w:rsid w:val="03195D34"/>
    <w:rsid w:val="0348073F"/>
    <w:rsid w:val="04206CAA"/>
    <w:rsid w:val="055361AC"/>
    <w:rsid w:val="056E1929"/>
    <w:rsid w:val="05CD41A8"/>
    <w:rsid w:val="05FE8D8E"/>
    <w:rsid w:val="06562393"/>
    <w:rsid w:val="06EE7132"/>
    <w:rsid w:val="07187328"/>
    <w:rsid w:val="07BB4394"/>
    <w:rsid w:val="08FA494B"/>
    <w:rsid w:val="0AAD4C53"/>
    <w:rsid w:val="0B731774"/>
    <w:rsid w:val="0B890510"/>
    <w:rsid w:val="0BD43311"/>
    <w:rsid w:val="0C175830"/>
    <w:rsid w:val="0CCD0FDB"/>
    <w:rsid w:val="0D041DC3"/>
    <w:rsid w:val="0E215FED"/>
    <w:rsid w:val="0E2E77FB"/>
    <w:rsid w:val="0EAD22B1"/>
    <w:rsid w:val="0EF94AD2"/>
    <w:rsid w:val="0EF96D0F"/>
    <w:rsid w:val="0F736B0C"/>
    <w:rsid w:val="0F77A613"/>
    <w:rsid w:val="0F7830AF"/>
    <w:rsid w:val="0FEB31A3"/>
    <w:rsid w:val="10C6291E"/>
    <w:rsid w:val="12207CB7"/>
    <w:rsid w:val="135145E4"/>
    <w:rsid w:val="136638AB"/>
    <w:rsid w:val="13763A43"/>
    <w:rsid w:val="14706153"/>
    <w:rsid w:val="15D50686"/>
    <w:rsid w:val="17AD1515"/>
    <w:rsid w:val="191F2D4F"/>
    <w:rsid w:val="19E63E0C"/>
    <w:rsid w:val="1AA11BA9"/>
    <w:rsid w:val="1C690C00"/>
    <w:rsid w:val="1D2C5FE8"/>
    <w:rsid w:val="1DFB7D1C"/>
    <w:rsid w:val="1E69485B"/>
    <w:rsid w:val="1E9C00A0"/>
    <w:rsid w:val="1F3B6715"/>
    <w:rsid w:val="1F5CA05E"/>
    <w:rsid w:val="1F6F63CD"/>
    <w:rsid w:val="1FFD4D5A"/>
    <w:rsid w:val="219C1C67"/>
    <w:rsid w:val="21A73E45"/>
    <w:rsid w:val="220F0EDB"/>
    <w:rsid w:val="23CC7B8D"/>
    <w:rsid w:val="24432410"/>
    <w:rsid w:val="24D523AF"/>
    <w:rsid w:val="2571113E"/>
    <w:rsid w:val="25C83420"/>
    <w:rsid w:val="261F1106"/>
    <w:rsid w:val="275C69CE"/>
    <w:rsid w:val="290A7315"/>
    <w:rsid w:val="29C10E64"/>
    <w:rsid w:val="2A341411"/>
    <w:rsid w:val="2B1706DC"/>
    <w:rsid w:val="2B17EBFE"/>
    <w:rsid w:val="2CBE2431"/>
    <w:rsid w:val="2ECB239C"/>
    <w:rsid w:val="2FEB4B9F"/>
    <w:rsid w:val="2FEB6799"/>
    <w:rsid w:val="30914434"/>
    <w:rsid w:val="31D921A4"/>
    <w:rsid w:val="32BF7018"/>
    <w:rsid w:val="33AFCDDC"/>
    <w:rsid w:val="34581908"/>
    <w:rsid w:val="35020712"/>
    <w:rsid w:val="35065A3A"/>
    <w:rsid w:val="35D5328C"/>
    <w:rsid w:val="370D16B3"/>
    <w:rsid w:val="37C51145"/>
    <w:rsid w:val="37D34713"/>
    <w:rsid w:val="37FFA73D"/>
    <w:rsid w:val="386510FC"/>
    <w:rsid w:val="39BA7744"/>
    <w:rsid w:val="3AB853C8"/>
    <w:rsid w:val="3B9F2014"/>
    <w:rsid w:val="3BA26649"/>
    <w:rsid w:val="3BEB2DD8"/>
    <w:rsid w:val="3BEFAF9D"/>
    <w:rsid w:val="3C9A35A3"/>
    <w:rsid w:val="3D7F5882"/>
    <w:rsid w:val="3DAE63C3"/>
    <w:rsid w:val="3DBB3E02"/>
    <w:rsid w:val="3DBF2728"/>
    <w:rsid w:val="3DD030B8"/>
    <w:rsid w:val="3DD7C212"/>
    <w:rsid w:val="3DDE5100"/>
    <w:rsid w:val="3DFBB525"/>
    <w:rsid w:val="3E63500C"/>
    <w:rsid w:val="3E81138A"/>
    <w:rsid w:val="3EE58A66"/>
    <w:rsid w:val="3EF7607B"/>
    <w:rsid w:val="3EFE8C2A"/>
    <w:rsid w:val="3F7F5A6A"/>
    <w:rsid w:val="3F7F6E9A"/>
    <w:rsid w:val="3FA43F19"/>
    <w:rsid w:val="3FBF6162"/>
    <w:rsid w:val="3FDF6E79"/>
    <w:rsid w:val="3FFB0F51"/>
    <w:rsid w:val="3FFF6CE3"/>
    <w:rsid w:val="41285076"/>
    <w:rsid w:val="42AD5BED"/>
    <w:rsid w:val="43396CC2"/>
    <w:rsid w:val="43723646"/>
    <w:rsid w:val="439D17F4"/>
    <w:rsid w:val="46BF18E1"/>
    <w:rsid w:val="46E66BFD"/>
    <w:rsid w:val="473E4D14"/>
    <w:rsid w:val="47FCCC74"/>
    <w:rsid w:val="489A0AE6"/>
    <w:rsid w:val="4A9317A2"/>
    <w:rsid w:val="4B4D65A7"/>
    <w:rsid w:val="4D2370E7"/>
    <w:rsid w:val="4DECC0FF"/>
    <w:rsid w:val="4E7647D3"/>
    <w:rsid w:val="4E8C447A"/>
    <w:rsid w:val="4F502494"/>
    <w:rsid w:val="4FBEF9B5"/>
    <w:rsid w:val="4FC55E23"/>
    <w:rsid w:val="509A7964"/>
    <w:rsid w:val="52FBBD0A"/>
    <w:rsid w:val="53D72F5A"/>
    <w:rsid w:val="53FDACB5"/>
    <w:rsid w:val="54510FE5"/>
    <w:rsid w:val="55FFF0DB"/>
    <w:rsid w:val="56020BB4"/>
    <w:rsid w:val="571E02A3"/>
    <w:rsid w:val="57EB1FC0"/>
    <w:rsid w:val="57FD7E1B"/>
    <w:rsid w:val="584843AC"/>
    <w:rsid w:val="5A7E2231"/>
    <w:rsid w:val="5ABF87E8"/>
    <w:rsid w:val="5ADF6823"/>
    <w:rsid w:val="5B175D16"/>
    <w:rsid w:val="5B1A0782"/>
    <w:rsid w:val="5C624A97"/>
    <w:rsid w:val="5DDA3951"/>
    <w:rsid w:val="5E5AF9EE"/>
    <w:rsid w:val="5F7DCD7F"/>
    <w:rsid w:val="5FA95F49"/>
    <w:rsid w:val="5FBF8763"/>
    <w:rsid w:val="5FD602F2"/>
    <w:rsid w:val="5FEF0E87"/>
    <w:rsid w:val="61CB412D"/>
    <w:rsid w:val="61E274FB"/>
    <w:rsid w:val="63270190"/>
    <w:rsid w:val="63C07097"/>
    <w:rsid w:val="63F6BC28"/>
    <w:rsid w:val="654340E7"/>
    <w:rsid w:val="664F3B20"/>
    <w:rsid w:val="675B5FBD"/>
    <w:rsid w:val="6788382C"/>
    <w:rsid w:val="67BED0C3"/>
    <w:rsid w:val="6826391B"/>
    <w:rsid w:val="6867608D"/>
    <w:rsid w:val="68EF42C4"/>
    <w:rsid w:val="6A7FB000"/>
    <w:rsid w:val="6A956400"/>
    <w:rsid w:val="6ABF5399"/>
    <w:rsid w:val="6B6E072A"/>
    <w:rsid w:val="6BBB6541"/>
    <w:rsid w:val="6C67536A"/>
    <w:rsid w:val="6D4D31CC"/>
    <w:rsid w:val="6E504A7B"/>
    <w:rsid w:val="6EE7EE79"/>
    <w:rsid w:val="6EFE9375"/>
    <w:rsid w:val="6F5A0D30"/>
    <w:rsid w:val="6F5A677D"/>
    <w:rsid w:val="6F9F2C42"/>
    <w:rsid w:val="6FDB23B1"/>
    <w:rsid w:val="6FDF0059"/>
    <w:rsid w:val="6FE6DE43"/>
    <w:rsid w:val="6FFF2707"/>
    <w:rsid w:val="700A63FA"/>
    <w:rsid w:val="71180D83"/>
    <w:rsid w:val="71F95C1E"/>
    <w:rsid w:val="72836946"/>
    <w:rsid w:val="728B5B6F"/>
    <w:rsid w:val="72C3149E"/>
    <w:rsid w:val="73661CF5"/>
    <w:rsid w:val="73AC6CAF"/>
    <w:rsid w:val="73DC4B44"/>
    <w:rsid w:val="73EFE563"/>
    <w:rsid w:val="73F8977C"/>
    <w:rsid w:val="743E4BED"/>
    <w:rsid w:val="744A0831"/>
    <w:rsid w:val="746DE58C"/>
    <w:rsid w:val="75DFB322"/>
    <w:rsid w:val="75FF1D72"/>
    <w:rsid w:val="76862FBE"/>
    <w:rsid w:val="76AE5741"/>
    <w:rsid w:val="76F61301"/>
    <w:rsid w:val="77052688"/>
    <w:rsid w:val="774E327C"/>
    <w:rsid w:val="779656C4"/>
    <w:rsid w:val="779FFD24"/>
    <w:rsid w:val="77BE3158"/>
    <w:rsid w:val="77D116E6"/>
    <w:rsid w:val="77F6D61D"/>
    <w:rsid w:val="788619C9"/>
    <w:rsid w:val="78D4654C"/>
    <w:rsid w:val="797DEB38"/>
    <w:rsid w:val="79AE4707"/>
    <w:rsid w:val="7AF6FDD8"/>
    <w:rsid w:val="7AFB0652"/>
    <w:rsid w:val="7B56DDA2"/>
    <w:rsid w:val="7B5C206A"/>
    <w:rsid w:val="7B5F60E6"/>
    <w:rsid w:val="7BDD098F"/>
    <w:rsid w:val="7BEBF7D2"/>
    <w:rsid w:val="7BF66A1A"/>
    <w:rsid w:val="7BF7DAD7"/>
    <w:rsid w:val="7CAF6D1A"/>
    <w:rsid w:val="7CB461A6"/>
    <w:rsid w:val="7CDEF532"/>
    <w:rsid w:val="7CDF640F"/>
    <w:rsid w:val="7CFF4FA0"/>
    <w:rsid w:val="7D7563CA"/>
    <w:rsid w:val="7D7F3446"/>
    <w:rsid w:val="7DAF588E"/>
    <w:rsid w:val="7DDFD50E"/>
    <w:rsid w:val="7DFB8B7B"/>
    <w:rsid w:val="7DFDC076"/>
    <w:rsid w:val="7DFF30FE"/>
    <w:rsid w:val="7E6FEE09"/>
    <w:rsid w:val="7EBCA161"/>
    <w:rsid w:val="7EBF0104"/>
    <w:rsid w:val="7EE6928F"/>
    <w:rsid w:val="7EF7C809"/>
    <w:rsid w:val="7EF7EA39"/>
    <w:rsid w:val="7EFB34CC"/>
    <w:rsid w:val="7EFDE791"/>
    <w:rsid w:val="7F2F2086"/>
    <w:rsid w:val="7F3BAD2F"/>
    <w:rsid w:val="7F7583FE"/>
    <w:rsid w:val="7FBB89BF"/>
    <w:rsid w:val="7FBE84CD"/>
    <w:rsid w:val="7FBF3A79"/>
    <w:rsid w:val="7FBFA7FC"/>
    <w:rsid w:val="7FCDF859"/>
    <w:rsid w:val="7FDF2A49"/>
    <w:rsid w:val="7FEB8333"/>
    <w:rsid w:val="7FEEDE92"/>
    <w:rsid w:val="7FEFABF9"/>
    <w:rsid w:val="7FF2B72A"/>
    <w:rsid w:val="7FF66D46"/>
    <w:rsid w:val="7FF878E2"/>
    <w:rsid w:val="7FFAE9C3"/>
    <w:rsid w:val="7FFB35A7"/>
    <w:rsid w:val="7FFD9F55"/>
    <w:rsid w:val="97C778E7"/>
    <w:rsid w:val="9BDF6923"/>
    <w:rsid w:val="9D5E0256"/>
    <w:rsid w:val="9DFF8143"/>
    <w:rsid w:val="9EB5F665"/>
    <w:rsid w:val="9EDFA34A"/>
    <w:rsid w:val="9F7FDC93"/>
    <w:rsid w:val="9F8E2DAF"/>
    <w:rsid w:val="9FC5E453"/>
    <w:rsid w:val="A4A9E009"/>
    <w:rsid w:val="AB83EC8B"/>
    <w:rsid w:val="AEDCFD40"/>
    <w:rsid w:val="AF3FC071"/>
    <w:rsid w:val="B0FFBD46"/>
    <w:rsid w:val="B23BFF8E"/>
    <w:rsid w:val="B5C121B5"/>
    <w:rsid w:val="B5DE0672"/>
    <w:rsid w:val="B5EE9E49"/>
    <w:rsid w:val="B5F7B175"/>
    <w:rsid w:val="B77E9286"/>
    <w:rsid w:val="B97F7191"/>
    <w:rsid w:val="BBA7C475"/>
    <w:rsid w:val="BBFF5877"/>
    <w:rsid w:val="BBFF66F1"/>
    <w:rsid w:val="BCCF1D1D"/>
    <w:rsid w:val="BD7CAE0B"/>
    <w:rsid w:val="BDFBD4BA"/>
    <w:rsid w:val="BDFEA223"/>
    <w:rsid w:val="BDFF872F"/>
    <w:rsid w:val="BEBB3247"/>
    <w:rsid w:val="BEF9CC09"/>
    <w:rsid w:val="BF6E9522"/>
    <w:rsid w:val="BFD5F831"/>
    <w:rsid w:val="BFDF0CA2"/>
    <w:rsid w:val="BFF597B2"/>
    <w:rsid w:val="BFF7D093"/>
    <w:rsid w:val="BFFD2A76"/>
    <w:rsid w:val="BFFE1C57"/>
    <w:rsid w:val="BFFEF6E1"/>
    <w:rsid w:val="C71E8209"/>
    <w:rsid w:val="C9FF30A8"/>
    <w:rsid w:val="CB760CF4"/>
    <w:rsid w:val="CFDEA72F"/>
    <w:rsid w:val="D3A73838"/>
    <w:rsid w:val="D3FF5DBF"/>
    <w:rsid w:val="D6BFD249"/>
    <w:rsid w:val="D6F795FC"/>
    <w:rsid w:val="D6FD671B"/>
    <w:rsid w:val="D7D7DDCC"/>
    <w:rsid w:val="D8DCEDE1"/>
    <w:rsid w:val="DAFBCEB0"/>
    <w:rsid w:val="DB726C3A"/>
    <w:rsid w:val="DB7EC993"/>
    <w:rsid w:val="DBF76714"/>
    <w:rsid w:val="DDA208C1"/>
    <w:rsid w:val="DE76A371"/>
    <w:rsid w:val="DEF75473"/>
    <w:rsid w:val="DF6A0073"/>
    <w:rsid w:val="DF780174"/>
    <w:rsid w:val="DFCBC77F"/>
    <w:rsid w:val="DFD77326"/>
    <w:rsid w:val="DFDD30F9"/>
    <w:rsid w:val="DFF5A64B"/>
    <w:rsid w:val="DFFDF19D"/>
    <w:rsid w:val="DFFF810B"/>
    <w:rsid w:val="DFFFB97E"/>
    <w:rsid w:val="E3DFABFC"/>
    <w:rsid w:val="E6FFA267"/>
    <w:rsid w:val="E7E2616F"/>
    <w:rsid w:val="E7FF481B"/>
    <w:rsid w:val="E97FB2C3"/>
    <w:rsid w:val="E9FE7779"/>
    <w:rsid w:val="EABFCD06"/>
    <w:rsid w:val="EAD5273E"/>
    <w:rsid w:val="EAD788B5"/>
    <w:rsid w:val="EAFB0206"/>
    <w:rsid w:val="EBF27717"/>
    <w:rsid w:val="EBFAE54A"/>
    <w:rsid w:val="ED7CB6BF"/>
    <w:rsid w:val="EE369E02"/>
    <w:rsid w:val="EF779F32"/>
    <w:rsid w:val="EF9EF7A3"/>
    <w:rsid w:val="EFBBA1E8"/>
    <w:rsid w:val="EFEFCEF3"/>
    <w:rsid w:val="EFEFF553"/>
    <w:rsid w:val="EFFD85C2"/>
    <w:rsid w:val="EFFE7920"/>
    <w:rsid w:val="EFFF2025"/>
    <w:rsid w:val="EFFF494D"/>
    <w:rsid w:val="F277D181"/>
    <w:rsid w:val="F3EDF549"/>
    <w:rsid w:val="F4C9127B"/>
    <w:rsid w:val="F4D581AD"/>
    <w:rsid w:val="F4E309F0"/>
    <w:rsid w:val="F5ED2ECC"/>
    <w:rsid w:val="F5FA0029"/>
    <w:rsid w:val="F67188B8"/>
    <w:rsid w:val="F6FC2EBA"/>
    <w:rsid w:val="F6FD84FB"/>
    <w:rsid w:val="F71C4126"/>
    <w:rsid w:val="F72F39FB"/>
    <w:rsid w:val="F73DF6FB"/>
    <w:rsid w:val="F77BA6A3"/>
    <w:rsid w:val="F77F1B90"/>
    <w:rsid w:val="F7FF3781"/>
    <w:rsid w:val="F8AF765D"/>
    <w:rsid w:val="F9631D36"/>
    <w:rsid w:val="F9AFB6F0"/>
    <w:rsid w:val="F9F9C2D3"/>
    <w:rsid w:val="FA576F15"/>
    <w:rsid w:val="FA7BB5FD"/>
    <w:rsid w:val="FADC04E4"/>
    <w:rsid w:val="FAEFED88"/>
    <w:rsid w:val="FB6E0296"/>
    <w:rsid w:val="FB7FF2D1"/>
    <w:rsid w:val="FBAD5CE8"/>
    <w:rsid w:val="FBBD53BA"/>
    <w:rsid w:val="FBDF2122"/>
    <w:rsid w:val="FBEE1844"/>
    <w:rsid w:val="FBEF2C87"/>
    <w:rsid w:val="FBF76626"/>
    <w:rsid w:val="FBFF379E"/>
    <w:rsid w:val="FCCBB202"/>
    <w:rsid w:val="FCDB6888"/>
    <w:rsid w:val="FD589B48"/>
    <w:rsid w:val="FDB7B2E3"/>
    <w:rsid w:val="FDBFC382"/>
    <w:rsid w:val="FDBFFB3F"/>
    <w:rsid w:val="FDC86040"/>
    <w:rsid w:val="FDEDFE4B"/>
    <w:rsid w:val="FDEE69C7"/>
    <w:rsid w:val="FDF51AF1"/>
    <w:rsid w:val="FDF531D4"/>
    <w:rsid w:val="FDFF507C"/>
    <w:rsid w:val="FE692C48"/>
    <w:rsid w:val="FE7E1D15"/>
    <w:rsid w:val="FEB4630E"/>
    <w:rsid w:val="FEC7CF0B"/>
    <w:rsid w:val="FECC11A6"/>
    <w:rsid w:val="FEFFF2CF"/>
    <w:rsid w:val="FF18DFEE"/>
    <w:rsid w:val="FF5EF1C1"/>
    <w:rsid w:val="FF7ACDEB"/>
    <w:rsid w:val="FF7DB9F7"/>
    <w:rsid w:val="FFBBC598"/>
    <w:rsid w:val="FFBF5332"/>
    <w:rsid w:val="FFCF68DB"/>
    <w:rsid w:val="FFDB4941"/>
    <w:rsid w:val="FFDB89D3"/>
    <w:rsid w:val="FFEF0BE6"/>
    <w:rsid w:val="FFF37437"/>
    <w:rsid w:val="FFFF83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link w:val="22"/>
    <w:qFormat/>
    <w:uiPriority w:val="0"/>
    <w:pPr>
      <w:keepNext/>
      <w:keepLines/>
      <w:widowControl/>
      <w:adjustRightInd w:val="0"/>
      <w:snapToGrid w:val="0"/>
      <w:spacing w:before="120" w:beforeLines="0" w:after="120" w:afterLines="0" w:line="460" w:lineRule="atLeast"/>
      <w:jc w:val="left"/>
      <w:outlineLvl w:val="2"/>
    </w:pPr>
    <w:rPr>
      <w:rFonts w:ascii="宋体" w:hAnsi="宋体"/>
      <w:b/>
      <w:sz w:val="24"/>
      <w:szCs w:val="20"/>
    </w:rPr>
  </w:style>
  <w:style w:type="paragraph" w:styleId="5">
    <w:name w:val="heading 4"/>
    <w:basedOn w:val="1"/>
    <w:next w:val="1"/>
    <w:qFormat/>
    <w:uiPriority w:val="0"/>
    <w:pPr>
      <w:keepNext/>
      <w:keepLines/>
      <w:spacing w:before="280" w:beforeLines="0" w:after="290" w:afterLines="0" w:line="376" w:lineRule="auto"/>
      <w:outlineLvl w:val="3"/>
    </w:pPr>
    <w:rPr>
      <w:rFonts w:ascii="Arial" w:hAnsi="Arial" w:eastAsia="黑体"/>
      <w:b/>
      <w:bCs/>
      <w:szCs w:val="28"/>
    </w:rPr>
  </w:style>
  <w:style w:type="character" w:default="1" w:styleId="18">
    <w:name w:val="Default Paragraph Font"/>
    <w:qFormat/>
    <w:uiPriority w:val="0"/>
  </w:style>
  <w:style w:type="table" w:default="1" w:styleId="17">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6">
    <w:name w:val="table of authorities"/>
    <w:basedOn w:val="1"/>
    <w:next w:val="1"/>
    <w:qFormat/>
    <w:uiPriority w:val="0"/>
    <w:pPr>
      <w:ind w:left="420" w:leftChars="200"/>
    </w:pPr>
    <w:rPr>
      <w:sz w:val="21"/>
      <w:szCs w:val="24"/>
    </w:rPr>
  </w:style>
  <w:style w:type="paragraph" w:styleId="7">
    <w:name w:val="Normal Indent"/>
    <w:basedOn w:val="1"/>
    <w:next w:val="1"/>
    <w:link w:val="23"/>
    <w:qFormat/>
    <w:uiPriority w:val="0"/>
    <w:pPr>
      <w:ind w:firstLine="420"/>
    </w:pPr>
    <w:rPr>
      <w:rFonts w:ascii="宋体"/>
      <w:szCs w:val="20"/>
    </w:rPr>
  </w:style>
  <w:style w:type="paragraph" w:styleId="8">
    <w:name w:val="Document Map"/>
    <w:basedOn w:val="1"/>
    <w:link w:val="24"/>
    <w:qFormat/>
    <w:uiPriority w:val="0"/>
    <w:pPr>
      <w:shd w:val="clear" w:color="auto" w:fill="000080"/>
    </w:pPr>
  </w:style>
  <w:style w:type="paragraph" w:styleId="9">
    <w:name w:val="annotation text"/>
    <w:basedOn w:val="1"/>
    <w:link w:val="25"/>
    <w:qFormat/>
    <w:uiPriority w:val="0"/>
    <w:pPr>
      <w:widowControl/>
      <w:jc w:val="left"/>
    </w:pPr>
    <w:rPr>
      <w:rFonts w:ascii="宋体" w:hAnsi="宋体" w:cs="宋体"/>
      <w:kern w:val="0"/>
      <w:sz w:val="24"/>
    </w:rPr>
  </w:style>
  <w:style w:type="paragraph" w:styleId="10">
    <w:name w:val="Body Text"/>
    <w:basedOn w:val="1"/>
    <w:next w:val="1"/>
    <w:link w:val="26"/>
    <w:qFormat/>
    <w:uiPriority w:val="0"/>
    <w:pPr>
      <w:spacing w:after="120" w:afterLines="0"/>
    </w:pPr>
    <w:rPr>
      <w:sz w:val="21"/>
    </w:rPr>
  </w:style>
  <w:style w:type="paragraph" w:styleId="11">
    <w:name w:val="Body Text Indent"/>
    <w:basedOn w:val="1"/>
    <w:semiHidden/>
    <w:unhideWhenUsed/>
    <w:qFormat/>
    <w:uiPriority w:val="99"/>
    <w:pPr>
      <w:spacing w:after="120"/>
      <w:ind w:left="420" w:leftChars="200"/>
    </w:pPr>
  </w:style>
  <w:style w:type="paragraph" w:styleId="12">
    <w:name w:val="Body Text Indent 2"/>
    <w:basedOn w:val="1"/>
    <w:qFormat/>
    <w:uiPriority w:val="0"/>
    <w:pPr>
      <w:spacing w:after="120" w:afterLines="0" w:line="480" w:lineRule="auto"/>
      <w:ind w:left="420" w:leftChars="200"/>
    </w:pPr>
    <w:rPr>
      <w:sz w:val="21"/>
    </w:rPr>
  </w:style>
  <w:style w:type="paragraph" w:styleId="13">
    <w:name w:val="Balloon Text"/>
    <w:basedOn w:val="1"/>
    <w:semiHidden/>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annotation subject"/>
    <w:basedOn w:val="9"/>
    <w:next w:val="9"/>
    <w:semiHidden/>
    <w:qFormat/>
    <w:uiPriority w:val="0"/>
    <w:pPr>
      <w:widowControl w:val="0"/>
    </w:pPr>
    <w:rPr>
      <w:rFonts w:ascii="Times New Roman" w:hAnsi="Times New Roman" w:cs="Times New Roman"/>
      <w:b/>
      <w:bCs/>
      <w:kern w:val="2"/>
      <w:sz w:val="28"/>
    </w:rPr>
  </w:style>
  <w:style w:type="paragraph" w:styleId="16">
    <w:name w:val="Body Text First Indent"/>
    <w:qFormat/>
    <w:uiPriority w:val="99"/>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9">
    <w:name w:val="page number"/>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标题 3 字符"/>
    <w:link w:val="4"/>
    <w:qFormat/>
    <w:uiPriority w:val="0"/>
    <w:rPr>
      <w:rFonts w:ascii="宋体" w:hAnsi="宋体" w:eastAsia="宋体"/>
      <w:b/>
      <w:kern w:val="2"/>
      <w:sz w:val="24"/>
      <w:lang w:val="en-US" w:eastAsia="zh-CN" w:bidi="ar-SA"/>
    </w:rPr>
  </w:style>
  <w:style w:type="character" w:customStyle="1" w:styleId="23">
    <w:name w:val="正文缩进 字符"/>
    <w:link w:val="7"/>
    <w:qFormat/>
    <w:uiPriority w:val="0"/>
    <w:rPr>
      <w:rFonts w:ascii="宋体" w:eastAsia="宋体"/>
      <w:kern w:val="2"/>
      <w:sz w:val="28"/>
      <w:lang w:val="en-US" w:eastAsia="zh-CN" w:bidi="ar-SA"/>
    </w:rPr>
  </w:style>
  <w:style w:type="character" w:customStyle="1" w:styleId="24">
    <w:name w:val="文档结构图 字符"/>
    <w:link w:val="8"/>
    <w:qFormat/>
    <w:uiPriority w:val="0"/>
    <w:rPr>
      <w:rFonts w:eastAsia="宋体"/>
      <w:kern w:val="2"/>
      <w:sz w:val="28"/>
      <w:szCs w:val="24"/>
      <w:lang w:val="en-US" w:eastAsia="zh-CN" w:bidi="ar-SA"/>
    </w:rPr>
  </w:style>
  <w:style w:type="character" w:customStyle="1" w:styleId="25">
    <w:name w:val="批注文字 字符"/>
    <w:link w:val="9"/>
    <w:qFormat/>
    <w:uiPriority w:val="0"/>
    <w:rPr>
      <w:rFonts w:ascii="宋体" w:hAnsi="宋体" w:eastAsia="宋体" w:cs="宋体"/>
      <w:sz w:val="24"/>
      <w:szCs w:val="24"/>
      <w:lang w:val="en-US" w:eastAsia="zh-CN" w:bidi="ar-SA"/>
    </w:rPr>
  </w:style>
  <w:style w:type="character" w:customStyle="1" w:styleId="26">
    <w:name w:val="正文文本 字符"/>
    <w:link w:val="10"/>
    <w:qFormat/>
    <w:uiPriority w:val="0"/>
    <w:rPr>
      <w:rFonts w:eastAsia="宋体"/>
      <w:kern w:val="2"/>
      <w:sz w:val="21"/>
      <w:szCs w:val="24"/>
      <w:lang w:val="en-US" w:eastAsia="zh-CN" w:bidi="ar-SA"/>
    </w:rPr>
  </w:style>
  <w:style w:type="character" w:customStyle="1" w:styleId="27">
    <w:name w:val="报告文本 Char"/>
    <w:link w:val="28"/>
    <w:qFormat/>
    <w:uiPriority w:val="0"/>
    <w:rPr>
      <w:kern w:val="24"/>
      <w:sz w:val="24"/>
      <w:szCs w:val="22"/>
    </w:rPr>
  </w:style>
  <w:style w:type="paragraph" w:customStyle="1" w:styleId="28">
    <w:name w:val="报告文本"/>
    <w:basedOn w:val="1"/>
    <w:link w:val="27"/>
    <w:qFormat/>
    <w:uiPriority w:val="0"/>
    <w:pPr>
      <w:spacing w:line="500" w:lineRule="exact"/>
      <w:ind w:firstLine="200" w:firstLineChars="200"/>
    </w:pPr>
    <w:rPr>
      <w:kern w:val="24"/>
      <w:sz w:val="24"/>
      <w:szCs w:val="22"/>
    </w:rPr>
  </w:style>
  <w:style w:type="character" w:customStyle="1" w:styleId="29">
    <w:name w:val="样式12 Char Char"/>
    <w:link w:val="30"/>
    <w:qFormat/>
    <w:uiPriority w:val="0"/>
    <w:rPr>
      <w:rFonts w:ascii="Swis721 BT" w:hAnsi="Swis721 BT" w:eastAsia="黑体"/>
      <w:color w:val="000000"/>
      <w:kern w:val="2"/>
      <w:sz w:val="28"/>
      <w:szCs w:val="28"/>
      <w:lang w:val="en-US" w:eastAsia="zh-CN" w:bidi="ar-SA"/>
    </w:rPr>
  </w:style>
  <w:style w:type="paragraph" w:customStyle="1" w:styleId="30">
    <w:name w:val="样式12"/>
    <w:basedOn w:val="1"/>
    <w:link w:val="29"/>
    <w:qFormat/>
    <w:uiPriority w:val="0"/>
    <w:pPr>
      <w:spacing w:before="93" w:beforeLines="30" w:after="93" w:afterLines="30" w:line="355" w:lineRule="auto"/>
      <w:outlineLvl w:val="2"/>
    </w:pPr>
    <w:rPr>
      <w:rFonts w:ascii="Swis721 BT" w:hAnsi="Swis721 BT" w:eastAsia="黑体"/>
      <w:color w:val="000000"/>
      <w:szCs w:val="28"/>
    </w:rPr>
  </w:style>
  <w:style w:type="character" w:customStyle="1" w:styleId="31">
    <w:name w:val="样式25 Char Char"/>
    <w:link w:val="32"/>
    <w:qFormat/>
    <w:uiPriority w:val="0"/>
    <w:rPr>
      <w:kern w:val="2"/>
      <w:sz w:val="26"/>
      <w:szCs w:val="22"/>
    </w:rPr>
  </w:style>
  <w:style w:type="paragraph" w:customStyle="1" w:styleId="32">
    <w:name w:val="样式25"/>
    <w:basedOn w:val="1"/>
    <w:link w:val="31"/>
    <w:qFormat/>
    <w:uiPriority w:val="0"/>
    <w:pPr>
      <w:spacing w:line="480" w:lineRule="exact"/>
      <w:ind w:firstLine="520" w:firstLineChars="200"/>
    </w:pPr>
    <w:rPr>
      <w:sz w:val="26"/>
      <w:szCs w:val="22"/>
    </w:rPr>
  </w:style>
  <w:style w:type="character" w:customStyle="1" w:styleId="33">
    <w:name w:val="都福路文本"/>
    <w:qFormat/>
    <w:uiPriority w:val="0"/>
    <w:rPr>
      <w:rFonts w:ascii="宋体" w:hAnsi="宋体" w:eastAsia="宋体"/>
      <w:color w:val="0000FF"/>
      <w:kern w:val="0"/>
      <w:sz w:val="24"/>
      <w:lang w:val="en-US" w:eastAsia="zh-CN"/>
    </w:rPr>
  </w:style>
  <w:style w:type="character" w:customStyle="1" w:styleId="34">
    <w:name w:val=" Char Char25"/>
    <w:qFormat/>
    <w:uiPriority w:val="0"/>
    <w:rPr>
      <w:rFonts w:eastAsia="宋体"/>
      <w:kern w:val="2"/>
      <w:sz w:val="21"/>
      <w:szCs w:val="24"/>
      <w:lang w:val="en-US" w:eastAsia="zh-CN" w:bidi="ar-SA"/>
    </w:rPr>
  </w:style>
  <w:style w:type="character" w:customStyle="1" w:styleId="35">
    <w:name w:val="font91"/>
    <w:qFormat/>
    <w:uiPriority w:val="0"/>
    <w:rPr>
      <w:rFonts w:hint="eastAsia" w:ascii="宋体" w:hAnsi="宋体" w:eastAsia="宋体" w:cs="宋体"/>
      <w:color w:val="000000"/>
      <w:sz w:val="20"/>
      <w:szCs w:val="20"/>
      <w:u w:val="none"/>
    </w:rPr>
  </w:style>
  <w:style w:type="character" w:customStyle="1" w:styleId="36">
    <w:name w:val="正文2"/>
    <w:qFormat/>
    <w:uiPriority w:val="0"/>
    <w:rPr>
      <w:rFonts w:eastAsia="宋体"/>
      <w:color w:val="0000FF"/>
    </w:rPr>
  </w:style>
  <w:style w:type="character" w:customStyle="1" w:styleId="37">
    <w:name w:val="font101"/>
    <w:qFormat/>
    <w:uiPriority w:val="0"/>
    <w:rPr>
      <w:rFonts w:hint="eastAsia" w:ascii="宋体" w:hAnsi="宋体" w:eastAsia="宋体" w:cs="宋体"/>
      <w:color w:val="000000"/>
      <w:sz w:val="20"/>
      <w:szCs w:val="20"/>
      <w:u w:val="none"/>
    </w:rPr>
  </w:style>
  <w:style w:type="character" w:customStyle="1" w:styleId="38">
    <w:name w:val="font51"/>
    <w:basedOn w:val="18"/>
    <w:qFormat/>
    <w:uiPriority w:val="0"/>
    <w:rPr>
      <w:rFonts w:hint="default" w:ascii="Times New Roman" w:hAnsi="Times New Roman" w:cs="Times New Roman"/>
      <w:b/>
      <w:bCs/>
      <w:color w:val="000000"/>
      <w:sz w:val="18"/>
      <w:szCs w:val="18"/>
      <w:u w:val="none"/>
    </w:rPr>
  </w:style>
  <w:style w:type="character" w:customStyle="1" w:styleId="39">
    <w:name w:val="文本条款 Char"/>
    <w:qFormat/>
    <w:uiPriority w:val="0"/>
    <w:rPr>
      <w:kern w:val="2"/>
      <w:sz w:val="21"/>
    </w:rPr>
  </w:style>
  <w:style w:type="character" w:customStyle="1" w:styleId="40">
    <w:name w:val="font81"/>
    <w:qFormat/>
    <w:uiPriority w:val="0"/>
    <w:rPr>
      <w:rFonts w:hint="default" w:ascii="Times New Roman" w:hAnsi="Times New Roman" w:cs="Times New Roman"/>
      <w:color w:val="000000"/>
      <w:sz w:val="20"/>
      <w:szCs w:val="20"/>
      <w:u w:val="none"/>
    </w:rPr>
  </w:style>
  <w:style w:type="character" w:customStyle="1" w:styleId="41">
    <w:name w:val="font71"/>
    <w:basedOn w:val="18"/>
    <w:qFormat/>
    <w:uiPriority w:val="0"/>
    <w:rPr>
      <w:rFonts w:hint="default" w:ascii="Times New Roman" w:hAnsi="Times New Roman" w:cs="Times New Roman"/>
      <w:color w:val="000000"/>
      <w:sz w:val="20"/>
      <w:szCs w:val="20"/>
      <w:u w:val="none"/>
    </w:rPr>
  </w:style>
  <w:style w:type="character" w:customStyle="1" w:styleId="42">
    <w:name w:val="样式4 Char Char"/>
    <w:link w:val="43"/>
    <w:qFormat/>
    <w:uiPriority w:val="0"/>
    <w:rPr>
      <w:rFonts w:ascii="宋体" w:hAnsi="宋体" w:eastAsia="仿宋_GB2312"/>
      <w:kern w:val="2"/>
      <w:sz w:val="28"/>
      <w:szCs w:val="28"/>
      <w:lang w:val="en-US" w:eastAsia="zh-CN" w:bidi="ar-SA"/>
    </w:rPr>
  </w:style>
  <w:style w:type="paragraph" w:customStyle="1" w:styleId="43">
    <w:name w:val="样式4"/>
    <w:basedOn w:val="1"/>
    <w:link w:val="42"/>
    <w:qFormat/>
    <w:uiPriority w:val="0"/>
    <w:pPr>
      <w:adjustRightInd w:val="0"/>
      <w:snapToGrid w:val="0"/>
      <w:spacing w:line="355" w:lineRule="auto"/>
      <w:ind w:firstLine="560" w:firstLineChars="200"/>
    </w:pPr>
    <w:rPr>
      <w:rFonts w:ascii="宋体" w:hAnsi="宋体" w:eastAsia="仿宋_GB2312"/>
      <w:szCs w:val="28"/>
    </w:rPr>
  </w:style>
  <w:style w:type="character" w:customStyle="1" w:styleId="44">
    <w:name w:val="样式1 Char Char"/>
    <w:link w:val="45"/>
    <w:qFormat/>
    <w:uiPriority w:val="0"/>
    <w:rPr>
      <w:rFonts w:eastAsia="宋体"/>
      <w:color w:val="000000"/>
      <w:sz w:val="21"/>
      <w:szCs w:val="21"/>
      <w:lang w:val="en-US" w:eastAsia="zh-CN" w:bidi="ar-SA"/>
    </w:rPr>
  </w:style>
  <w:style w:type="paragraph" w:customStyle="1" w:styleId="45">
    <w:name w:val="样式1"/>
    <w:basedOn w:val="1"/>
    <w:link w:val="44"/>
    <w:qFormat/>
    <w:uiPriority w:val="0"/>
    <w:pPr>
      <w:autoSpaceDE w:val="0"/>
      <w:autoSpaceDN w:val="0"/>
      <w:adjustRightInd w:val="0"/>
      <w:spacing w:before="40" w:beforeLines="0" w:after="40" w:afterLines="0"/>
      <w:jc w:val="center"/>
    </w:pPr>
    <w:rPr>
      <w:color w:val="000000"/>
      <w:kern w:val="0"/>
      <w:sz w:val="21"/>
      <w:szCs w:val="21"/>
    </w:rPr>
  </w:style>
  <w:style w:type="character" w:customStyle="1" w:styleId="46">
    <w:name w:val="font31"/>
    <w:qFormat/>
    <w:uiPriority w:val="0"/>
    <w:rPr>
      <w:rFonts w:hint="default" w:ascii="Times New Roman" w:hAnsi="Times New Roman" w:cs="Times New Roman"/>
      <w:color w:val="000000"/>
      <w:sz w:val="16"/>
      <w:szCs w:val="16"/>
      <w:u w:val="none"/>
    </w:rPr>
  </w:style>
  <w:style w:type="character" w:customStyle="1" w:styleId="47">
    <w:name w:val="样式 样式 样式 正文首行缩进 + 首行缩进:  1 字符 + 宋体 + 自动设置 Char Char"/>
    <w:link w:val="48"/>
    <w:qFormat/>
    <w:uiPriority w:val="0"/>
    <w:rPr>
      <w:rFonts w:ascii="宋体" w:hAnsi="宋体" w:eastAsia="宋体"/>
      <w:kern w:val="2"/>
      <w:sz w:val="24"/>
      <w:lang w:val="en-US" w:eastAsia="zh-CN" w:bidi="ar-SA"/>
    </w:rPr>
  </w:style>
  <w:style w:type="paragraph" w:customStyle="1" w:styleId="48">
    <w:name w:val="样式 样式 样式 正文首行缩进 + 首行缩进:  1 字符 + 宋体 + 自动设置"/>
    <w:basedOn w:val="1"/>
    <w:link w:val="47"/>
    <w:qFormat/>
    <w:uiPriority w:val="0"/>
    <w:pPr>
      <w:spacing w:line="460" w:lineRule="exact"/>
      <w:ind w:firstLine="480" w:firstLineChars="200"/>
      <w:jc w:val="left"/>
    </w:pPr>
    <w:rPr>
      <w:rFonts w:ascii="宋体" w:hAnsi="宋体"/>
      <w:sz w:val="24"/>
      <w:szCs w:val="20"/>
    </w:rPr>
  </w:style>
  <w:style w:type="character" w:customStyle="1" w:styleId="49">
    <w:name w:val="font11"/>
    <w:basedOn w:val="18"/>
    <w:qFormat/>
    <w:uiPriority w:val="0"/>
    <w:rPr>
      <w:rFonts w:hint="default" w:ascii="楷体_GB2312" w:eastAsia="楷体_GB2312" w:cs="楷体_GB2312"/>
      <w:b/>
      <w:bCs/>
      <w:color w:val="000000"/>
      <w:sz w:val="18"/>
      <w:szCs w:val="18"/>
      <w:u w:val="none"/>
    </w:rPr>
  </w:style>
  <w:style w:type="character" w:customStyle="1" w:styleId="50">
    <w:name w:val="font61"/>
    <w:qFormat/>
    <w:uiPriority w:val="0"/>
    <w:rPr>
      <w:rFonts w:ascii="黑体" w:hAnsi="宋体" w:eastAsia="黑体" w:cs="黑体"/>
      <w:color w:val="000000"/>
      <w:sz w:val="28"/>
      <w:szCs w:val="28"/>
      <w:u w:val="none"/>
    </w:rPr>
  </w:style>
  <w:style w:type="character" w:customStyle="1" w:styleId="51">
    <w:name w:val="A正文 Char Char"/>
    <w:link w:val="52"/>
    <w:qFormat/>
    <w:uiPriority w:val="0"/>
    <w:rPr>
      <w:rFonts w:eastAsia="宋体"/>
      <w:kern w:val="2"/>
      <w:sz w:val="24"/>
      <w:szCs w:val="24"/>
      <w:lang w:val="en-US" w:eastAsia="zh-CN" w:bidi="ar-SA"/>
    </w:rPr>
  </w:style>
  <w:style w:type="paragraph" w:customStyle="1" w:styleId="52">
    <w:name w:val="A正文"/>
    <w:basedOn w:val="1"/>
    <w:link w:val="51"/>
    <w:qFormat/>
    <w:uiPriority w:val="0"/>
    <w:pPr>
      <w:widowControl/>
      <w:spacing w:line="360" w:lineRule="auto"/>
      <w:ind w:firstLine="200" w:firstLineChars="200"/>
      <w:jc w:val="left"/>
    </w:pPr>
    <w:rPr>
      <w:sz w:val="24"/>
    </w:rPr>
  </w:style>
  <w:style w:type="paragraph" w:customStyle="1" w:styleId="53">
    <w:name w:val=" Char2 Char Char Char Char Char Char Char Char"/>
    <w:basedOn w:val="1"/>
    <w:qFormat/>
    <w:uiPriority w:val="0"/>
    <w:rPr>
      <w:sz w:val="21"/>
      <w:szCs w:val="20"/>
    </w:rPr>
  </w:style>
  <w:style w:type="paragraph" w:customStyle="1" w:styleId="54">
    <w:name w:val="xc----正文"/>
    <w:basedOn w:val="55"/>
    <w:qFormat/>
    <w:uiPriority w:val="0"/>
    <w:rPr>
      <w:rFonts w:ascii="仿宋_GB2312"/>
      <w:spacing w:val="-4"/>
    </w:rPr>
  </w:style>
  <w:style w:type="paragraph" w:customStyle="1" w:styleId="55">
    <w:name w:val="样式 样式 公正文样式 + 三号 + 红色 首行缩进:  0 字符"/>
    <w:basedOn w:val="1"/>
    <w:qFormat/>
    <w:uiPriority w:val="0"/>
    <w:pPr>
      <w:spacing w:line="460" w:lineRule="exact"/>
      <w:ind w:firstLine="200" w:firstLineChars="200"/>
    </w:pPr>
    <w:rPr>
      <w:rFonts w:ascii="Times New Roman" w:hAnsi="Times New Roman" w:eastAsia="仿宋_GB2312" w:cs="宋体"/>
      <w:kern w:val="0"/>
      <w:sz w:val="24"/>
      <w:szCs w:val="20"/>
    </w:rPr>
  </w:style>
  <w:style w:type="paragraph" w:customStyle="1" w:styleId="56">
    <w:name w:val="p0"/>
    <w:basedOn w:val="1"/>
    <w:qFormat/>
    <w:uiPriority w:val="0"/>
    <w:pPr>
      <w:widowControl/>
    </w:pPr>
    <w:rPr>
      <w:kern w:val="0"/>
      <w:sz w:val="21"/>
      <w:szCs w:val="20"/>
    </w:rPr>
  </w:style>
  <w:style w:type="paragraph" w:customStyle="1" w:styleId="57">
    <w:name w:val=" Char Char Char Char"/>
    <w:basedOn w:val="1"/>
    <w:qFormat/>
    <w:uiPriority w:val="0"/>
    <w:pPr>
      <w:widowControl/>
      <w:spacing w:after="160" w:afterLines="0" w:line="240" w:lineRule="exact"/>
      <w:jc w:val="left"/>
    </w:pPr>
    <w:rPr>
      <w:rFonts w:ascii="宋体" w:hAnsi="宋体"/>
      <w:b/>
      <w:kern w:val="0"/>
      <w:sz w:val="44"/>
      <w:szCs w:val="44"/>
      <w:lang w:eastAsia="en-US"/>
    </w:rPr>
  </w:style>
  <w:style w:type="paragraph" w:customStyle="1" w:styleId="58">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59">
    <w:name w:val="Char Char1 Char Char Char Char Char Char Char"/>
    <w:basedOn w:val="1"/>
    <w:qFormat/>
    <w:uiPriority w:val="0"/>
    <w:pPr>
      <w:pageBreakBefore/>
      <w:spacing w:line="480" w:lineRule="auto"/>
      <w:ind w:firstLine="200" w:firstLineChars="200"/>
    </w:pPr>
    <w:rPr>
      <w:rFonts w:ascii="宋体" w:hAnsi="宋体" w:eastAsia="仿宋_GB2312" w:cs="宋体"/>
      <w:szCs w:val="28"/>
    </w:rPr>
  </w:style>
  <w:style w:type="paragraph" w:customStyle="1" w:styleId="60">
    <w:name w:val="报告书副标题"/>
    <w:basedOn w:val="1"/>
    <w:qFormat/>
    <w:uiPriority w:val="0"/>
    <w:pPr>
      <w:widowControl/>
      <w:tabs>
        <w:tab w:val="left" w:pos="-24"/>
      </w:tabs>
      <w:spacing w:line="460" w:lineRule="exact"/>
      <w:ind w:firstLine="480" w:firstLineChars="200"/>
      <w:jc w:val="center"/>
      <w:textAlignment w:val="baseline"/>
      <w:outlineLvl w:val="4"/>
    </w:pPr>
    <w:rPr>
      <w:rFonts w:ascii="宋体" w:hAnsi="宋体"/>
      <w:b/>
      <w:bCs/>
      <w:color w:val="000000"/>
      <w:w w:val="83"/>
      <w:kern w:val="0"/>
      <w:sz w:val="48"/>
    </w:rPr>
  </w:style>
  <w:style w:type="paragraph" w:customStyle="1" w:styleId="61">
    <w:name w:val="样式 xc----正文 + 首行缩进:  2 字符"/>
    <w:basedOn w:val="54"/>
    <w:qFormat/>
    <w:uiPriority w:val="0"/>
    <w:pPr>
      <w:ind w:firstLine="464"/>
    </w:pPr>
    <w:rPr>
      <w:spacing w:val="0"/>
    </w:rPr>
  </w:style>
  <w:style w:type="paragraph" w:customStyle="1" w:styleId="62">
    <w:name w:val="课题号"/>
    <w:basedOn w:val="1"/>
    <w:qFormat/>
    <w:uiPriority w:val="0"/>
    <w:pPr>
      <w:widowControl/>
      <w:tabs>
        <w:tab w:val="left" w:pos="-24"/>
      </w:tabs>
      <w:spacing w:line="460" w:lineRule="exact"/>
      <w:ind w:firstLine="436" w:firstLineChars="200"/>
      <w:jc w:val="left"/>
      <w:textAlignment w:val="baseline"/>
    </w:pPr>
    <w:rPr>
      <w:rFonts w:ascii="宋体" w:hAnsi="宋体"/>
      <w:b/>
      <w:bCs/>
      <w:color w:val="000000"/>
      <w:kern w:val="0"/>
      <w:sz w:val="30"/>
    </w:rPr>
  </w:style>
  <w:style w:type="paragraph" w:customStyle="1" w:styleId="63">
    <w:name w:val="xc----括号"/>
    <w:basedOn w:val="54"/>
    <w:qFormat/>
    <w:uiPriority w:val="0"/>
    <w:pPr>
      <w:outlineLvl w:val="5"/>
    </w:pPr>
    <w:rPr>
      <w:rFonts w:ascii="楷体_GB2312" w:eastAsia="楷体_GB2312" w:cs="Times New Roman"/>
    </w:rPr>
  </w:style>
  <w:style w:type="paragraph" w:customStyle="1" w:styleId="64">
    <w:name w:val="默认段落字体 Para Char Char Char Char Char Char Char Char Char Char"/>
    <w:basedOn w:val="1"/>
    <w:qFormat/>
    <w:uiPriority w:val="0"/>
    <w:rPr>
      <w:sz w:val="21"/>
      <w:szCs w:val="20"/>
    </w:rPr>
  </w:style>
  <w:style w:type="paragraph" w:customStyle="1" w:styleId="65">
    <w:name w:val="gg_body"/>
    <w:basedOn w:val="1"/>
    <w:qFormat/>
    <w:uiPriority w:val="0"/>
    <w:pPr>
      <w:widowControl/>
      <w:spacing w:line="460" w:lineRule="exact"/>
      <w:ind w:firstLine="200"/>
      <w:jc w:val="left"/>
    </w:pPr>
    <w:rPr>
      <w:rFonts w:ascii="宋体" w:hAnsi="宋体"/>
      <w:kern w:val="0"/>
      <w:sz w:val="24"/>
      <w:szCs w:val="20"/>
    </w:rPr>
  </w:style>
  <w:style w:type="paragraph" w:customStyle="1" w:styleId="66">
    <w:name w:val="Char Char Char Char Char Char Char Char Char1 Char"/>
    <w:next w:val="67"/>
    <w:qFormat/>
    <w:uiPriority w:val="0"/>
    <w:pPr>
      <w:snapToGrid w:val="0"/>
      <w:spacing w:line="300" w:lineRule="auto"/>
      <w:ind w:firstLine="200" w:firstLineChars="200"/>
      <w:jc w:val="both"/>
    </w:pPr>
    <w:rPr>
      <w:rFonts w:ascii="Times New Roman" w:hAnsi="Times New Roman" w:eastAsia="宋体" w:cs="Times New Roman"/>
      <w:color w:val="000000"/>
      <w:kern w:val="2"/>
      <w:sz w:val="24"/>
      <w:szCs w:val="24"/>
      <w:lang w:val="en-US" w:eastAsia="zh-CN" w:bidi="ar-SA"/>
    </w:rPr>
  </w:style>
  <w:style w:type="paragraph" w:customStyle="1" w:styleId="67">
    <w:name w:val="!正文(alt+c)"/>
    <w:qFormat/>
    <w:uiPriority w:val="0"/>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68">
    <w:name w:val="xl4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Arial Unicode MS" w:hAnsi="Arial Unicode MS" w:eastAsia="Arial Unicode MS"/>
      <w:color w:val="000000"/>
      <w:kern w:val="0"/>
      <w:sz w:val="21"/>
      <w:szCs w:val="21"/>
    </w:rPr>
  </w:style>
  <w:style w:type="paragraph" w:customStyle="1" w:styleId="69">
    <w:name w:val="Char Char Char1 Char Char Char Char Char Char Char Char Char Char Char Char Char"/>
    <w:basedOn w:val="5"/>
    <w:qFormat/>
    <w:uiPriority w:val="0"/>
    <w:pPr>
      <w:widowControl/>
      <w:spacing w:before="120" w:beforeLines="0" w:after="120" w:afterLines="0" w:line="360" w:lineRule="auto"/>
      <w:jc w:val="left"/>
    </w:pPr>
    <w:rPr>
      <w:rFonts w:ascii="Times New Roman" w:hAnsi="Times New Roman" w:eastAsia="仿宋_GB2312" w:cs="宋体"/>
      <w:b w:val="0"/>
      <w:kern w:val="0"/>
    </w:rPr>
  </w:style>
  <w:style w:type="paragraph" w:customStyle="1" w:styleId="70">
    <w:name w:val=" Char Char Char Char Char Char Char Char Char Char"/>
    <w:basedOn w:val="1"/>
    <w:qFormat/>
    <w:uiPriority w:val="0"/>
    <w:rPr>
      <w:sz w:val="21"/>
    </w:rPr>
  </w:style>
  <w:style w:type="paragraph" w:customStyle="1" w:styleId="71">
    <w:name w:val="!表格(alt+t)"/>
    <w:qFormat/>
    <w:uiPriority w:val="0"/>
    <w:pPr>
      <w:adjustRightInd w:val="0"/>
      <w:spacing w:line="240" w:lineRule="atLeast"/>
      <w:jc w:val="center"/>
      <w:textAlignment w:val="center"/>
    </w:pPr>
    <w:rPr>
      <w:rFonts w:ascii="Times New Roman" w:hAnsi="Times New Roman" w:eastAsia="宋体" w:cs="Times New Roman"/>
      <w:bCs/>
      <w:sz w:val="21"/>
      <w:szCs w:val="21"/>
      <w:lang w:val="en-US" w:eastAsia="zh-CN" w:bidi="ar-SA"/>
    </w:rPr>
  </w:style>
  <w:style w:type="paragraph" w:customStyle="1" w:styleId="72">
    <w:name w:val=" Char Char Char Char Char Char Char"/>
    <w:basedOn w:val="1"/>
    <w:qFormat/>
    <w:uiPriority w:val="0"/>
    <w:pPr>
      <w:widowControl/>
      <w:spacing w:after="160" w:afterLines="0" w:line="240" w:lineRule="exact"/>
      <w:jc w:val="left"/>
    </w:pPr>
    <w:rPr>
      <w:sz w:val="21"/>
      <w:szCs w:val="20"/>
    </w:rPr>
  </w:style>
  <w:style w:type="paragraph" w:customStyle="1" w:styleId="73">
    <w:name w:val="样式 !正文(alt+c) + 首行缩进:  2 字符"/>
    <w:basedOn w:val="1"/>
    <w:qFormat/>
    <w:uiPriority w:val="0"/>
    <w:pPr>
      <w:widowControl/>
      <w:spacing w:line="440" w:lineRule="exact"/>
      <w:ind w:firstLine="200" w:firstLineChars="200"/>
      <w:jc w:val="left"/>
    </w:pPr>
    <w:rPr>
      <w:color w:val="000000"/>
      <w:kern w:val="0"/>
      <w:sz w:val="24"/>
      <w:szCs w:val="20"/>
    </w:rPr>
  </w:style>
  <w:style w:type="paragraph" w:customStyle="1" w:styleId="74">
    <w:name w:val=" Char"/>
    <w:basedOn w:val="1"/>
    <w:qFormat/>
    <w:uiPriority w:val="0"/>
    <w:rPr>
      <w:sz w:val="21"/>
    </w:rPr>
  </w:style>
  <w:style w:type="paragraph" w:customStyle="1" w:styleId="75">
    <w:name w:val="表格内文字"/>
    <w:basedOn w:val="1"/>
    <w:qFormat/>
    <w:uiPriority w:val="0"/>
    <w:pPr>
      <w:spacing w:line="240" w:lineRule="auto"/>
      <w:ind w:firstLine="0" w:firstLineChars="0"/>
      <w:jc w:val="center"/>
    </w:pPr>
    <w:rPr>
      <w:rFonts w:cs="宋体"/>
      <w:sz w:val="18"/>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7">
    <w:name w:val="font41"/>
    <w:basedOn w:val="18"/>
    <w:qFormat/>
    <w:uiPriority w:val="0"/>
    <w:rPr>
      <w:rFonts w:hint="eastAsia" w:ascii="仿宋" w:hAnsi="仿宋" w:eastAsia="仿宋" w:cs="仿宋"/>
      <w:color w:val="000000"/>
      <w:sz w:val="18"/>
      <w:szCs w:val="18"/>
      <w:u w:val="none"/>
    </w:rPr>
  </w:style>
  <w:style w:type="paragraph" w:customStyle="1" w:styleId="78">
    <w:name w:val="表格文字"/>
    <w:qFormat/>
    <w:uiPriority w:val="0"/>
    <w:pPr>
      <w:widowControl/>
      <w:tabs>
        <w:tab w:val="left" w:pos="-24"/>
      </w:tabs>
      <w:spacing w:line="0" w:lineRule="atLeast"/>
      <w:ind w:firstLine="0" w:firstLineChars="0"/>
      <w:jc w:val="center"/>
      <w:textAlignment w:val="baseline"/>
    </w:pPr>
    <w:rPr>
      <w:rFonts w:ascii="Times New Roman" w:hAnsi="Times New Roman" w:eastAsia="仿宋_GB2312" w:cs="Times New Roman"/>
      <w:color w:val="auto"/>
      <w:sz w:val="21"/>
      <w:szCs w:val="20"/>
      <w:u w:val="none" w:color="000000"/>
      <w:lang w:val="en-US" w:eastAsia="zh-CN" w:bidi="ar-SA"/>
    </w:rPr>
  </w:style>
  <w:style w:type="paragraph" w:customStyle="1" w:styleId="79">
    <w:name w:val="列出段落1"/>
    <w:qFormat/>
    <w:uiPriority w:val="99"/>
    <w:pPr>
      <w:widowControl/>
      <w:spacing w:line="240" w:lineRule="auto"/>
      <w:ind w:firstLine="0" w:firstLineChars="0"/>
      <w:jc w:val="left"/>
    </w:pPr>
    <w:rPr>
      <w:rFonts w:ascii="Times New Roman" w:hAnsi="Times New Roman" w:eastAsia="仿宋_GB2312" w:cs="宋体"/>
      <w:kern w:val="2"/>
      <w:sz w:val="21"/>
      <w:szCs w:val="24"/>
      <w:lang w:val="en-US" w:eastAsia="zh-CN" w:bidi="ar-SA"/>
    </w:rPr>
  </w:style>
  <w:style w:type="character" w:customStyle="1" w:styleId="80">
    <w:name w:val="font21"/>
    <w:qFormat/>
    <w:uiPriority w:val="0"/>
    <w:rPr>
      <w:rFonts w:hint="default" w:ascii="仿宋_GB2312" w:eastAsia="仿宋_GB2312" w:cs="仿宋_GB2312"/>
      <w:b/>
      <w:bCs/>
      <w:color w:val="000000"/>
      <w:sz w:val="18"/>
      <w:szCs w:val="18"/>
      <w:u w:val="none"/>
    </w:rPr>
  </w:style>
  <w:style w:type="paragraph" w:customStyle="1" w:styleId="81">
    <w:name w:val="表格123"/>
    <w:qFormat/>
    <w:uiPriority w:val="0"/>
    <w:pPr>
      <w:widowControl w:val="0"/>
      <w:adjustRightInd w:val="0"/>
      <w:snapToGrid w:val="0"/>
      <w:spacing w:line="240" w:lineRule="auto"/>
      <w:ind w:left="-30" w:leftChars="-30" w:right="-30" w:rightChars="-30" w:firstLine="0" w:firstLineChars="0"/>
      <w:jc w:val="center"/>
    </w:pPr>
    <w:rPr>
      <w:rFonts w:ascii="Times New Roman" w:hAnsi="Times New Roman" w:eastAsia="仿宋_GB2312" w:cs="Times New Roman"/>
      <w:w w:val="95"/>
      <w:kern w:val="0"/>
      <w:sz w:val="20"/>
      <w:szCs w:val="24"/>
      <w:lang w:val="zh-CN" w:eastAsia="zh-CN" w:bidi="ar-SA"/>
    </w:rPr>
  </w:style>
  <w:style w:type="paragraph" w:customStyle="1" w:styleId="82">
    <w:name w:val="表格内居中文字"/>
    <w:qFormat/>
    <w:uiPriority w:val="0"/>
    <w:pPr>
      <w:widowControl w:val="0"/>
      <w:jc w:val="center"/>
    </w:pPr>
    <w:rPr>
      <w:rFonts w:ascii="Times New Roman" w:hAnsi="Times New Roman" w:eastAsia="仿宋_GB2312" w:cs="Times New Roman"/>
      <w:kern w:val="24"/>
      <w:sz w:val="21"/>
      <w:szCs w:val="24"/>
      <w:lang w:val="en-US" w:eastAsia="zh-CN" w:bidi="ar-SA"/>
    </w:rPr>
  </w:style>
  <w:style w:type="character" w:customStyle="1" w:styleId="83">
    <w:name w:val="正文啊 Char"/>
    <w:link w:val="84"/>
    <w:qFormat/>
    <w:uiPriority w:val="0"/>
    <w:rPr>
      <w:rFonts w:ascii="仿宋_GB2312" w:eastAsia="仿宋_GB2312"/>
      <w:kern w:val="0"/>
      <w:sz w:val="28"/>
      <w:szCs w:val="22"/>
      <w:lang w:val="en-US" w:eastAsia="zh-CN" w:bidi="ar-SA"/>
    </w:rPr>
  </w:style>
  <w:style w:type="paragraph" w:customStyle="1" w:styleId="84">
    <w:name w:val="正文啊"/>
    <w:link w:val="83"/>
    <w:qFormat/>
    <w:uiPriority w:val="0"/>
    <w:pPr>
      <w:widowControl w:val="0"/>
      <w:spacing w:line="560" w:lineRule="exact"/>
      <w:ind w:firstLine="560" w:firstLineChars="200"/>
      <w:jc w:val="both"/>
    </w:pPr>
    <w:rPr>
      <w:rFonts w:ascii="仿宋_GB2312" w:hAnsi="Times New Roman" w:eastAsia="仿宋_GB2312" w:cs="Times New Roman"/>
      <w:kern w:val="0"/>
      <w:sz w:val="28"/>
      <w:szCs w:val="22"/>
      <w:lang w:val="en-US" w:eastAsia="zh-CN" w:bidi="ar-SA"/>
    </w:rPr>
  </w:style>
  <w:style w:type="paragraph" w:customStyle="1" w:styleId="85">
    <w:name w:val="无间隔1"/>
    <w:qFormat/>
    <w:uiPriority w:val="1"/>
    <w:pPr>
      <w:spacing w:line="0" w:lineRule="atLeast"/>
    </w:pPr>
    <w:rPr>
      <w:rFonts w:ascii="Calibri" w:hAnsi="Calibri" w:eastAsia="宋体" w:cs="Times New Roman"/>
      <w:sz w:val="21"/>
      <w:szCs w:val="22"/>
      <w:lang w:val="en-US" w:eastAsia="en-US" w:bidi="en-US"/>
    </w:rPr>
  </w:style>
  <w:style w:type="paragraph" w:customStyle="1" w:styleId="86">
    <w:name w:val="样式 表格文字 + 宋体"/>
    <w:qFormat/>
    <w:uiPriority w:val="0"/>
    <w:pPr>
      <w:widowControl/>
      <w:tabs>
        <w:tab w:val="left" w:pos="-24"/>
      </w:tabs>
      <w:spacing w:line="0" w:lineRule="atLeast"/>
      <w:ind w:firstLine="0" w:firstLineChars="0"/>
      <w:jc w:val="center"/>
      <w:textAlignment w:val="baseline"/>
    </w:pPr>
    <w:rPr>
      <w:rFonts w:ascii="宋体" w:hAnsi="宋体" w:eastAsia="宋体" w:cs="Times New Roman"/>
      <w:color w:val="0000FF"/>
      <w:sz w:val="21"/>
      <w:szCs w:val="20"/>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1032</Words>
  <Characters>5886</Characters>
  <Lines>49</Lines>
  <Paragraphs>13</Paragraphs>
  <TotalTime>28</TotalTime>
  <ScaleCrop>false</ScaleCrop>
  <LinksUpToDate>false</LinksUpToDate>
  <CharactersWithSpaces>6905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2021-07-25T11:38:00Z</dcterms:created>
  <dc:creator>张艺馨</dc:creator>
  <cp:lastModifiedBy>Administrator</cp:lastModifiedBy>
  <cp:lastPrinted>2022-11-14T03:20:00Z</cp:lastPrinted>
  <dcterms:modified xsi:type="dcterms:W3CDTF">2025-02-05T01:52:07Z</dcterms:modified>
  <dc:title>水保审查意见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B69D179690974895BF91370F7CF3E62E</vt:lpwstr>
  </property>
</Properties>
</file>