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Times New Roman" w:hAnsi="Times New Roman" w:eastAsia="方正小标宋_GBK" w:cstheme="minorBidi"/>
          <w:sz w:val="44"/>
          <w:szCs w:val="44"/>
        </w:rPr>
      </w:pPr>
      <w:r>
        <w:rPr>
          <w:rFonts w:hint="eastAsia" w:ascii="Times New Roman" w:hAnsi="Times New Roman" w:eastAsia="方正小标宋_GBK" w:cstheme="minorBidi"/>
          <w:sz w:val="44"/>
          <w:szCs w:val="44"/>
        </w:rPr>
        <w:t>重庆市水利局</w:t>
      </w:r>
    </w:p>
    <w:p>
      <w:pPr>
        <w:spacing w:line="594" w:lineRule="exact"/>
        <w:jc w:val="center"/>
        <w:rPr>
          <w:rFonts w:hint="eastAsia" w:ascii="Times New Roman" w:hAnsi="Times New Roman" w:eastAsia="方正小标宋_GBK" w:cstheme="minorBidi"/>
          <w:sz w:val="44"/>
          <w:szCs w:val="44"/>
        </w:rPr>
      </w:pPr>
      <w:r>
        <w:rPr>
          <w:rFonts w:hint="eastAsia" w:ascii="Times New Roman" w:hAnsi="Times New Roman" w:eastAsia="方正小标宋_GBK" w:cstheme="minorBidi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theme="minorBidi"/>
          <w:sz w:val="44"/>
          <w:szCs w:val="44"/>
        </w:rPr>
        <w:t>兰成渝输油管道涉渝昆高铁（高新区段）管道改线工程洪水影响评价</w:t>
      </w:r>
    </w:p>
    <w:p>
      <w:pPr>
        <w:spacing w:line="594" w:lineRule="exact"/>
        <w:jc w:val="center"/>
        <w:rPr>
          <w:rFonts w:ascii="Times New Roman" w:hAnsi="Times New Roman" w:eastAsia="方正小标宋_GBK" w:cstheme="minorBidi"/>
          <w:sz w:val="44"/>
          <w:szCs w:val="44"/>
        </w:rPr>
      </w:pPr>
      <w:r>
        <w:rPr>
          <w:rFonts w:hint="eastAsia" w:ascii="Times New Roman" w:hAnsi="Times New Roman" w:eastAsia="方正小标宋_GBK" w:cstheme="minorBidi"/>
          <w:sz w:val="44"/>
          <w:szCs w:val="44"/>
        </w:rPr>
        <w:t>准予行政许可的决定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Times New Roman" w:hAnsi="Times New Roman" w:eastAsiaTheme="minorEastAsia" w:cstheme="minorBidi"/>
          <w:kern w:val="0"/>
          <w:sz w:val="24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国家管网集团西南管道有限责任公司重庆输油气分公司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根据你单位关于兰成渝输油管道涉渝昆高铁（高新区段）管道改线工程洪水影响评价的行政许可申请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编码：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2403-500356-04-01-187272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），我局组织专家对《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兰成渝输油管道涉渝昆高铁（高新区段）管道改线工程洪水影响评价报告》进行了审查。根据《中华人民共和国防洪法》《中华人民共和国河道管理条例》《行政许可法》第三十八条第一款、《水行政许可实施办法》第三十二条第一项规定和专家评审意见，现就该工程洪水影响评价作出准予行政许可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一、项目涉河段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分别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位于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重庆高新区及九龙坡区。同意工程所在肖家河防洪评价标准100年一遇。工程设计洪水标准100年一遇。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原则同意工程建设对河道行洪及河势稳定基本无影响的结论。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本工程涉河建筑物为桩号A05~A06管段，在三百梯水库库尾采用定向钻方式穿越肖家河河道，河道管理范围内穿河段管道全长57m，定向钻施工入土点（A05）高程为308.58m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（1985国家高程基准，下同）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、出土点（A06）高程为289.15m，高于该穿越断面100年一遇洪水位（278.39m）；河床与工程管道最小距离为12.68m，满足冲刷要求。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9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（一）项目法人应妥善处理好第三方合法水事权益，落实权属单位及管理部门要求。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工程开工前，项目法人要将施工方案报送当地水行政主管部门。由当地水行政主管部门对施工期进行施工管理，并服从防汛指挥部门的统一指挥。项目法人要高度重视河道保护工作，严禁向河道内倾倒弃土弃渣，施工完工后应及时拆除施工设施，清除弃渣等阻碍物，确保行洪安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（三）工程开工后，项目法人要及时将施工放样资料报送市河道事务中心，市河道事务中心将对工程控制坐标在内的涉河事项进行核查。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（四）工程竣工后，项目法人应报告市河道事务中心，市河道事务中心将对工程控制坐标在内的涉河事项进行全面复核；市水利局根据复核报告，参加工程项目的综合验收。工程经验收合格后方可启用。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（五）本行政许可决定有效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期为3年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，自签发之日起计算。期满后，若该工程未开工建设，本行政许可决定自行失效；若要继续建设，应重新履行行政许可手续。工程建设过程中涉河建设方案有较大变更的，也应按规定重新办理许可手续。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（六）项目法人应严格按照批复的内容和要求实施。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8" w:lineRule="exact"/>
        <w:textAlignment w:val="auto"/>
        <w:rPr>
          <w:rFonts w:ascii="Times New Roman" w:hAnsi="Times New Roman" w:eastAsia="方正仿宋_GBK" w:cs="方正仿宋_GBK"/>
          <w:color w:val="000000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方正仿宋_GBK" w:cs="方正仿宋_GBK"/>
          <w:color w:val="000000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left="1598" w:leftChars="304" w:hanging="960" w:hangingChars="300"/>
        <w:jc w:val="both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sz w:val="32"/>
          <w:szCs w:val="32"/>
        </w:rPr>
        <w:t>附件：兰成渝输油管道涉渝昆高铁（高新区段）管道改线工程洪水影响评价报告专家评审意见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5440" w:firstLineChars="1700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sz w:val="32"/>
          <w:szCs w:val="32"/>
        </w:rPr>
        <w:t>重庆市水利局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5280" w:firstLineChars="1650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 w:val="0"/>
        <w:autoSpaceDE w:val="0"/>
        <w:autoSpaceDN w:val="0"/>
        <w:adjustRightInd w:val="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sz w:val="32"/>
          <w:szCs w:val="32"/>
        </w:rPr>
        <w:t>（此</w:t>
      </w:r>
      <w:r>
        <w:rPr>
          <w:rFonts w:ascii="Times New Roman" w:hAnsi="Times New Roman" w:eastAsia="方正仿宋_GBK" w:cstheme="minorBidi"/>
          <w:sz w:val="32"/>
          <w:szCs w:val="32"/>
        </w:rPr>
        <w:t>件主动公开发布</w:t>
      </w:r>
      <w:r>
        <w:rPr>
          <w:rFonts w:hint="eastAsia" w:ascii="Times New Roman" w:hAnsi="Times New Roman" w:eastAsia="方正仿宋_GBK" w:cstheme="minorBidi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theme="minorBidi"/>
          <w:sz w:val="32"/>
          <w:szCs w:val="32"/>
        </w:rPr>
        <w:t>（联系人</w:t>
      </w:r>
      <w:r>
        <w:rPr>
          <w:rFonts w:ascii="Times New Roman" w:hAnsi="Times New Roman" w:eastAsia="方正仿宋_GBK" w:cstheme="minorBidi"/>
          <w:sz w:val="32"/>
          <w:szCs w:val="32"/>
        </w:rPr>
        <w:t>：</w:t>
      </w:r>
      <w:r>
        <w:rPr>
          <w:rFonts w:hint="eastAsia" w:ascii="Times New Roman" w:hAnsi="Times New Roman" w:eastAsia="方正仿宋_GBK" w:cstheme="minorBidi"/>
          <w:sz w:val="32"/>
          <w:szCs w:val="32"/>
          <w:lang w:val="en" w:eastAsia="zh-CN"/>
        </w:rPr>
        <w:t>张翔宇</w:t>
      </w:r>
      <w:r>
        <w:rPr>
          <w:rFonts w:hint="eastAsia" w:ascii="Times New Roman" w:hAnsi="Times New Roman" w:eastAsia="方正仿宋_GBK" w:cstheme="minorBidi"/>
          <w:sz w:val="32"/>
          <w:szCs w:val="32"/>
        </w:rPr>
        <w:t>；联系电话</w:t>
      </w:r>
      <w:r>
        <w:rPr>
          <w:rFonts w:ascii="Times New Roman" w:hAnsi="Times New Roman" w:eastAsia="方正仿宋_GBK" w:cstheme="minorBidi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023-88707092</w:t>
      </w:r>
      <w:r>
        <w:rPr>
          <w:rFonts w:hint="eastAsia" w:ascii="Times New Roman" w:hAnsi="Times New Roman" w:eastAsia="方正仿宋_GBK" w:cstheme="minorBidi"/>
          <w:sz w:val="32"/>
          <w:szCs w:val="32"/>
        </w:rPr>
        <w:t>）</w:t>
      </w:r>
      <w:r>
        <w:rPr>
          <w:rFonts w:ascii="Times New Roman" w:hAnsi="Times New Roman" w:eastAsia="方正仿宋_GBK" w:cstheme="minorBidi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u w:val="none"/>
          <w:lang w:eastAsia="zh-CN"/>
        </w:rPr>
        <w:t>兰成渝输油管道涉渝昆高铁（高新区段）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u w:val="none"/>
          <w:lang w:eastAsia="zh-CN"/>
        </w:rPr>
        <w:t>管道改线工程洪水影响评价报告专家评审意见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2024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10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11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日，市水利局组织召开了《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兰成渝输油管道涉渝昆高铁（高新区段）管道改线工程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洪水影响评价报告》（送审稿）专家评审会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，西部科学城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重庆高新区管委会生态环境局、九龙坡区农业农村委员会、国家管网集团西南管道有限责任公司重庆输油气分公司（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以下简称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项目业主）、四川科宏石油天然气工程有限公司（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主体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设计单位）、重庆润源鑫水土保持科技开发有限公司（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以下简称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报告编制单位）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的代表及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评审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专家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参加了会议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。会议成立了专家组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会上听取了项目法人关于项目情况的介绍及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报告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编制单位关于报告主要内容的汇报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，对报告进行了认真评审，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评定等级为合格，并提出了修改建议。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会后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报告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编制单位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根据专家意见进行了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修改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补充，提交了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兰成渝输油管道涉渝昆高铁（高新区段）管道改线工程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洪水影响评价报告》（报批稿）（以下简称《报告》）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。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经专家组复核，形成评审意见如下：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一、评价依据合理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《报告》采用的法律、法规和规程、规范基本合理。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二、防洪标准合适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《报告》确定的评价范围和评价标准、涉河工程防洪标准基本合适。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项目涉及重庆高新区和九龙坡区，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《重庆市主城区防洪规划报告（2016～2030年）》、《重庆市九龙坡区防洪规划（2021-2035）修编报告》、《高新区防洪专项规划》（2021.3）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确定防洪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评价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标准采用100年一遇。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《油气输送管道穿越工程设计规范》（GB50423-2013）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相关规定，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涉河管道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设计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洪水标准采用100年一遇，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基本合适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三、项目涉河建设方案介绍基本清楚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本工程涉河建筑物为桩号A05~A06管段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在三百梯水库库尾采用定向钻方式穿越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eastAsia="zh-CN" w:bidi="ar"/>
        </w:rPr>
        <w:t>肖家河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河道，河道管理范围内穿河段管道全长57m，定向钻施工入土点（A05）高程为308.58m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（1985国家高程基准，下同）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出土点（A06）高程为289.15m，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val="en-US" w:eastAsia="zh-CN" w:bidi="ar"/>
        </w:rPr>
        <w:t>高于该穿越断面100年一遇洪水位（278.39m）；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河床与工程管道最小距离为12.68m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val="en-US" w:eastAsia="zh-CN" w:bidi="ar"/>
        </w:rPr>
        <w:t>满足冲刷要求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四、河道演变分析结论基本合适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本工程管道埋设于河床下最小埋深12.68m，不会对河段的河势稳定产生不利影响。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五、防洪评价计算成果基本合理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《报告》设计洪水、水面线、壅水分析及冲刷计算方法可行，成果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基本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六、防洪综合评价结论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一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本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工程实施后未占用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河道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行洪断面，工程建设对河道行洪及河势演变基本无影响，评价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结论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基本恰当。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）本工程建设对第三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水事合法权益影响评价较为合理。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本工程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桩号A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~A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管段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位于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跳蹬河水库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保护范围内，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项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目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业主已与跳蹬河水库管理单位就本工程可能对其造成的影响达成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相关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协议；本工程建设可能对双镇桥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三百梯水库规划的护岸工程建设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产生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影响，项目业主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提交了关于第三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者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合法水事权益的承诺书。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、防治与补救措施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本工程建设对河道行洪、河势稳定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等基本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无影响，无工程类补救措施。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284480</wp:posOffset>
            </wp:positionV>
            <wp:extent cx="860425" cy="394970"/>
            <wp:effectExtent l="0" t="0" r="15875" b="5080"/>
            <wp:wrapTight wrapText="bothSides">
              <wp:wrapPolygon>
                <wp:start x="0" y="0"/>
                <wp:lineTo x="0" y="20836"/>
                <wp:lineTo x="21042" y="20836"/>
                <wp:lineTo x="21042" y="0"/>
                <wp:lineTo x="0" y="0"/>
              </wp:wrapPolygon>
            </wp:wrapTight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专家组长：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兰成渝输油管道涉渝昆高铁（高新区段）管道改线工程涉河建筑物控制坐标表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829"/>
        <w:gridCol w:w="1839"/>
        <w:gridCol w:w="280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452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98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坐标值(m)</w:t>
            </w:r>
          </w:p>
        </w:tc>
        <w:tc>
          <w:tcPr>
            <w:tcW w:w="151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对应位置</w:t>
            </w:r>
          </w:p>
        </w:tc>
        <w:tc>
          <w:tcPr>
            <w:tcW w:w="104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X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Y</w:t>
            </w:r>
          </w:p>
        </w:tc>
        <w:tc>
          <w:tcPr>
            <w:tcW w:w="151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3253558.332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629819.641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定向钻入土点（A05）</w:t>
            </w:r>
          </w:p>
        </w:tc>
        <w:tc>
          <w:tcPr>
            <w:tcW w:w="104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输油管道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3253366.366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629810.559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河道右岸（管中心）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3253345.257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629809.584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河道中心（管中心）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3253310.189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629807.917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河道左岸（管中心）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3253118.827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629798.847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定向钻出土点(A06)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A1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3253367.780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629805.641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右岸保护范围线节点</w:t>
            </w:r>
          </w:p>
        </w:tc>
        <w:tc>
          <w:tcPr>
            <w:tcW w:w="104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管道保护范围线节点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A2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3253364.772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629815.509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右岸保护范围线节点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A3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3253310.773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629802.939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左岸保护范围线节点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A4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3253308.764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629812.855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左岸保护范围线节点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rPr>
          <w:rFonts w:hint="eastAsia" w:eastAsia="方正仿宋_GBK"/>
          <w:sz w:val="21"/>
          <w:szCs w:val="21"/>
          <w:lang w:eastAsia="zh-CN" w:bidi="ar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lang w:val="en-US" w:eastAsia="zh-CN"/>
        </w:rPr>
        <w:t>备注：坐标系统为2000国家大地坐标系。</w:t>
      </w:r>
    </w:p>
    <w:sectPr>
      <w:pgSz w:w="11906" w:h="16838"/>
      <w:pgMar w:top="1984" w:right="1446" w:bottom="1644" w:left="144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-19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mE5YTBjMTAyMjhkYjYyOWQ3OTUwYTAyZTRkZDEifQ=="/>
  </w:docVars>
  <w:rsids>
    <w:rsidRoot w:val="00172A27"/>
    <w:rsid w:val="0000117F"/>
    <w:rsid w:val="00060C48"/>
    <w:rsid w:val="00080DE9"/>
    <w:rsid w:val="00080F8F"/>
    <w:rsid w:val="000843A3"/>
    <w:rsid w:val="000943E2"/>
    <w:rsid w:val="000D31BD"/>
    <w:rsid w:val="000E74E8"/>
    <w:rsid w:val="0013296D"/>
    <w:rsid w:val="001375F9"/>
    <w:rsid w:val="0015145F"/>
    <w:rsid w:val="00165E1C"/>
    <w:rsid w:val="00167901"/>
    <w:rsid w:val="00180FE2"/>
    <w:rsid w:val="0018163A"/>
    <w:rsid w:val="00186E9B"/>
    <w:rsid w:val="001D0B75"/>
    <w:rsid w:val="001F25D2"/>
    <w:rsid w:val="002101F6"/>
    <w:rsid w:val="00212506"/>
    <w:rsid w:val="002229DB"/>
    <w:rsid w:val="002246DF"/>
    <w:rsid w:val="002304BC"/>
    <w:rsid w:val="002379B1"/>
    <w:rsid w:val="00255DAB"/>
    <w:rsid w:val="00262C33"/>
    <w:rsid w:val="00276667"/>
    <w:rsid w:val="00280325"/>
    <w:rsid w:val="00287AEA"/>
    <w:rsid w:val="002B6113"/>
    <w:rsid w:val="002C18CE"/>
    <w:rsid w:val="002D413E"/>
    <w:rsid w:val="002D5C14"/>
    <w:rsid w:val="002E6FD5"/>
    <w:rsid w:val="002F3C0B"/>
    <w:rsid w:val="00313028"/>
    <w:rsid w:val="00323EA4"/>
    <w:rsid w:val="0033626C"/>
    <w:rsid w:val="00350C46"/>
    <w:rsid w:val="00381C07"/>
    <w:rsid w:val="00387AE9"/>
    <w:rsid w:val="003C203A"/>
    <w:rsid w:val="003D4AB8"/>
    <w:rsid w:val="003E08A6"/>
    <w:rsid w:val="003F2A7D"/>
    <w:rsid w:val="003F6297"/>
    <w:rsid w:val="004051BE"/>
    <w:rsid w:val="00411B68"/>
    <w:rsid w:val="0042000E"/>
    <w:rsid w:val="004334E4"/>
    <w:rsid w:val="004647E0"/>
    <w:rsid w:val="00467405"/>
    <w:rsid w:val="00476004"/>
    <w:rsid w:val="004B3BEF"/>
    <w:rsid w:val="004B7558"/>
    <w:rsid w:val="004E577A"/>
    <w:rsid w:val="004E61F0"/>
    <w:rsid w:val="004F5839"/>
    <w:rsid w:val="004F7B03"/>
    <w:rsid w:val="005558BD"/>
    <w:rsid w:val="0058358C"/>
    <w:rsid w:val="005A093D"/>
    <w:rsid w:val="005D35FE"/>
    <w:rsid w:val="00604D4E"/>
    <w:rsid w:val="00615598"/>
    <w:rsid w:val="00626A22"/>
    <w:rsid w:val="00630BE9"/>
    <w:rsid w:val="0063606C"/>
    <w:rsid w:val="00637F0E"/>
    <w:rsid w:val="00667886"/>
    <w:rsid w:val="00672EE1"/>
    <w:rsid w:val="00682665"/>
    <w:rsid w:val="00693B6D"/>
    <w:rsid w:val="006A5316"/>
    <w:rsid w:val="006B2211"/>
    <w:rsid w:val="00702135"/>
    <w:rsid w:val="00704CAB"/>
    <w:rsid w:val="00726076"/>
    <w:rsid w:val="0073505D"/>
    <w:rsid w:val="00757037"/>
    <w:rsid w:val="00770C95"/>
    <w:rsid w:val="007823EC"/>
    <w:rsid w:val="0078331B"/>
    <w:rsid w:val="0078662C"/>
    <w:rsid w:val="007878F4"/>
    <w:rsid w:val="007A69A2"/>
    <w:rsid w:val="007B10F8"/>
    <w:rsid w:val="007B79B4"/>
    <w:rsid w:val="007C1DA0"/>
    <w:rsid w:val="007D047A"/>
    <w:rsid w:val="007F6DC3"/>
    <w:rsid w:val="008012AF"/>
    <w:rsid w:val="00803100"/>
    <w:rsid w:val="00805511"/>
    <w:rsid w:val="00813CDB"/>
    <w:rsid w:val="0082597E"/>
    <w:rsid w:val="00830B9D"/>
    <w:rsid w:val="00835842"/>
    <w:rsid w:val="008364FA"/>
    <w:rsid w:val="0085735A"/>
    <w:rsid w:val="00857D4C"/>
    <w:rsid w:val="008622EF"/>
    <w:rsid w:val="00896C53"/>
    <w:rsid w:val="008B248D"/>
    <w:rsid w:val="008B4DD8"/>
    <w:rsid w:val="008C0A49"/>
    <w:rsid w:val="008D0DAF"/>
    <w:rsid w:val="008E4A17"/>
    <w:rsid w:val="00900B18"/>
    <w:rsid w:val="00912BF9"/>
    <w:rsid w:val="00917A14"/>
    <w:rsid w:val="0095770F"/>
    <w:rsid w:val="00971630"/>
    <w:rsid w:val="00973853"/>
    <w:rsid w:val="00980B14"/>
    <w:rsid w:val="009A5F66"/>
    <w:rsid w:val="009A7CD3"/>
    <w:rsid w:val="009B6472"/>
    <w:rsid w:val="009C5C4F"/>
    <w:rsid w:val="009E2A89"/>
    <w:rsid w:val="009E6BC2"/>
    <w:rsid w:val="009F1E1F"/>
    <w:rsid w:val="009F4298"/>
    <w:rsid w:val="009F6234"/>
    <w:rsid w:val="00A11FD4"/>
    <w:rsid w:val="00A25361"/>
    <w:rsid w:val="00A42211"/>
    <w:rsid w:val="00A57216"/>
    <w:rsid w:val="00A852E6"/>
    <w:rsid w:val="00A901FF"/>
    <w:rsid w:val="00AA0E5E"/>
    <w:rsid w:val="00AA4C98"/>
    <w:rsid w:val="00AA5915"/>
    <w:rsid w:val="00AA6A6E"/>
    <w:rsid w:val="00AC3A2D"/>
    <w:rsid w:val="00AC4F05"/>
    <w:rsid w:val="00AD5497"/>
    <w:rsid w:val="00AE6A21"/>
    <w:rsid w:val="00AF7923"/>
    <w:rsid w:val="00B07216"/>
    <w:rsid w:val="00B1153C"/>
    <w:rsid w:val="00B22C6B"/>
    <w:rsid w:val="00B22F6E"/>
    <w:rsid w:val="00B42916"/>
    <w:rsid w:val="00B6313A"/>
    <w:rsid w:val="00B75C65"/>
    <w:rsid w:val="00B75EBC"/>
    <w:rsid w:val="00B83961"/>
    <w:rsid w:val="00B86558"/>
    <w:rsid w:val="00BA37E2"/>
    <w:rsid w:val="00BA5290"/>
    <w:rsid w:val="00BD312C"/>
    <w:rsid w:val="00BD5373"/>
    <w:rsid w:val="00BD5FB7"/>
    <w:rsid w:val="00BD6988"/>
    <w:rsid w:val="00BE34BF"/>
    <w:rsid w:val="00C004EA"/>
    <w:rsid w:val="00C14F99"/>
    <w:rsid w:val="00C36952"/>
    <w:rsid w:val="00C87D72"/>
    <w:rsid w:val="00CA35C7"/>
    <w:rsid w:val="00CE1371"/>
    <w:rsid w:val="00CE2892"/>
    <w:rsid w:val="00CE6234"/>
    <w:rsid w:val="00CE7DEF"/>
    <w:rsid w:val="00D010EA"/>
    <w:rsid w:val="00D0412F"/>
    <w:rsid w:val="00D16EC0"/>
    <w:rsid w:val="00D34A28"/>
    <w:rsid w:val="00D9733F"/>
    <w:rsid w:val="00DA2211"/>
    <w:rsid w:val="00DA51B8"/>
    <w:rsid w:val="00DB36DA"/>
    <w:rsid w:val="00DB7766"/>
    <w:rsid w:val="00DC63F8"/>
    <w:rsid w:val="00DE43C1"/>
    <w:rsid w:val="00DF2FD3"/>
    <w:rsid w:val="00DF6728"/>
    <w:rsid w:val="00E25F69"/>
    <w:rsid w:val="00E267F1"/>
    <w:rsid w:val="00E3611E"/>
    <w:rsid w:val="00E42B68"/>
    <w:rsid w:val="00E53C48"/>
    <w:rsid w:val="00E83AC6"/>
    <w:rsid w:val="00EA2041"/>
    <w:rsid w:val="00EA7A09"/>
    <w:rsid w:val="00EB1B7B"/>
    <w:rsid w:val="00EC252B"/>
    <w:rsid w:val="00EF5D1B"/>
    <w:rsid w:val="00F137BD"/>
    <w:rsid w:val="00F1463D"/>
    <w:rsid w:val="00F164EB"/>
    <w:rsid w:val="00F1763B"/>
    <w:rsid w:val="00F261E3"/>
    <w:rsid w:val="00F35A5D"/>
    <w:rsid w:val="00F56E8E"/>
    <w:rsid w:val="00F62E0D"/>
    <w:rsid w:val="00F64D36"/>
    <w:rsid w:val="00F661FF"/>
    <w:rsid w:val="00F96782"/>
    <w:rsid w:val="00FA2BC2"/>
    <w:rsid w:val="00FA63A5"/>
    <w:rsid w:val="00FB42D1"/>
    <w:rsid w:val="00FC5CF4"/>
    <w:rsid w:val="00FC7585"/>
    <w:rsid w:val="00FD17D7"/>
    <w:rsid w:val="00FD6BD6"/>
    <w:rsid w:val="00FE0319"/>
    <w:rsid w:val="06A73081"/>
    <w:rsid w:val="06E25862"/>
    <w:rsid w:val="06EC5F66"/>
    <w:rsid w:val="086A6BEE"/>
    <w:rsid w:val="08DF3DF3"/>
    <w:rsid w:val="08F80184"/>
    <w:rsid w:val="097F55EA"/>
    <w:rsid w:val="09E67273"/>
    <w:rsid w:val="0A1310FF"/>
    <w:rsid w:val="0B4658F2"/>
    <w:rsid w:val="0C112E71"/>
    <w:rsid w:val="0C8353F1"/>
    <w:rsid w:val="0C956C30"/>
    <w:rsid w:val="0CA87562"/>
    <w:rsid w:val="0D660F9A"/>
    <w:rsid w:val="0E0E77CE"/>
    <w:rsid w:val="11CC287E"/>
    <w:rsid w:val="12F21793"/>
    <w:rsid w:val="145558C5"/>
    <w:rsid w:val="14FBA8CC"/>
    <w:rsid w:val="155142DE"/>
    <w:rsid w:val="161A526B"/>
    <w:rsid w:val="17FAD88C"/>
    <w:rsid w:val="185D2B2E"/>
    <w:rsid w:val="195F22DA"/>
    <w:rsid w:val="1A6E76E0"/>
    <w:rsid w:val="1A815622"/>
    <w:rsid w:val="1B486183"/>
    <w:rsid w:val="1D3F7112"/>
    <w:rsid w:val="1DBDE8AD"/>
    <w:rsid w:val="1DDF9591"/>
    <w:rsid w:val="21553F1F"/>
    <w:rsid w:val="21E9113D"/>
    <w:rsid w:val="23065491"/>
    <w:rsid w:val="24853FA4"/>
    <w:rsid w:val="25755DC7"/>
    <w:rsid w:val="25FBF37C"/>
    <w:rsid w:val="267E0CAB"/>
    <w:rsid w:val="26CFD309"/>
    <w:rsid w:val="27F56814"/>
    <w:rsid w:val="27FF3423"/>
    <w:rsid w:val="28563F38"/>
    <w:rsid w:val="2ABBA9B4"/>
    <w:rsid w:val="2B8B3A90"/>
    <w:rsid w:val="2D08505D"/>
    <w:rsid w:val="2D3C366E"/>
    <w:rsid w:val="2D7FDA3C"/>
    <w:rsid w:val="2E6F9124"/>
    <w:rsid w:val="2EBB1D0E"/>
    <w:rsid w:val="30B53B02"/>
    <w:rsid w:val="313F372D"/>
    <w:rsid w:val="31D2634F"/>
    <w:rsid w:val="320078BE"/>
    <w:rsid w:val="337A6C9E"/>
    <w:rsid w:val="33F51B76"/>
    <w:rsid w:val="342C0774"/>
    <w:rsid w:val="34BF705E"/>
    <w:rsid w:val="37DE0EE6"/>
    <w:rsid w:val="37EDB4AC"/>
    <w:rsid w:val="38EA4481"/>
    <w:rsid w:val="39376333"/>
    <w:rsid w:val="39EC87EC"/>
    <w:rsid w:val="3A566334"/>
    <w:rsid w:val="3AA06FEA"/>
    <w:rsid w:val="3AF79F18"/>
    <w:rsid w:val="3B907DAB"/>
    <w:rsid w:val="3BFFC9F4"/>
    <w:rsid w:val="3C1557B6"/>
    <w:rsid w:val="3C241E9D"/>
    <w:rsid w:val="3CFDE2AF"/>
    <w:rsid w:val="3E271A91"/>
    <w:rsid w:val="3E6FE2DE"/>
    <w:rsid w:val="3EBCF394"/>
    <w:rsid w:val="3EFEC9C7"/>
    <w:rsid w:val="3F3F1AAC"/>
    <w:rsid w:val="3FEBCDAE"/>
    <w:rsid w:val="40507671"/>
    <w:rsid w:val="413840B2"/>
    <w:rsid w:val="4205007B"/>
    <w:rsid w:val="43324E9F"/>
    <w:rsid w:val="43797681"/>
    <w:rsid w:val="43CF0D40"/>
    <w:rsid w:val="44F74837"/>
    <w:rsid w:val="45F76116"/>
    <w:rsid w:val="476580E3"/>
    <w:rsid w:val="47D253E2"/>
    <w:rsid w:val="4AFF7D5D"/>
    <w:rsid w:val="4B896C11"/>
    <w:rsid w:val="4D27359B"/>
    <w:rsid w:val="4D9805D7"/>
    <w:rsid w:val="4DEFC5B1"/>
    <w:rsid w:val="4DFD2D34"/>
    <w:rsid w:val="4E7D345A"/>
    <w:rsid w:val="4F2A4E95"/>
    <w:rsid w:val="4F5FA6C0"/>
    <w:rsid w:val="4FFFB3EC"/>
    <w:rsid w:val="53D837D7"/>
    <w:rsid w:val="56B5119C"/>
    <w:rsid w:val="56EFA78F"/>
    <w:rsid w:val="57B42F62"/>
    <w:rsid w:val="57CE1512"/>
    <w:rsid w:val="5881456D"/>
    <w:rsid w:val="594E13B8"/>
    <w:rsid w:val="59C64517"/>
    <w:rsid w:val="59FB9F59"/>
    <w:rsid w:val="5B7C849B"/>
    <w:rsid w:val="5BCF2642"/>
    <w:rsid w:val="5C45B520"/>
    <w:rsid w:val="5CD72E5E"/>
    <w:rsid w:val="5CE5011D"/>
    <w:rsid w:val="5CFB5570"/>
    <w:rsid w:val="5D3165EA"/>
    <w:rsid w:val="5EFA7CCD"/>
    <w:rsid w:val="5F2C6066"/>
    <w:rsid w:val="5F3F70D5"/>
    <w:rsid w:val="5F4B86B0"/>
    <w:rsid w:val="5F6E5307"/>
    <w:rsid w:val="5FAE3C55"/>
    <w:rsid w:val="5FDEA4B1"/>
    <w:rsid w:val="5FF30A75"/>
    <w:rsid w:val="5FF5F01E"/>
    <w:rsid w:val="5FFEE4ED"/>
    <w:rsid w:val="5FFF44AA"/>
    <w:rsid w:val="60BD7CE2"/>
    <w:rsid w:val="60F15968"/>
    <w:rsid w:val="61D165F8"/>
    <w:rsid w:val="647E51B9"/>
    <w:rsid w:val="654900FB"/>
    <w:rsid w:val="66DD26A3"/>
    <w:rsid w:val="677FE8BA"/>
    <w:rsid w:val="67C959E5"/>
    <w:rsid w:val="67CFA1FD"/>
    <w:rsid w:val="69674FF3"/>
    <w:rsid w:val="69C67F6C"/>
    <w:rsid w:val="6AFD996C"/>
    <w:rsid w:val="6BB46168"/>
    <w:rsid w:val="6BBF6CD5"/>
    <w:rsid w:val="6BC3742C"/>
    <w:rsid w:val="6C076A02"/>
    <w:rsid w:val="6CC72467"/>
    <w:rsid w:val="6E35746E"/>
    <w:rsid w:val="6EFE0A19"/>
    <w:rsid w:val="6F1277AF"/>
    <w:rsid w:val="6F2BFCF7"/>
    <w:rsid w:val="6F79782E"/>
    <w:rsid w:val="6F9BA59E"/>
    <w:rsid w:val="6FC22F83"/>
    <w:rsid w:val="6FF57BC9"/>
    <w:rsid w:val="6FFD65BE"/>
    <w:rsid w:val="6FFF438D"/>
    <w:rsid w:val="71233EF6"/>
    <w:rsid w:val="731425BA"/>
    <w:rsid w:val="73DFF394"/>
    <w:rsid w:val="73EBEB32"/>
    <w:rsid w:val="74D510B2"/>
    <w:rsid w:val="74DE2A30"/>
    <w:rsid w:val="74F13428"/>
    <w:rsid w:val="75BA6222"/>
    <w:rsid w:val="75EA771F"/>
    <w:rsid w:val="7757D41C"/>
    <w:rsid w:val="777D786F"/>
    <w:rsid w:val="779B0C6F"/>
    <w:rsid w:val="77EC7B96"/>
    <w:rsid w:val="77FB083A"/>
    <w:rsid w:val="77FB3E6F"/>
    <w:rsid w:val="77FDA250"/>
    <w:rsid w:val="782F4162"/>
    <w:rsid w:val="78BD5141"/>
    <w:rsid w:val="78CD2AC8"/>
    <w:rsid w:val="78DFB84E"/>
    <w:rsid w:val="7A2DC5C3"/>
    <w:rsid w:val="7A5B6E19"/>
    <w:rsid w:val="7A6D1E97"/>
    <w:rsid w:val="7ACC115A"/>
    <w:rsid w:val="7ADB139D"/>
    <w:rsid w:val="7ADC7BCA"/>
    <w:rsid w:val="7AFFABBC"/>
    <w:rsid w:val="7B231E60"/>
    <w:rsid w:val="7B402B3F"/>
    <w:rsid w:val="7BC438F3"/>
    <w:rsid w:val="7BEF70A0"/>
    <w:rsid w:val="7BF9BD45"/>
    <w:rsid w:val="7BFF6F47"/>
    <w:rsid w:val="7CA76B85"/>
    <w:rsid w:val="7CF83BAB"/>
    <w:rsid w:val="7D6D79AA"/>
    <w:rsid w:val="7D7F084A"/>
    <w:rsid w:val="7D7FCEBC"/>
    <w:rsid w:val="7DBC326D"/>
    <w:rsid w:val="7DFDD9BF"/>
    <w:rsid w:val="7E592A19"/>
    <w:rsid w:val="7EBFC450"/>
    <w:rsid w:val="7EDDB14A"/>
    <w:rsid w:val="7EEE1F73"/>
    <w:rsid w:val="7EF7782A"/>
    <w:rsid w:val="7EFEC674"/>
    <w:rsid w:val="7F1C9FBF"/>
    <w:rsid w:val="7F3CBE9F"/>
    <w:rsid w:val="7F6B4376"/>
    <w:rsid w:val="7F76A414"/>
    <w:rsid w:val="7F7D58EC"/>
    <w:rsid w:val="7F7F5534"/>
    <w:rsid w:val="7F879A34"/>
    <w:rsid w:val="7FA8F338"/>
    <w:rsid w:val="7FBAA2BD"/>
    <w:rsid w:val="7FBEA39F"/>
    <w:rsid w:val="7FDF72B8"/>
    <w:rsid w:val="7FEC7045"/>
    <w:rsid w:val="7FEF5842"/>
    <w:rsid w:val="7FEFC1B5"/>
    <w:rsid w:val="7FF74777"/>
    <w:rsid w:val="7FFB6946"/>
    <w:rsid w:val="7FFB94B4"/>
    <w:rsid w:val="7FFF7A50"/>
    <w:rsid w:val="7FFFB605"/>
    <w:rsid w:val="9BD365BF"/>
    <w:rsid w:val="9D4B5CFF"/>
    <w:rsid w:val="9D7A8DFD"/>
    <w:rsid w:val="9DFD6D0B"/>
    <w:rsid w:val="A4FF8CCF"/>
    <w:rsid w:val="A5D2D812"/>
    <w:rsid w:val="A5DDEC2F"/>
    <w:rsid w:val="ABBAF70A"/>
    <w:rsid w:val="ABDC60BD"/>
    <w:rsid w:val="ABE223D1"/>
    <w:rsid w:val="ABEF33DC"/>
    <w:rsid w:val="ACF595DE"/>
    <w:rsid w:val="AF6EB606"/>
    <w:rsid w:val="AF9F9521"/>
    <w:rsid w:val="AFCB4859"/>
    <w:rsid w:val="B7BE1767"/>
    <w:rsid w:val="B7BF2340"/>
    <w:rsid w:val="B7BFF275"/>
    <w:rsid w:val="B7EFCCA4"/>
    <w:rsid w:val="B9A7E0B8"/>
    <w:rsid w:val="BD7FEEA7"/>
    <w:rsid w:val="BECFDE02"/>
    <w:rsid w:val="BF5D5CB9"/>
    <w:rsid w:val="BF5F07ED"/>
    <w:rsid w:val="BF7D996C"/>
    <w:rsid w:val="BFC22734"/>
    <w:rsid w:val="BFFD0B47"/>
    <w:rsid w:val="C1FE2B1F"/>
    <w:rsid w:val="C3FC858A"/>
    <w:rsid w:val="CCFAF5C1"/>
    <w:rsid w:val="CEE7B7EE"/>
    <w:rsid w:val="CFFB97DB"/>
    <w:rsid w:val="D3DB9C93"/>
    <w:rsid w:val="D41F9B05"/>
    <w:rsid w:val="D53FEF47"/>
    <w:rsid w:val="D75FADAD"/>
    <w:rsid w:val="D7BD0F6C"/>
    <w:rsid w:val="D7FB530A"/>
    <w:rsid w:val="DDF7DBAE"/>
    <w:rsid w:val="DF9ECC6D"/>
    <w:rsid w:val="DFB37940"/>
    <w:rsid w:val="DFF972D1"/>
    <w:rsid w:val="DFFC5816"/>
    <w:rsid w:val="E5AC51FD"/>
    <w:rsid w:val="E5FC247E"/>
    <w:rsid w:val="EB9ACE09"/>
    <w:rsid w:val="EBDB3659"/>
    <w:rsid w:val="EBFE6B43"/>
    <w:rsid w:val="ED7F0276"/>
    <w:rsid w:val="EDE6EED6"/>
    <w:rsid w:val="EDF69E28"/>
    <w:rsid w:val="EDF716A8"/>
    <w:rsid w:val="EF7FBD15"/>
    <w:rsid w:val="EFF79DF6"/>
    <w:rsid w:val="EFFF8A90"/>
    <w:rsid w:val="F3F4DFF1"/>
    <w:rsid w:val="F4F72F81"/>
    <w:rsid w:val="F6FB6AA9"/>
    <w:rsid w:val="F73E0855"/>
    <w:rsid w:val="F76359BB"/>
    <w:rsid w:val="F77F4026"/>
    <w:rsid w:val="F7F4D78B"/>
    <w:rsid w:val="F7FF8D5F"/>
    <w:rsid w:val="F7FF9610"/>
    <w:rsid w:val="F9EF7B80"/>
    <w:rsid w:val="FAB9996D"/>
    <w:rsid w:val="FB6FFC19"/>
    <w:rsid w:val="FB7F35AF"/>
    <w:rsid w:val="FBA89606"/>
    <w:rsid w:val="FBAF74C7"/>
    <w:rsid w:val="FBF52DEC"/>
    <w:rsid w:val="FC7913B0"/>
    <w:rsid w:val="FCDE21AE"/>
    <w:rsid w:val="FD9EEAB7"/>
    <w:rsid w:val="FDBE5B11"/>
    <w:rsid w:val="FDDFC456"/>
    <w:rsid w:val="FDF38A27"/>
    <w:rsid w:val="FDFF5B40"/>
    <w:rsid w:val="FE7F9AEA"/>
    <w:rsid w:val="FEBFE1AD"/>
    <w:rsid w:val="FEFA26E3"/>
    <w:rsid w:val="FF6BD94E"/>
    <w:rsid w:val="FF7FB730"/>
    <w:rsid w:val="FF911EFE"/>
    <w:rsid w:val="FF9D91BC"/>
    <w:rsid w:val="FFA35854"/>
    <w:rsid w:val="FFD75BA9"/>
    <w:rsid w:val="FFEF4A4D"/>
    <w:rsid w:val="FFEFF84A"/>
    <w:rsid w:val="FFFBD08E"/>
    <w:rsid w:val="FFFD1B90"/>
    <w:rsid w:val="FFFE6418"/>
    <w:rsid w:val="FFFECED5"/>
    <w:rsid w:val="FFFEEBE8"/>
    <w:rsid w:val="FFFF4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keepNext/>
      <w:jc w:val="center"/>
    </w:pPr>
    <w:rPr>
      <w:rFonts w:ascii="Cambria" w:hAnsi="Cambria" w:eastAsia="宋体" w:cs="Times New Roman"/>
      <w:b/>
      <w:kern w:val="0"/>
      <w:sz w:val="24"/>
      <w:szCs w:val="20"/>
    </w:rPr>
  </w:style>
  <w:style w:type="paragraph" w:styleId="5">
    <w:name w:val="Body Text"/>
    <w:basedOn w:val="1"/>
    <w:next w:val="6"/>
    <w:link w:val="14"/>
    <w:qFormat/>
    <w:uiPriority w:val="0"/>
    <w:pPr>
      <w:spacing w:after="120"/>
    </w:pPr>
    <w:rPr>
      <w:rFonts w:ascii="Times New Roman" w:hAnsi="Times New Roman" w:eastAsia="宋体" w:cs="Times New Roman"/>
      <w:sz w:val="28"/>
      <w:szCs w:val="28"/>
    </w:r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7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8">
    <w:name w:val="footer"/>
    <w:basedOn w:val="1"/>
    <w:next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page number"/>
    <w:qFormat/>
    <w:uiPriority w:val="0"/>
  </w:style>
  <w:style w:type="character" w:customStyle="1" w:styleId="14">
    <w:name w:val="正文文本 字符"/>
    <w:link w:val="5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5">
    <w:name w:val="批注框文本 字符"/>
    <w:link w:val="7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8"/>
    <w:qFormat/>
    <w:uiPriority w:val="99"/>
    <w:rPr>
      <w:sz w:val="18"/>
      <w:szCs w:val="18"/>
    </w:rPr>
  </w:style>
  <w:style w:type="character" w:customStyle="1" w:styleId="17">
    <w:name w:val="页眉 字符"/>
    <w:link w:val="9"/>
    <w:qFormat/>
    <w:uiPriority w:val="99"/>
    <w:rPr>
      <w:sz w:val="18"/>
      <w:szCs w:val="18"/>
    </w:rPr>
  </w:style>
  <w:style w:type="character" w:customStyle="1" w:styleId="18">
    <w:name w:val="Q表格标题 Char"/>
    <w:link w:val="19"/>
    <w:qFormat/>
    <w:uiPriority w:val="0"/>
    <w:rPr>
      <w:rFonts w:eastAsia="黑体" w:cs="宋体"/>
      <w:bCs/>
      <w:color w:val="000000"/>
      <w:sz w:val="24"/>
      <w:szCs w:val="24"/>
    </w:rPr>
  </w:style>
  <w:style w:type="paragraph" w:customStyle="1" w:styleId="19">
    <w:name w:val="Q表格标题"/>
    <w:basedOn w:val="1"/>
    <w:link w:val="18"/>
    <w:qFormat/>
    <w:uiPriority w:val="0"/>
    <w:pPr>
      <w:widowControl/>
      <w:adjustRightInd w:val="0"/>
      <w:snapToGrid w:val="0"/>
      <w:jc w:val="center"/>
    </w:pPr>
    <w:rPr>
      <w:rFonts w:eastAsia="黑体" w:cs="宋体"/>
      <w:bCs/>
      <w:color w:val="000000"/>
      <w:kern w:val="0"/>
      <w:sz w:val="24"/>
      <w:szCs w:val="24"/>
    </w:rPr>
  </w:style>
  <w:style w:type="character" w:customStyle="1" w:styleId="20">
    <w:name w:val="正文文本 (2)_"/>
    <w:link w:val="21"/>
    <w:qFormat/>
    <w:locked/>
    <w:uiPriority w:val="99"/>
    <w:rPr>
      <w:rFonts w:ascii="微软雅黑" w:hAnsi="微软雅黑" w:eastAsia="微软雅黑" w:cs="微软雅黑"/>
      <w:spacing w:val="20"/>
      <w:sz w:val="13"/>
      <w:szCs w:val="13"/>
      <w:shd w:val="clear" w:color="auto" w:fill="FFFFFF"/>
    </w:rPr>
  </w:style>
  <w:style w:type="paragraph" w:customStyle="1" w:styleId="21">
    <w:name w:val="正文文本 (2)"/>
    <w:basedOn w:val="1"/>
    <w:link w:val="20"/>
    <w:qFormat/>
    <w:uiPriority w:val="99"/>
    <w:pPr>
      <w:shd w:val="clear" w:color="auto" w:fill="FFFFFF"/>
      <w:spacing w:line="261" w:lineRule="exact"/>
      <w:ind w:firstLine="340"/>
      <w:jc w:val="distribute"/>
    </w:pPr>
    <w:rPr>
      <w:rFonts w:ascii="微软雅黑" w:hAnsi="微软雅黑" w:eastAsia="微软雅黑" w:cs="微软雅黑"/>
      <w:spacing w:val="20"/>
      <w:sz w:val="13"/>
      <w:szCs w:val="13"/>
    </w:rPr>
  </w:style>
  <w:style w:type="paragraph" w:customStyle="1" w:styleId="22">
    <w:name w:val="TY-表格"/>
    <w:basedOn w:val="1"/>
    <w:qFormat/>
    <w:uiPriority w:val="0"/>
    <w:pPr>
      <w:widowControl w:val="0"/>
      <w:spacing w:line="240" w:lineRule="auto"/>
      <w:ind w:firstLine="0" w:firstLineChars="0"/>
      <w:jc w:val="center"/>
      <w:textAlignment w:val="center"/>
    </w:pPr>
    <w:rPr>
      <w:rFonts w:hint="eastAsia" w:ascii="Times New Roman" w:hAnsi="Times New Roman" w:eastAsia="宋体" w:cs="宋体"/>
      <w:color w:val="000000"/>
      <w:kern w:val="0"/>
      <w:sz w:val="21"/>
      <w:szCs w:val="21"/>
      <w:lang w:bidi="ar"/>
    </w:rPr>
  </w:style>
  <w:style w:type="paragraph" w:customStyle="1" w:styleId="23">
    <w:name w:val="标准正文格式"/>
    <w:basedOn w:val="1"/>
    <w:qFormat/>
    <w:uiPriority w:val="0"/>
    <w:pPr>
      <w:spacing w:line="520" w:lineRule="exact"/>
      <w:ind w:firstLine="480" w:firstLineChars="200"/>
    </w:pPr>
    <w:rPr>
      <w:rFonts w:ascii="宋体" w:hAnsi="宋体"/>
      <w:color w:val="FF0000"/>
      <w:sz w:val="24"/>
      <w:szCs w:val="24"/>
    </w:rPr>
  </w:style>
  <w:style w:type="paragraph" w:customStyle="1" w:styleId="24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表内容"/>
    <w:qFormat/>
    <w:uiPriority w:val="0"/>
    <w:pPr>
      <w:widowControl w:val="0"/>
      <w:adjustRightInd w:val="0"/>
      <w:snapToGrid w:val="0"/>
      <w:jc w:val="center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TY-正文"/>
    <w:basedOn w:val="1"/>
    <w:qFormat/>
    <w:uiPriority w:val="0"/>
    <w:pPr>
      <w:keepNext w:val="0"/>
      <w:spacing w:line="520" w:lineRule="exact"/>
      <w:ind w:firstLine="643" w:firstLineChars="200"/>
      <w:jc w:val="left"/>
    </w:pPr>
    <w:rPr>
      <w:rFonts w:ascii="Times New Roman" w:hAnsi="Times New Roman" w:eastAsia="宋体" w:cs="Times New Roman"/>
      <w:color w:val="000000"/>
    </w:rPr>
  </w:style>
  <w:style w:type="paragraph" w:customStyle="1" w:styleId="27">
    <w:name w:val="p0"/>
    <w:basedOn w:val="1"/>
    <w:qFormat/>
    <w:uiPriority w:val="0"/>
    <w:pPr>
      <w:widowControl/>
      <w:spacing w:line="360" w:lineRule="auto"/>
      <w:ind w:firstLine="420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正文 首行缩进:  2 字符"/>
    <w:basedOn w:val="1"/>
    <w:qFormat/>
    <w:uiPriority w:val="0"/>
    <w:pPr>
      <w:spacing w:line="500" w:lineRule="exact"/>
      <w:ind w:firstLine="560" w:firstLineChars="200"/>
      <w:jc w:val="left"/>
    </w:pPr>
    <w:rPr>
      <w:rFonts w:ascii="Calibri" w:hAnsi="Calibri" w:eastAsia="宋体" w:cs="宋体"/>
      <w:sz w:val="28"/>
      <w:szCs w:val="28"/>
    </w:rPr>
  </w:style>
  <w:style w:type="table" w:customStyle="1" w:styleId="30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_Style 30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表格文本"/>
    <w:basedOn w:val="1"/>
    <w:next w:val="1"/>
    <w:link w:val="33"/>
    <w:qFormat/>
    <w:uiPriority w:val="0"/>
    <w:pPr>
      <w:widowControl/>
      <w:adjustRightInd w:val="0"/>
      <w:snapToGrid w:val="0"/>
      <w:jc w:val="center"/>
    </w:pPr>
    <w:rPr>
      <w:rFonts w:ascii="宋体" w:hAnsi="宋体" w:cs="宋体"/>
      <w:color w:val="000000"/>
      <w:kern w:val="0"/>
      <w:szCs w:val="21"/>
    </w:rPr>
  </w:style>
  <w:style w:type="character" w:customStyle="1" w:styleId="33">
    <w:name w:val="表格文本 Char"/>
    <w:link w:val="32"/>
    <w:qFormat/>
    <w:uiPriority w:val="0"/>
    <w:rPr>
      <w:rFonts w:ascii="宋体" w:hAnsi="宋体" w:cs="宋体"/>
      <w:color w:val="000000"/>
      <w:sz w:val="21"/>
      <w:szCs w:val="21"/>
    </w:rPr>
  </w:style>
  <w:style w:type="paragraph" w:customStyle="1" w:styleId="34">
    <w:name w:val="L正文"/>
    <w:basedOn w:val="1"/>
    <w:qFormat/>
    <w:uiPriority w:val="0"/>
    <w:pPr>
      <w:adjustRightInd w:val="0"/>
      <w:spacing w:line="594" w:lineRule="exact"/>
      <w:ind w:firstLine="480" w:firstLineChars="200"/>
      <w:jc w:val="left"/>
    </w:pPr>
    <w:rPr>
      <w:rFonts w:ascii="Times New Roman" w:hAnsi="Times New Roman" w:eastAsia="方正仿宋_GBK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1902</Words>
  <Characters>2156</Characters>
  <Lines>16</Lines>
  <Paragraphs>4</Paragraphs>
  <TotalTime>31</TotalTime>
  <ScaleCrop>false</ScaleCrop>
  <LinksUpToDate>false</LinksUpToDate>
  <CharactersWithSpaces>2160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2024-08-07T11:46:00Z</dcterms:created>
  <dc:creator>李松</dc:creator>
  <cp:lastModifiedBy>Administrator</cp:lastModifiedBy>
  <cp:lastPrinted>2024-11-09T11:53:00Z</cp:lastPrinted>
  <dcterms:modified xsi:type="dcterms:W3CDTF">2024-11-15T06:06:30Z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9EB3EFEDBD17420FB491F2B396735AE8_13</vt:lpwstr>
  </property>
</Properties>
</file>