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00" w:lineRule="exact"/>
        <w:rPr>
          <w:rFonts w:ascii="Times New Roman" w:hAnsi="Times New Roman" w:eastAsia="方正仿宋_GBK"/>
          <w:sz w:val="32"/>
          <w:szCs w:val="32"/>
        </w:rPr>
      </w:pPr>
    </w:p>
    <w:p>
      <w:pPr>
        <w:adjustRightInd w:val="0"/>
        <w:snapToGrid w:val="0"/>
        <w:spacing w:line="600" w:lineRule="exact"/>
        <w:rPr>
          <w:rFonts w:ascii="Times New Roman" w:hAnsi="Times New Roman" w:eastAsia="方正仿宋_GBK"/>
          <w:sz w:val="32"/>
          <w:szCs w:val="32"/>
        </w:rPr>
      </w:pPr>
    </w:p>
    <w:p>
      <w:pPr>
        <w:adjustRightInd w:val="0"/>
        <w:snapToGrid w:val="0"/>
        <w:spacing w:line="600" w:lineRule="exact"/>
        <w:rPr>
          <w:rFonts w:ascii="Times New Roman" w:hAnsi="Times New Roman" w:eastAsia="方正仿宋_GBK"/>
          <w:sz w:val="32"/>
          <w:szCs w:val="32"/>
        </w:rPr>
      </w:pPr>
    </w:p>
    <w:p>
      <w:pPr>
        <w:adjustRightInd w:val="0"/>
        <w:snapToGrid w:val="0"/>
        <w:spacing w:line="600" w:lineRule="exact"/>
        <w:rPr>
          <w:rFonts w:ascii="Times New Roman" w:hAnsi="Times New Roman" w:eastAsia="方正仿宋_GBK"/>
          <w:sz w:val="32"/>
          <w:szCs w:val="32"/>
        </w:rPr>
      </w:pPr>
    </w:p>
    <w:p>
      <w:pPr>
        <w:adjustRightInd w:val="0"/>
        <w:snapToGrid w:val="0"/>
        <w:spacing w:line="600" w:lineRule="exact"/>
        <w:rPr>
          <w:rFonts w:ascii="Times New Roman" w:hAnsi="Times New Roman" w:eastAsia="方正仿宋_GBK"/>
          <w:sz w:val="32"/>
          <w:szCs w:val="32"/>
        </w:rPr>
      </w:pPr>
    </w:p>
    <w:p>
      <w:pPr>
        <w:adjustRightInd w:val="0"/>
        <w:snapToGrid w:val="0"/>
        <w:spacing w:line="600" w:lineRule="exact"/>
        <w:rPr>
          <w:rFonts w:ascii="Times New Roman" w:hAnsi="Times New Roman" w:eastAsia="方正仿宋_GBK"/>
          <w:sz w:val="32"/>
          <w:szCs w:val="32"/>
        </w:rPr>
      </w:pPr>
    </w:p>
    <w:p>
      <w:pPr>
        <w:adjustRightInd w:val="0"/>
        <w:snapToGrid w:val="0"/>
        <w:jc w:val="center"/>
        <w:rPr>
          <w:rFonts w:ascii="Times New Roman" w:hAnsi="Times New Roman" w:eastAsia="方正小标宋_GBK"/>
          <w:sz w:val="44"/>
          <w:szCs w:val="44"/>
        </w:rPr>
      </w:pPr>
      <w:r>
        <w:rPr>
          <w:rFonts w:ascii="Times New Roman" w:hAnsi="Times New Roman" w:eastAsia="方正小标宋_GBK"/>
          <w:sz w:val="44"/>
          <w:szCs w:val="44"/>
        </w:rPr>
        <w:t>重庆市水利局</w:t>
      </w:r>
    </w:p>
    <w:p>
      <w:pPr>
        <w:adjustRightInd w:val="0"/>
        <w:snapToGrid w:val="0"/>
        <w:jc w:val="center"/>
        <w:rPr>
          <w:rFonts w:ascii="Times New Roman" w:hAnsi="Times New Roman" w:eastAsia="方正小标宋_GBK"/>
          <w:sz w:val="44"/>
          <w:szCs w:val="44"/>
        </w:rPr>
      </w:pPr>
      <w:r>
        <w:rPr>
          <w:rFonts w:ascii="Times New Roman" w:hAnsi="Times New Roman" w:eastAsia="方正小标宋_GBK"/>
          <w:sz w:val="44"/>
          <w:szCs w:val="44"/>
        </w:rPr>
        <w:t>关于</w:t>
      </w:r>
      <w:r>
        <w:rPr>
          <w:rFonts w:hint="eastAsia" w:ascii="Times New Roman" w:hAnsi="Times New Roman" w:eastAsia="方正小标宋_GBK"/>
          <w:sz w:val="44"/>
          <w:szCs w:val="44"/>
        </w:rPr>
        <w:t>重庆至万州高速铁路丰盛牵220千伏外部供电工程</w:t>
      </w:r>
      <w:r>
        <w:rPr>
          <w:rFonts w:hint="eastAsia" w:ascii="Times New Roman" w:hAnsi="Times New Roman" w:eastAsia="方正小标宋_GBK"/>
          <w:bCs/>
          <w:sz w:val="44"/>
          <w:szCs w:val="44"/>
        </w:rPr>
        <w:t>水土保持方案</w:t>
      </w:r>
      <w:r>
        <w:rPr>
          <w:rFonts w:ascii="Times New Roman" w:hAnsi="Times New Roman" w:eastAsia="方正小标宋_GBK"/>
          <w:sz w:val="44"/>
          <w:szCs w:val="44"/>
        </w:rPr>
        <w:t>准予行政许可的决定</w:t>
      </w:r>
    </w:p>
    <w:p>
      <w:pPr>
        <w:adjustRightInd w:val="0"/>
        <w:snapToGrid w:val="0"/>
        <w:jc w:val="center"/>
        <w:rPr>
          <w:rFonts w:ascii="Times New Roman" w:hAnsi="Times New Roman" w:eastAsia="方正小标宋_GBK"/>
          <w:sz w:val="44"/>
          <w:szCs w:val="44"/>
        </w:rPr>
      </w:pPr>
    </w:p>
    <w:p>
      <w:pPr>
        <w:adjustRightInd w:val="0"/>
        <w:snapToGrid w:val="0"/>
        <w:spacing w:line="600" w:lineRule="exact"/>
        <w:rPr>
          <w:rFonts w:ascii="Times New Roman" w:hAnsi="Times New Roman" w:eastAsia="方正仿宋_GBK"/>
          <w:color w:val="000000"/>
          <w:sz w:val="32"/>
          <w:szCs w:val="32"/>
        </w:rPr>
      </w:pPr>
      <w:r>
        <w:rPr>
          <w:rFonts w:hint="eastAsia" w:ascii="方正仿宋_GBK" w:eastAsia="方正仿宋_GBK"/>
          <w:sz w:val="32"/>
          <w:szCs w:val="32"/>
        </w:rPr>
        <w:t>国网重庆市电力公司建设分公司</w:t>
      </w:r>
      <w:r>
        <w:rPr>
          <w:rFonts w:ascii="Times New Roman" w:hAnsi="Times New Roman" w:eastAsia="方正仿宋_GBK"/>
          <w:color w:val="000000"/>
          <w:sz w:val="32"/>
          <w:szCs w:val="32"/>
        </w:rPr>
        <w:t>：</w:t>
      </w:r>
    </w:p>
    <w:p>
      <w:pPr>
        <w:adjustRightInd w:val="0"/>
        <w:snapToGrid w:val="0"/>
        <w:spacing w:line="600" w:lineRule="exact"/>
        <w:ind w:firstLine="645"/>
        <w:rPr>
          <w:rFonts w:hint="eastAsia" w:ascii="Times New Roman" w:hAnsi="Times New Roman" w:eastAsia="方正仿宋_GBK"/>
          <w:sz w:val="32"/>
          <w:szCs w:val="32"/>
        </w:rPr>
      </w:pPr>
      <w:r>
        <w:rPr>
          <w:rFonts w:hint="eastAsia" w:ascii="Times New Roman" w:hAnsi="Times New Roman" w:eastAsia="方正仿宋_GBK"/>
          <w:sz w:val="32"/>
          <w:szCs w:val="32"/>
        </w:rPr>
        <w:t>你司提交的重庆至万州高速铁路丰盛牵220千伏外部供电工程水土保持方案审批申请（项目代码：</w:t>
      </w:r>
      <w:r>
        <w:rPr>
          <w:rFonts w:hint="eastAsia" w:ascii="Times New Roman" w:hAnsi="Times New Roman" w:eastAsia="方正仿宋_GBK"/>
          <w:sz w:val="32"/>
          <w:szCs w:val="32"/>
          <w:lang w:val="en-US" w:eastAsia="zh-CN"/>
        </w:rPr>
        <w:t>2502-500101-04-01-998580</w:t>
      </w:r>
      <w:r>
        <w:rPr>
          <w:rFonts w:hint="eastAsia" w:ascii="Times New Roman" w:hAnsi="Times New Roman" w:eastAsia="方正仿宋_GBK"/>
          <w:sz w:val="32"/>
          <w:szCs w:val="32"/>
        </w:rPr>
        <w:t>）和《重庆至万州高速铁路丰盛牵220千伏外部供电工程水土保持方案报告书》收悉。经审查，该申请符合法定条件，根据《中华人民共和国行政许可法》第三十八条</w:t>
      </w:r>
      <w:r>
        <w:rPr>
          <w:rFonts w:hint="eastAsia" w:ascii="Times New Roman" w:hAnsi="Times New Roman" w:eastAsia="方正仿宋_GBK"/>
          <w:sz w:val="32"/>
          <w:szCs w:val="32"/>
          <w:lang w:eastAsia="zh-CN"/>
        </w:rPr>
        <w:t>第一款</w:t>
      </w:r>
      <w:r>
        <w:rPr>
          <w:rFonts w:hint="eastAsia" w:ascii="Times New Roman" w:hAnsi="Times New Roman" w:eastAsia="方正仿宋_GBK"/>
          <w:sz w:val="32"/>
          <w:szCs w:val="32"/>
        </w:rPr>
        <w:t>、《水行政许可实施办法》第三十二条第一项规定，决定准予行政许可。</w:t>
      </w:r>
    </w:p>
    <w:p>
      <w:pPr>
        <w:adjustRightInd w:val="0"/>
        <w:snapToGrid w:val="0"/>
        <w:spacing w:line="600" w:lineRule="exact"/>
        <w:ind w:firstLine="645"/>
        <w:rPr>
          <w:rFonts w:ascii="Times New Roman" w:hAnsi="Times New Roman" w:eastAsia="方正黑体_GBK"/>
          <w:sz w:val="32"/>
          <w:szCs w:val="32"/>
        </w:rPr>
      </w:pPr>
      <w:r>
        <w:rPr>
          <w:rFonts w:hint="eastAsia" w:ascii="Times New Roman" w:hAnsi="Times New Roman" w:eastAsia="方正黑体_GBK"/>
          <w:sz w:val="32"/>
          <w:szCs w:val="32"/>
        </w:rPr>
        <w:t>一</w:t>
      </w:r>
      <w:r>
        <w:rPr>
          <w:rFonts w:ascii="Times New Roman" w:hAnsi="Times New Roman" w:eastAsia="方正黑体_GBK"/>
          <w:sz w:val="32"/>
          <w:szCs w:val="32"/>
        </w:rPr>
        <w:t>、水土保持方案总体意见</w:t>
      </w:r>
    </w:p>
    <w:p>
      <w:pPr>
        <w:adjustRightInd w:val="0"/>
        <w:snapToGrid w:val="0"/>
        <w:spacing w:line="600" w:lineRule="exact"/>
        <w:ind w:firstLine="645"/>
        <w:rPr>
          <w:rFonts w:hint="eastAsia" w:ascii="Times New Roman" w:hAnsi="Times New Roman" w:eastAsia="方正仿宋_GBK"/>
          <w:sz w:val="32"/>
          <w:szCs w:val="32"/>
        </w:rPr>
      </w:pPr>
      <w:r>
        <w:rPr>
          <w:rFonts w:hint="eastAsia" w:ascii="Times New Roman" w:hAnsi="Times New Roman" w:eastAsia="方正仿宋_GBK"/>
          <w:sz w:val="32"/>
          <w:szCs w:val="32"/>
        </w:rPr>
        <w:t>（一）方案编制依据的法律法规、</w:t>
      </w:r>
      <w:r>
        <w:rPr>
          <w:rFonts w:hint="eastAsia" w:ascii="Times New Roman" w:hAnsi="Times New Roman" w:eastAsia="方正仿宋_GBK"/>
          <w:sz w:val="32"/>
          <w:szCs w:val="32"/>
          <w:lang w:eastAsia="zh-CN"/>
        </w:rPr>
        <w:t>部委规章、</w:t>
      </w:r>
      <w:r>
        <w:rPr>
          <w:rFonts w:hint="eastAsia" w:ascii="Times New Roman" w:hAnsi="Times New Roman" w:eastAsia="方正仿宋_GBK"/>
          <w:sz w:val="32"/>
          <w:szCs w:val="32"/>
        </w:rPr>
        <w:t>规范性文件、</w:t>
      </w:r>
      <w:r>
        <w:rPr>
          <w:rFonts w:hint="eastAsia" w:ascii="Times New Roman" w:hAnsi="Times New Roman" w:eastAsia="方正仿宋_GBK"/>
          <w:sz w:val="32"/>
          <w:szCs w:val="32"/>
          <w:lang w:eastAsia="zh-CN"/>
        </w:rPr>
        <w:t>规范标准和</w:t>
      </w:r>
      <w:r>
        <w:rPr>
          <w:rFonts w:hint="eastAsia" w:ascii="Times New Roman" w:hAnsi="Times New Roman" w:eastAsia="方正仿宋_GBK"/>
          <w:sz w:val="32"/>
          <w:szCs w:val="32"/>
        </w:rPr>
        <w:t>技术</w:t>
      </w:r>
      <w:r>
        <w:rPr>
          <w:rFonts w:hint="eastAsia" w:ascii="Times New Roman" w:hAnsi="Times New Roman" w:eastAsia="方正仿宋_GBK"/>
          <w:sz w:val="32"/>
          <w:szCs w:val="32"/>
          <w:lang w:eastAsia="zh-CN"/>
        </w:rPr>
        <w:t>文件</w:t>
      </w:r>
      <w:r>
        <w:rPr>
          <w:rFonts w:hint="eastAsia" w:ascii="Times New Roman" w:hAnsi="Times New Roman" w:eastAsia="方正仿宋_GBK"/>
          <w:sz w:val="32"/>
          <w:szCs w:val="32"/>
        </w:rPr>
        <w:t>及</w:t>
      </w:r>
      <w:r>
        <w:rPr>
          <w:rFonts w:hint="eastAsia" w:ascii="Times New Roman" w:hAnsi="Times New Roman" w:eastAsia="方正仿宋_GBK"/>
          <w:sz w:val="32"/>
          <w:szCs w:val="32"/>
          <w:lang w:eastAsia="zh-CN"/>
        </w:rPr>
        <w:t>资料</w:t>
      </w:r>
      <w:r>
        <w:rPr>
          <w:rFonts w:hint="eastAsia" w:ascii="Times New Roman" w:hAnsi="Times New Roman" w:eastAsia="方正仿宋_GBK"/>
          <w:sz w:val="32"/>
          <w:szCs w:val="32"/>
        </w:rPr>
        <w:t>采用基本正确。</w:t>
      </w:r>
    </w:p>
    <w:p>
      <w:pPr>
        <w:adjustRightInd w:val="0"/>
        <w:snapToGrid w:val="0"/>
        <w:spacing w:line="600" w:lineRule="exact"/>
        <w:ind w:firstLine="645"/>
        <w:rPr>
          <w:rFonts w:hint="eastAsia" w:ascii="Times New Roman" w:hAnsi="Times New Roman" w:eastAsia="方正仿宋_GBK"/>
          <w:sz w:val="32"/>
          <w:szCs w:val="32"/>
        </w:rPr>
      </w:pPr>
      <w:r>
        <w:rPr>
          <w:rFonts w:hint="eastAsia" w:ascii="Times New Roman" w:hAnsi="Times New Roman" w:eastAsia="方正仿宋_GBK"/>
          <w:sz w:val="32"/>
          <w:szCs w:val="32"/>
        </w:rPr>
        <w:t>（二）同意方案设计水平年为202</w:t>
      </w:r>
      <w:r>
        <w:rPr>
          <w:rFonts w:hint="eastAsia" w:ascii="Times New Roman" w:hAnsi="Times New Roman" w:eastAsia="方正仿宋_GBK"/>
          <w:sz w:val="32"/>
          <w:szCs w:val="32"/>
          <w:lang w:val="en-US" w:eastAsia="zh-CN"/>
        </w:rPr>
        <w:t>6</w:t>
      </w:r>
      <w:r>
        <w:rPr>
          <w:rFonts w:hint="eastAsia" w:ascii="Times New Roman" w:hAnsi="Times New Roman" w:eastAsia="方正仿宋_GBK"/>
          <w:sz w:val="32"/>
          <w:szCs w:val="32"/>
        </w:rPr>
        <w:t>年。</w:t>
      </w:r>
    </w:p>
    <w:p>
      <w:pPr>
        <w:adjustRightInd w:val="0"/>
        <w:snapToGrid w:val="0"/>
        <w:spacing w:line="600" w:lineRule="exact"/>
        <w:ind w:firstLine="645"/>
        <w:rPr>
          <w:rFonts w:hint="eastAsia" w:ascii="Times New Roman" w:hAnsi="Times New Roman" w:eastAsia="方正仿宋_GBK"/>
          <w:sz w:val="32"/>
          <w:szCs w:val="32"/>
        </w:rPr>
      </w:pPr>
      <w:r>
        <w:rPr>
          <w:rFonts w:hint="eastAsia" w:ascii="Times New Roman" w:hAnsi="Times New Roman" w:eastAsia="方正仿宋_GBK"/>
          <w:sz w:val="32"/>
          <w:szCs w:val="32"/>
        </w:rPr>
        <w:t>（三）同意水土流失防治责任范围的界定，水土流失防治责任范围面积为</w:t>
      </w:r>
      <w:r>
        <w:rPr>
          <w:rFonts w:hint="eastAsia" w:ascii="Times New Roman" w:hAnsi="Times New Roman" w:eastAsia="方正仿宋_GBK" w:cs="Times New Roman"/>
          <w:sz w:val="32"/>
          <w:szCs w:val="32"/>
          <w:lang w:val="en-US" w:eastAsia="zh-CN"/>
        </w:rPr>
        <w:t>10.23hm</w:t>
      </w:r>
      <w:r>
        <w:rPr>
          <w:rFonts w:hint="eastAsia" w:ascii="Times New Roman" w:hAnsi="Times New Roman" w:eastAsia="方正仿宋_GBK" w:cs="Times New Roman"/>
          <w:sz w:val="32"/>
          <w:szCs w:val="32"/>
          <w:vertAlign w:val="superscript"/>
          <w:lang w:val="en-US" w:eastAsia="zh-CN"/>
        </w:rPr>
        <w:t>2</w:t>
      </w:r>
      <w:r>
        <w:rPr>
          <w:rFonts w:hint="eastAsia" w:ascii="Times New Roman" w:hAnsi="Times New Roman" w:eastAsia="方正仿宋_GBK" w:cs="Times New Roman"/>
          <w:sz w:val="32"/>
          <w:szCs w:val="32"/>
          <w:lang w:val="en-US" w:eastAsia="zh-CN"/>
        </w:rPr>
        <w:t>，其中：两江新区2.13hm</w:t>
      </w:r>
      <w:r>
        <w:rPr>
          <w:rFonts w:hint="eastAsia" w:ascii="Times New Roman" w:hAnsi="Times New Roman" w:eastAsia="方正仿宋_GBK" w:cs="Times New Roman"/>
          <w:sz w:val="32"/>
          <w:szCs w:val="32"/>
          <w:vertAlign w:val="superscript"/>
          <w:lang w:val="en-US" w:eastAsia="zh-CN"/>
        </w:rPr>
        <w:t>2</w:t>
      </w:r>
      <w:r>
        <w:rPr>
          <w:rFonts w:hint="eastAsia" w:ascii="Times New Roman" w:hAnsi="Times New Roman" w:eastAsia="方正仿宋_GBK" w:cs="Times New Roman"/>
          <w:sz w:val="32"/>
          <w:szCs w:val="32"/>
          <w:lang w:val="en-US" w:eastAsia="zh-CN"/>
        </w:rPr>
        <w:t>，巴南区7.23hm</w:t>
      </w:r>
      <w:r>
        <w:rPr>
          <w:rFonts w:hint="eastAsia" w:ascii="Times New Roman" w:hAnsi="Times New Roman" w:eastAsia="方正仿宋_GBK" w:cs="Times New Roman"/>
          <w:sz w:val="32"/>
          <w:szCs w:val="32"/>
          <w:vertAlign w:val="superscript"/>
          <w:lang w:val="en-US" w:eastAsia="zh-CN"/>
        </w:rPr>
        <w:t>2</w:t>
      </w:r>
      <w:r>
        <w:rPr>
          <w:rFonts w:hint="eastAsia" w:ascii="Times New Roman" w:hAnsi="Times New Roman" w:eastAsia="方正仿宋_GBK" w:cs="Times New Roman"/>
          <w:sz w:val="32"/>
          <w:szCs w:val="32"/>
          <w:lang w:val="en-US" w:eastAsia="zh-CN"/>
        </w:rPr>
        <w:t>，南岸区0.87hm</w:t>
      </w:r>
      <w:r>
        <w:rPr>
          <w:rFonts w:hint="eastAsia" w:ascii="Times New Roman" w:hAnsi="Times New Roman" w:eastAsia="方正仿宋_GBK" w:cs="Times New Roman"/>
          <w:sz w:val="32"/>
          <w:szCs w:val="32"/>
          <w:vertAlign w:val="superscript"/>
          <w:lang w:val="en-US" w:eastAsia="zh-CN"/>
        </w:rPr>
        <w:t>2</w:t>
      </w:r>
      <w:r>
        <w:rPr>
          <w:rFonts w:hint="eastAsia" w:ascii="Times New Roman" w:hAnsi="Times New Roman" w:eastAsia="方正仿宋_GBK"/>
          <w:sz w:val="32"/>
          <w:szCs w:val="32"/>
        </w:rPr>
        <w:t>。</w:t>
      </w:r>
    </w:p>
    <w:p>
      <w:pPr>
        <w:adjustRightInd w:val="0"/>
        <w:snapToGrid w:val="0"/>
        <w:spacing w:line="600" w:lineRule="exact"/>
        <w:ind w:firstLine="645"/>
        <w:rPr>
          <w:rFonts w:hint="eastAsia" w:ascii="Times New Roman" w:hAnsi="Times New Roman" w:eastAsia="方正仿宋_GBK"/>
          <w:sz w:val="32"/>
          <w:szCs w:val="32"/>
        </w:rPr>
      </w:pPr>
      <w:r>
        <w:rPr>
          <w:rFonts w:hint="eastAsia" w:ascii="Times New Roman" w:hAnsi="Times New Roman" w:eastAsia="方正仿宋_GBK"/>
          <w:sz w:val="32"/>
          <w:szCs w:val="32"/>
        </w:rPr>
        <w:t>（四）同意项目水土流失防治标准等级执行西南紫色土区建设类项目一级标准。</w:t>
      </w:r>
    </w:p>
    <w:p>
      <w:pPr>
        <w:adjustRightInd w:val="0"/>
        <w:snapToGrid w:val="0"/>
        <w:spacing w:line="600" w:lineRule="exact"/>
        <w:ind w:firstLine="645"/>
        <w:rPr>
          <w:rFonts w:hint="eastAsia" w:ascii="Times New Roman" w:hAnsi="Times New Roman" w:eastAsia="方正仿宋_GBK"/>
          <w:bCs/>
          <w:sz w:val="32"/>
          <w:szCs w:val="32"/>
        </w:rPr>
      </w:pPr>
      <w:r>
        <w:rPr>
          <w:rFonts w:hint="eastAsia" w:ascii="Times New Roman" w:hAnsi="Times New Roman" w:eastAsia="方正仿宋_GBK"/>
          <w:sz w:val="32"/>
          <w:szCs w:val="32"/>
        </w:rPr>
        <w:t>（五）同意水土流失防治目标。其中：水土流失治理度97%，土壤流失控制比1.0，渣土防护率92%，表土保护率92%，林草植被恢复率97%，林草覆盖率25%</w:t>
      </w:r>
      <w:r>
        <w:rPr>
          <w:rFonts w:hint="eastAsia" w:ascii="Times New Roman" w:hAnsi="Times New Roman" w:eastAsia="方正仿宋_GBK"/>
          <w:bCs/>
          <w:sz w:val="32"/>
          <w:szCs w:val="32"/>
        </w:rPr>
        <w:t>。</w:t>
      </w:r>
    </w:p>
    <w:p>
      <w:pPr>
        <w:adjustRightInd w:val="0"/>
        <w:snapToGrid w:val="0"/>
        <w:spacing w:line="600" w:lineRule="exact"/>
        <w:ind w:firstLine="645"/>
        <w:rPr>
          <w:rFonts w:ascii="Times New Roman" w:hAnsi="Times New Roman" w:eastAsia="方正仿宋_GBK"/>
          <w:bCs/>
          <w:sz w:val="32"/>
          <w:szCs w:val="32"/>
        </w:rPr>
      </w:pPr>
      <w:r>
        <w:rPr>
          <w:rFonts w:hint="eastAsia" w:ascii="Times New Roman" w:hAnsi="Times New Roman" w:eastAsia="方正仿宋_GBK"/>
          <w:bCs/>
          <w:sz w:val="32"/>
          <w:szCs w:val="32"/>
        </w:rPr>
        <w:t>（六）基本同意水土流失</w:t>
      </w:r>
      <w:r>
        <w:rPr>
          <w:rFonts w:ascii="Times New Roman" w:hAnsi="Times New Roman" w:eastAsia="方正仿宋_GBK"/>
          <w:bCs/>
          <w:sz w:val="32"/>
          <w:szCs w:val="32"/>
        </w:rPr>
        <w:t>防治分区和分区防治措施体系。</w:t>
      </w:r>
    </w:p>
    <w:p>
      <w:pPr>
        <w:adjustRightInd w:val="0"/>
        <w:snapToGrid w:val="0"/>
        <w:spacing w:line="600" w:lineRule="exact"/>
        <w:ind w:firstLine="645"/>
        <w:rPr>
          <w:rFonts w:hint="eastAsia" w:ascii="Times New Roman" w:hAnsi="Times New Roman" w:eastAsia="方正仿宋_GBK"/>
          <w:sz w:val="32"/>
          <w:szCs w:val="32"/>
        </w:rPr>
      </w:pPr>
      <w:r>
        <w:rPr>
          <w:rFonts w:hint="eastAsia" w:ascii="Times New Roman" w:hAnsi="Times New Roman" w:eastAsia="方正仿宋_GBK"/>
          <w:bCs/>
          <w:sz w:val="32"/>
          <w:szCs w:val="32"/>
        </w:rPr>
        <w:t>（</w:t>
      </w:r>
      <w:r>
        <w:rPr>
          <w:rFonts w:hint="eastAsia" w:ascii="Times New Roman" w:hAnsi="Times New Roman" w:eastAsia="方正仿宋_GBK"/>
          <w:bCs/>
          <w:sz w:val="32"/>
          <w:szCs w:val="32"/>
          <w:lang w:eastAsia="zh-CN"/>
        </w:rPr>
        <w:t>七</w:t>
      </w:r>
      <w:r>
        <w:rPr>
          <w:rFonts w:hint="eastAsia" w:ascii="Times New Roman" w:hAnsi="Times New Roman" w:eastAsia="方正仿宋_GBK"/>
          <w:bCs/>
          <w:sz w:val="32"/>
          <w:szCs w:val="32"/>
        </w:rPr>
        <w:t>）基本</w:t>
      </w:r>
      <w:r>
        <w:rPr>
          <w:rFonts w:ascii="Times New Roman" w:hAnsi="Times New Roman" w:eastAsia="方正仿宋_GBK"/>
          <w:bCs/>
          <w:sz w:val="32"/>
          <w:szCs w:val="32"/>
        </w:rPr>
        <w:t>同意水土保持监测时段、内容和方法。</w:t>
      </w:r>
    </w:p>
    <w:p>
      <w:pPr>
        <w:adjustRightInd w:val="0"/>
        <w:snapToGrid w:val="0"/>
        <w:spacing w:line="600" w:lineRule="exact"/>
        <w:ind w:firstLine="645"/>
        <w:rPr>
          <w:rFonts w:ascii="Times New Roman" w:hAnsi="Times New Roman" w:eastAsia="方正黑体_GBK"/>
          <w:sz w:val="32"/>
          <w:szCs w:val="32"/>
        </w:rPr>
      </w:pPr>
      <w:r>
        <w:rPr>
          <w:rFonts w:hint="eastAsia" w:ascii="Times New Roman" w:hAnsi="Times New Roman" w:eastAsia="方正黑体_GBK"/>
          <w:sz w:val="32"/>
          <w:szCs w:val="32"/>
        </w:rPr>
        <w:t>二</w:t>
      </w:r>
      <w:r>
        <w:rPr>
          <w:rFonts w:ascii="Times New Roman" w:hAnsi="Times New Roman" w:eastAsia="方正黑体_GBK"/>
          <w:sz w:val="32"/>
          <w:szCs w:val="32"/>
        </w:rPr>
        <w:t>、水土保持方案投资</w:t>
      </w:r>
    </w:p>
    <w:p>
      <w:pPr>
        <w:adjustRightInd w:val="0"/>
        <w:snapToGrid w:val="0"/>
        <w:spacing w:line="600" w:lineRule="exact"/>
        <w:ind w:firstLine="645"/>
        <w:rPr>
          <w:rFonts w:ascii="Times New Roman" w:hAnsi="Times New Roman" w:eastAsia="方正仿宋_GBK"/>
          <w:bCs/>
          <w:sz w:val="32"/>
          <w:szCs w:val="32"/>
          <w:lang w:bidi="ar"/>
        </w:rPr>
      </w:pPr>
      <w:r>
        <w:rPr>
          <w:rFonts w:hint="eastAsia" w:ascii="Times New Roman" w:hAnsi="Times New Roman" w:eastAsia="方正仿宋_GBK"/>
          <w:bCs/>
          <w:sz w:val="32"/>
          <w:szCs w:val="32"/>
          <w:lang w:bidi="ar"/>
        </w:rPr>
        <w:t>水土保持方案工程静态总投资251.98万元，其中：主体已列110.61万元，方案新增141.37万元（其中：监测措施9.96万元，施工临时措施80.39万元，独立费用29.51万元，基本预备费7.19万元，水土保持补偿费14.32万元）。</w:t>
      </w:r>
    </w:p>
    <w:p>
      <w:pPr>
        <w:adjustRightInd w:val="0"/>
        <w:snapToGrid w:val="0"/>
        <w:spacing w:line="600" w:lineRule="exact"/>
        <w:ind w:firstLine="645"/>
        <w:rPr>
          <w:rFonts w:ascii="Times New Roman" w:hAnsi="Times New Roman" w:eastAsia="方正黑体_GBK"/>
          <w:sz w:val="32"/>
          <w:szCs w:val="32"/>
        </w:rPr>
      </w:pPr>
      <w:r>
        <w:rPr>
          <w:rFonts w:hint="eastAsia" w:ascii="Times New Roman" w:hAnsi="Times New Roman" w:eastAsia="方正黑体_GBK"/>
          <w:sz w:val="32"/>
          <w:szCs w:val="32"/>
        </w:rPr>
        <w:t>三</w:t>
      </w:r>
      <w:r>
        <w:rPr>
          <w:rFonts w:ascii="Times New Roman" w:hAnsi="Times New Roman" w:eastAsia="方正黑体_GBK"/>
          <w:sz w:val="32"/>
          <w:szCs w:val="32"/>
        </w:rPr>
        <w:t>、工作要求</w:t>
      </w:r>
    </w:p>
    <w:p>
      <w:pPr>
        <w:snapToGrid w:val="0"/>
        <w:spacing w:line="62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（一）根据水土保持法律法规和规范标准，认真做好项目建设过程中水土流失防治工作，切实落实水土保持</w:t>
      </w:r>
      <w:r>
        <w:rPr>
          <w:rFonts w:hint="eastAsia" w:ascii="Times New Roman" w:hAnsi="Times New Roman" w:eastAsia="方正仿宋_GBK"/>
          <w:sz w:val="32"/>
          <w:szCs w:val="32"/>
          <w:lang w:eastAsia="zh-CN"/>
        </w:rPr>
        <w:t>“</w:t>
      </w:r>
      <w:r>
        <w:rPr>
          <w:rFonts w:ascii="Times New Roman" w:hAnsi="Times New Roman" w:eastAsia="方正仿宋_GBK"/>
          <w:sz w:val="32"/>
          <w:szCs w:val="32"/>
        </w:rPr>
        <w:t>三同时</w:t>
      </w:r>
      <w:r>
        <w:rPr>
          <w:rFonts w:hint="eastAsia" w:ascii="Times New Roman" w:hAnsi="Times New Roman" w:eastAsia="方正仿宋_GBK"/>
          <w:sz w:val="32"/>
          <w:szCs w:val="32"/>
          <w:lang w:eastAsia="zh-CN"/>
        </w:rPr>
        <w:t>”</w:t>
      </w:r>
      <w:r>
        <w:rPr>
          <w:rFonts w:ascii="Times New Roman" w:hAnsi="Times New Roman" w:eastAsia="方正仿宋_GBK"/>
          <w:sz w:val="32"/>
          <w:szCs w:val="32"/>
        </w:rPr>
        <w:t>制度。</w:t>
      </w:r>
    </w:p>
    <w:p>
      <w:pPr>
        <w:snapToGrid w:val="0"/>
        <w:spacing w:line="62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二）依据批准的水土保持方案与主体工程同步开展水土保持施工图设计，按程序与主体工程设计一并报经有关部门审核，作为水土保持措施实施的依据。重要防护对象应当开展点对点勘察与设计。无设计的水土保持措施，不得通过水土保持设施自主验收。</w:t>
      </w:r>
    </w:p>
    <w:p>
      <w:pPr>
        <w:snapToGrid w:val="0"/>
        <w:spacing w:line="62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（三）严格控制施工扰动范围，禁止随意占压破坏地貌植被。加强对施工单位的管理，在招投标文件和施工合同中明确施工单位的水土保持责任，强化奖惩制度，规范施工行为。</w:t>
      </w:r>
    </w:p>
    <w:p>
      <w:pPr>
        <w:snapToGrid w:val="0"/>
        <w:spacing w:line="62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四）依法做好水土保持监测工作，加强水土流失动态监控。在工程建设期间应将水土保持监测季报按规定在网站公开，同时在业主项目部和施工项目部公开，并按规定向我局、所在区县水行政主管部门按时报送监测季报和总结报告。</w:t>
      </w:r>
    </w:p>
    <w:p>
      <w:pPr>
        <w:snapToGrid w:val="0"/>
        <w:spacing w:line="62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（五）按照水土保持监理标准和规范开展水土保持工程施工监理，确保水土保持工程建设质量和进度。</w:t>
      </w:r>
    </w:p>
    <w:p>
      <w:pPr>
        <w:snapToGrid w:val="0"/>
        <w:spacing w:line="620" w:lineRule="exact"/>
        <w:ind w:firstLine="640" w:firstLineChars="200"/>
        <w:rPr>
          <w:rFonts w:ascii="Times New Roman" w:hAnsi="Times New Roman" w:eastAsia="方正仿宋_GBK"/>
          <w:snapToGrid w:val="0"/>
          <w:kern w:val="0"/>
          <w:sz w:val="32"/>
          <w:szCs w:val="32"/>
        </w:rPr>
      </w:pPr>
      <w:r>
        <w:rPr>
          <w:rFonts w:ascii="Times New Roman" w:hAnsi="Times New Roman" w:eastAsia="方正仿宋_GBK"/>
          <w:snapToGrid w:val="0"/>
          <w:kern w:val="0"/>
          <w:sz w:val="32"/>
          <w:szCs w:val="32"/>
        </w:rPr>
        <w:t>（六）项目开工前向主管税务机关申报缴纳水土保持补偿费。</w:t>
      </w:r>
    </w:p>
    <w:p>
      <w:pPr>
        <w:snapToGrid w:val="0"/>
        <w:spacing w:line="620" w:lineRule="exact"/>
        <w:ind w:firstLine="640" w:firstLineChars="200"/>
        <w:rPr>
          <w:rFonts w:hint="eastAsia" w:ascii="Times New Roman" w:hAnsi="Times New Roman" w:eastAsia="方正仿宋_GBK"/>
          <w:snapToGrid w:val="0"/>
          <w:kern w:val="0"/>
          <w:sz w:val="32"/>
          <w:szCs w:val="32"/>
        </w:rPr>
      </w:pPr>
      <w:r>
        <w:rPr>
          <w:rFonts w:ascii="Times New Roman" w:hAnsi="Times New Roman" w:eastAsia="方正仿宋_GBK"/>
          <w:snapToGrid w:val="0"/>
          <w:kern w:val="0"/>
          <w:sz w:val="32"/>
          <w:szCs w:val="32"/>
        </w:rPr>
        <w:t>（七）</w:t>
      </w:r>
      <w:r>
        <w:rPr>
          <w:rFonts w:hint="eastAsia" w:ascii="Times New Roman" w:hAnsi="Times New Roman" w:eastAsia="方正仿宋_GBK"/>
          <w:snapToGrid w:val="0"/>
          <w:kern w:val="0"/>
          <w:sz w:val="32"/>
          <w:szCs w:val="32"/>
        </w:rPr>
        <w:t>本项目的地点、规模如发生重大变化，或者水土保持方案实施过程中水土保持措施发生重大变更的，应按照</w:t>
      </w:r>
      <w:r>
        <w:rPr>
          <w:rFonts w:hint="eastAsia" w:ascii="Times New Roman" w:hAnsi="Times New Roman" w:eastAsia="方正仿宋_GBK"/>
          <w:snapToGrid w:val="0"/>
          <w:kern w:val="0"/>
          <w:sz w:val="32"/>
          <w:szCs w:val="32"/>
          <w:lang w:eastAsia="zh-CN"/>
        </w:rPr>
        <w:t>《生产建设项目水土保持方案管理办法》（</w:t>
      </w:r>
      <w:r>
        <w:rPr>
          <w:rFonts w:hint="eastAsia" w:ascii="Times New Roman" w:hAnsi="Times New Roman" w:eastAsia="方正仿宋_GBK"/>
          <w:snapToGrid w:val="0"/>
          <w:kern w:val="0"/>
          <w:sz w:val="32"/>
          <w:szCs w:val="32"/>
        </w:rPr>
        <w:t>水利部</w:t>
      </w:r>
      <w:r>
        <w:rPr>
          <w:rFonts w:hint="eastAsia" w:ascii="Times New Roman" w:hAnsi="Times New Roman" w:eastAsia="方正仿宋_GBK"/>
          <w:snapToGrid w:val="0"/>
          <w:kern w:val="0"/>
          <w:sz w:val="32"/>
          <w:szCs w:val="32"/>
          <w:lang w:eastAsia="zh-CN"/>
        </w:rPr>
        <w:t>令</w:t>
      </w:r>
      <w:r>
        <w:rPr>
          <w:rFonts w:hint="eastAsia" w:ascii="Times New Roman" w:hAnsi="Times New Roman" w:eastAsia="方正仿宋_GBK"/>
          <w:snapToGrid w:val="0"/>
          <w:kern w:val="0"/>
          <w:sz w:val="32"/>
          <w:szCs w:val="32"/>
        </w:rPr>
        <w:t>第53号</w:t>
      </w:r>
      <w:r>
        <w:rPr>
          <w:rFonts w:hint="eastAsia" w:ascii="Times New Roman" w:hAnsi="Times New Roman" w:eastAsia="方正仿宋_GBK"/>
          <w:snapToGrid w:val="0"/>
          <w:kern w:val="0"/>
          <w:sz w:val="32"/>
          <w:szCs w:val="32"/>
          <w:lang w:eastAsia="zh-CN"/>
        </w:rPr>
        <w:t>发布）</w:t>
      </w:r>
      <w:r>
        <w:rPr>
          <w:rFonts w:hint="eastAsia" w:ascii="Times New Roman" w:hAnsi="Times New Roman" w:eastAsia="方正仿宋_GBK"/>
          <w:snapToGrid w:val="0"/>
          <w:kern w:val="0"/>
          <w:sz w:val="32"/>
          <w:szCs w:val="32"/>
        </w:rPr>
        <w:t>规定办理。</w:t>
      </w:r>
    </w:p>
    <w:p>
      <w:pPr>
        <w:snapToGrid w:val="0"/>
        <w:spacing w:line="620" w:lineRule="exact"/>
        <w:ind w:firstLine="640" w:firstLineChars="200"/>
        <w:rPr>
          <w:rFonts w:ascii="Times New Roman" w:hAnsi="Times New Roman" w:eastAsia="方正仿宋_GBK"/>
          <w:snapToGrid w:val="0"/>
          <w:kern w:val="0"/>
          <w:sz w:val="32"/>
          <w:szCs w:val="32"/>
        </w:rPr>
      </w:pPr>
      <w:r>
        <w:rPr>
          <w:rFonts w:ascii="Times New Roman" w:hAnsi="Times New Roman" w:eastAsia="方正仿宋_GBK"/>
          <w:snapToGrid w:val="0"/>
          <w:kern w:val="0"/>
          <w:sz w:val="32"/>
          <w:szCs w:val="32"/>
        </w:rPr>
        <w:t>（八）严格按照批准的水土保持方案和后续设计落实各项水土保持措施，合理安排施工时序和水土保持措施实施进度，严格控制施工期间水土流失。</w:t>
      </w:r>
    </w:p>
    <w:p>
      <w:pPr>
        <w:snapToGrid w:val="0"/>
        <w:spacing w:line="620" w:lineRule="exact"/>
        <w:ind w:firstLine="640" w:firstLineChars="200"/>
        <w:rPr>
          <w:rFonts w:ascii="Times New Roman" w:hAnsi="Times New Roman" w:eastAsia="方正仿宋_GBK"/>
          <w:snapToGrid w:val="0"/>
          <w:kern w:val="0"/>
          <w:sz w:val="32"/>
          <w:szCs w:val="32"/>
        </w:rPr>
      </w:pPr>
      <w:r>
        <w:rPr>
          <w:rFonts w:ascii="Times New Roman" w:hAnsi="Times New Roman" w:eastAsia="方正仿宋_GBK"/>
          <w:snapToGrid w:val="0"/>
          <w:kern w:val="0"/>
          <w:sz w:val="32"/>
          <w:szCs w:val="32"/>
        </w:rPr>
        <w:t>（九）</w:t>
      </w:r>
      <w:r>
        <w:rPr>
          <w:rFonts w:ascii="Times New Roman" w:hAnsi="Times New Roman" w:eastAsia="方正仿宋_GBK"/>
          <w:sz w:val="32"/>
          <w:szCs w:val="32"/>
        </w:rPr>
        <w:t>工程完工后、项目投产使用前应及时组织开展水土保持设施自主验收，并在水土保持设施自主验收通过3个月内，向我局报备验收材料（包括</w:t>
      </w:r>
      <w:r>
        <w:rPr>
          <w:rFonts w:ascii="Times New Roman" w:hAnsi="Times New Roman" w:eastAsia="方正仿宋_GBK"/>
          <w:snapToGrid w:val="0"/>
          <w:kern w:val="0"/>
          <w:sz w:val="32"/>
          <w:szCs w:val="32"/>
        </w:rPr>
        <w:t>水土保持设施验收鉴定书、水土保持设施验收报告和水土保持监测总结报告等）。</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ascii="Times New Roman" w:hAnsi="Times New Roman" w:eastAsia="方正仿宋_GBK"/>
          <w:snapToGrid w:val="0"/>
          <w:kern w:val="0"/>
          <w:sz w:val="32"/>
          <w:szCs w:val="32"/>
        </w:rPr>
      </w:pPr>
      <w:r>
        <w:rPr>
          <w:rFonts w:ascii="Times New Roman" w:hAnsi="Times New Roman" w:eastAsia="方正仿宋_GBK"/>
          <w:snapToGrid w:val="0"/>
          <w:kern w:val="0"/>
          <w:sz w:val="32"/>
          <w:szCs w:val="32"/>
        </w:rPr>
        <w:t>（十）本行政许可决定有效期为</w:t>
      </w:r>
      <w:r>
        <w:rPr>
          <w:rFonts w:hint="eastAsia" w:ascii="Times New Roman" w:hAnsi="Times New Roman" w:eastAsia="方正仿宋_GBK"/>
          <w:snapToGrid w:val="0"/>
          <w:kern w:val="0"/>
          <w:sz w:val="32"/>
          <w:szCs w:val="32"/>
          <w:lang w:val="en-US" w:eastAsia="zh-CN"/>
        </w:rPr>
        <w:t>3</w:t>
      </w:r>
      <w:r>
        <w:rPr>
          <w:rFonts w:ascii="Times New Roman" w:hAnsi="Times New Roman" w:eastAsia="方正仿宋_GBK"/>
          <w:snapToGrid w:val="0"/>
          <w:kern w:val="0"/>
          <w:sz w:val="32"/>
          <w:szCs w:val="32"/>
        </w:rPr>
        <w:t>年，</w:t>
      </w:r>
      <w:r>
        <w:rPr>
          <w:rFonts w:hint="eastAsia" w:ascii="Times New Roman" w:hAnsi="Times New Roman" w:eastAsia="方正仿宋_GBK"/>
          <w:snapToGrid w:val="0"/>
          <w:kern w:val="0"/>
          <w:sz w:val="32"/>
          <w:szCs w:val="32"/>
          <w:lang w:eastAsia="zh-CN"/>
        </w:rPr>
        <w:t>水土保持方案自批准之日起满</w:t>
      </w:r>
      <w:r>
        <w:rPr>
          <w:rFonts w:hint="eastAsia" w:ascii="Times New Roman" w:hAnsi="Times New Roman" w:eastAsia="方正仿宋_GBK"/>
          <w:snapToGrid w:val="0"/>
          <w:kern w:val="0"/>
          <w:sz w:val="32"/>
          <w:szCs w:val="32"/>
          <w:lang w:val="en-US" w:eastAsia="zh-CN"/>
        </w:rPr>
        <w:t>3年，生产建设项目方开工建设的，其水土保持方案开工建设前报我局重新审核</w:t>
      </w:r>
      <w:r>
        <w:rPr>
          <w:rFonts w:ascii="Times New Roman" w:hAnsi="Times New Roman" w:eastAsia="方正仿宋_GBK"/>
          <w:snapToGrid w:val="0"/>
          <w:kern w:val="0"/>
          <w:sz w:val="32"/>
          <w:szCs w:val="32"/>
        </w:rPr>
        <w:t>。</w:t>
      </w:r>
    </w:p>
    <w:p>
      <w:pPr>
        <w:snapToGrid w:val="0"/>
        <w:spacing w:line="594" w:lineRule="exact"/>
        <w:rPr>
          <w:rFonts w:hint="eastAsia" w:ascii="Times New Roman" w:hAnsi="Times New Roman" w:eastAsia="方正仿宋_GBK"/>
          <w:snapToGrid w:val="0"/>
          <w:color w:val="000000"/>
          <w:kern w:val="0"/>
          <w:sz w:val="32"/>
          <w:szCs w:val="32"/>
        </w:rPr>
      </w:pPr>
    </w:p>
    <w:p>
      <w:pPr>
        <w:keepNext w:val="0"/>
        <w:keepLines w:val="0"/>
        <w:pageBreakBefore w:val="0"/>
        <w:widowControl w:val="0"/>
        <w:kinsoku/>
        <w:wordWrap/>
        <w:overflowPunct/>
        <w:topLinePunct w:val="0"/>
        <w:autoSpaceDE/>
        <w:autoSpaceDN/>
        <w:bidi w:val="0"/>
        <w:adjustRightInd/>
        <w:snapToGrid w:val="0"/>
        <w:spacing w:line="620" w:lineRule="atLeast"/>
        <w:ind w:left="1918" w:leftChars="304" w:hanging="1280" w:hangingChars="400"/>
        <w:jc w:val="both"/>
        <w:textAlignment w:val="auto"/>
        <w:rPr>
          <w:rFonts w:hint="eastAsia" w:ascii="Times New Roman" w:hAnsi="Times New Roman" w:eastAsia="方正仿宋_GBK"/>
          <w:snapToGrid w:val="0"/>
          <w:color w:val="000000"/>
          <w:kern w:val="0"/>
          <w:sz w:val="32"/>
          <w:szCs w:val="32"/>
        </w:rPr>
      </w:pPr>
      <w:r>
        <w:rPr>
          <w:rFonts w:ascii="Times New Roman" w:hAnsi="Times New Roman" w:eastAsia="方正仿宋_GBK"/>
          <w:snapToGrid w:val="0"/>
          <w:color w:val="000000"/>
          <w:kern w:val="0"/>
          <w:sz w:val="32"/>
          <w:szCs w:val="32"/>
        </w:rPr>
        <w:t>附件：</w:t>
      </w:r>
      <w:r>
        <w:rPr>
          <w:rFonts w:hint="eastAsia" w:ascii="Times New Roman" w:hAnsi="Times New Roman" w:eastAsia="方正仿宋_GBK"/>
          <w:snapToGrid w:val="0"/>
          <w:color w:val="000000"/>
          <w:kern w:val="0"/>
          <w:sz w:val="32"/>
          <w:szCs w:val="32"/>
        </w:rPr>
        <w:t>1</w:t>
      </w:r>
      <w:r>
        <w:rPr>
          <w:rFonts w:hint="eastAsia" w:ascii="Times New Roman" w:hAnsi="Times New Roman" w:eastAsia="方正仿宋_GBK"/>
          <w:snapToGrid w:val="0"/>
          <w:color w:val="000000"/>
          <w:kern w:val="0"/>
          <w:sz w:val="32"/>
          <w:szCs w:val="32"/>
          <w:lang w:val="en-US" w:eastAsia="zh-CN"/>
        </w:rPr>
        <w:t>.重庆至万州高速铁路丰盛牵220千伏外部供电工程</w:t>
      </w:r>
      <w:r>
        <w:rPr>
          <w:rFonts w:hint="eastAsia" w:ascii="Times New Roman" w:hAnsi="Times New Roman" w:eastAsia="方正仿宋_GBK"/>
          <w:bCs/>
          <w:snapToGrid w:val="0"/>
          <w:color w:val="000000"/>
          <w:kern w:val="0"/>
          <w:sz w:val="32"/>
          <w:szCs w:val="32"/>
        </w:rPr>
        <w:t>水土保持</w:t>
      </w:r>
      <w:r>
        <w:rPr>
          <w:rFonts w:ascii="Times New Roman" w:hAnsi="Times New Roman" w:eastAsia="方正仿宋_GBK"/>
          <w:bCs/>
          <w:snapToGrid w:val="0"/>
          <w:color w:val="000000"/>
          <w:kern w:val="0"/>
          <w:sz w:val="32"/>
          <w:szCs w:val="32"/>
        </w:rPr>
        <w:t>方案特性表</w:t>
      </w:r>
    </w:p>
    <w:p>
      <w:pPr>
        <w:keepNext w:val="0"/>
        <w:keepLines w:val="0"/>
        <w:pageBreakBefore w:val="0"/>
        <w:widowControl w:val="0"/>
        <w:kinsoku/>
        <w:wordWrap/>
        <w:overflowPunct/>
        <w:topLinePunct w:val="0"/>
        <w:autoSpaceDE/>
        <w:autoSpaceDN/>
        <w:bidi w:val="0"/>
        <w:adjustRightInd/>
        <w:snapToGrid w:val="0"/>
        <w:spacing w:line="620" w:lineRule="atLeast"/>
        <w:ind w:left="1916" w:leftChars="760" w:hanging="320" w:hangingChars="100"/>
        <w:jc w:val="both"/>
        <w:textAlignment w:val="auto"/>
        <w:rPr>
          <w:rFonts w:ascii="Times New Roman" w:hAnsi="Times New Roman" w:eastAsia="方正仿宋_GBK"/>
          <w:snapToGrid w:val="0"/>
          <w:color w:val="000000"/>
          <w:kern w:val="0"/>
          <w:sz w:val="32"/>
          <w:szCs w:val="32"/>
        </w:rPr>
      </w:pPr>
      <w:r>
        <w:rPr>
          <w:rFonts w:hint="eastAsia" w:ascii="Times New Roman" w:hAnsi="Times New Roman" w:eastAsia="方正仿宋_GBK"/>
          <w:snapToGrid w:val="0"/>
          <w:color w:val="000000"/>
          <w:kern w:val="0"/>
          <w:sz w:val="32"/>
          <w:szCs w:val="32"/>
        </w:rPr>
        <w:t>2.</w:t>
      </w:r>
      <w:r>
        <w:rPr>
          <w:rFonts w:hint="eastAsia" w:ascii="方正仿宋_GBK" w:eastAsia="方正仿宋_GBK"/>
          <w:bCs/>
          <w:sz w:val="32"/>
          <w:szCs w:val="32"/>
        </w:rPr>
        <w:t>重庆至万州高速铁路丰盛牵</w:t>
      </w:r>
      <w:r>
        <w:rPr>
          <w:rFonts w:hint="default" w:ascii="Times New Roman" w:hAnsi="Times New Roman" w:eastAsia="方正仿宋_GBK" w:cs="Times New Roman"/>
          <w:bCs/>
          <w:sz w:val="32"/>
          <w:szCs w:val="32"/>
        </w:rPr>
        <w:t>220千</w:t>
      </w:r>
      <w:r>
        <w:rPr>
          <w:rFonts w:hint="eastAsia" w:ascii="方正仿宋_GBK" w:eastAsia="方正仿宋_GBK"/>
          <w:bCs/>
          <w:sz w:val="32"/>
          <w:szCs w:val="32"/>
        </w:rPr>
        <w:t>伏外部供电工程水土保持</w:t>
      </w:r>
      <w:r>
        <w:rPr>
          <w:rFonts w:ascii="方正仿宋_GBK" w:eastAsia="方正仿宋_GBK"/>
          <w:bCs/>
          <w:sz w:val="32"/>
          <w:szCs w:val="32"/>
        </w:rPr>
        <w:t>方案</w:t>
      </w:r>
      <w:r>
        <w:rPr>
          <w:rFonts w:ascii="Times New Roman" w:hAnsi="Times New Roman" w:eastAsia="方正仿宋_GBK"/>
          <w:snapToGrid w:val="0"/>
          <w:color w:val="000000"/>
          <w:kern w:val="0"/>
          <w:sz w:val="32"/>
          <w:szCs w:val="32"/>
        </w:rPr>
        <w:t>报告书专家评审意见</w:t>
      </w:r>
    </w:p>
    <w:p>
      <w:pPr>
        <w:keepNext w:val="0"/>
        <w:keepLines w:val="0"/>
        <w:pageBreakBefore w:val="0"/>
        <w:widowControl w:val="0"/>
        <w:kinsoku/>
        <w:wordWrap/>
        <w:overflowPunct/>
        <w:topLinePunct w:val="0"/>
        <w:autoSpaceDE/>
        <w:autoSpaceDN/>
        <w:bidi w:val="0"/>
        <w:adjustRightInd/>
        <w:snapToGrid w:val="0"/>
        <w:spacing w:line="594" w:lineRule="exact"/>
        <w:ind w:firstLine="0" w:firstLineChars="0"/>
        <w:textAlignment w:val="auto"/>
        <w:rPr>
          <w:rFonts w:hint="eastAsia" w:ascii="Times New Roman" w:hAnsi="Times New Roman" w:eastAsia="方正仿宋_GBK"/>
          <w:snapToGrid w:val="0"/>
          <w:color w:val="000000"/>
          <w:kern w:val="0"/>
          <w:sz w:val="32"/>
          <w:szCs w:val="32"/>
        </w:rPr>
      </w:pPr>
    </w:p>
    <w:p>
      <w:pPr>
        <w:snapToGrid w:val="0"/>
        <w:spacing w:line="594" w:lineRule="exact"/>
        <w:ind w:right="640" w:firstLine="6080" w:firstLineChars="1900"/>
        <w:jc w:val="left"/>
        <w:rPr>
          <w:rFonts w:ascii="Times New Roman" w:hAnsi="Times New Roman" w:eastAsia="方正仿宋_GBK"/>
          <w:sz w:val="32"/>
          <w:szCs w:val="32"/>
        </w:rPr>
      </w:pPr>
      <w:r>
        <w:rPr>
          <w:rFonts w:ascii="Times New Roman" w:hAnsi="Times New Roman" w:eastAsia="方正仿宋_GBK"/>
          <w:sz w:val="32"/>
          <w:szCs w:val="32"/>
        </w:rPr>
        <w:t>重庆市水利局</w:t>
      </w:r>
    </w:p>
    <w:p>
      <w:pPr>
        <w:snapToGrid w:val="0"/>
        <w:spacing w:line="594" w:lineRule="exact"/>
        <w:ind w:right="800"/>
        <w:jc w:val="right"/>
        <w:rPr>
          <w:rFonts w:ascii="Times New Roman" w:hAnsi="Times New Roman" w:eastAsia="方正仿宋_GBK"/>
          <w:color w:val="auto"/>
          <w:sz w:val="32"/>
          <w:szCs w:val="32"/>
        </w:rPr>
      </w:pPr>
      <w:r>
        <w:rPr>
          <w:rFonts w:ascii="Times New Roman" w:hAnsi="Times New Roman" w:eastAsia="方正仿宋_GBK"/>
          <w:color w:val="auto"/>
          <w:sz w:val="32"/>
          <w:szCs w:val="32"/>
        </w:rPr>
        <w:t>202</w:t>
      </w:r>
      <w:r>
        <w:rPr>
          <w:rFonts w:hint="default" w:ascii="Times New Roman" w:hAnsi="Times New Roman" w:eastAsia="方正仿宋_GBK"/>
          <w:color w:val="auto"/>
          <w:sz w:val="32"/>
          <w:szCs w:val="32"/>
          <w:lang w:val="en" w:eastAsia="zh-CN"/>
        </w:rPr>
        <w:t>5</w:t>
      </w:r>
      <w:r>
        <w:rPr>
          <w:rFonts w:ascii="Times New Roman" w:hAnsi="Times New Roman" w:eastAsia="方正仿宋_GBK"/>
          <w:color w:val="auto"/>
          <w:sz w:val="32"/>
          <w:szCs w:val="32"/>
        </w:rPr>
        <w:t>年</w:t>
      </w:r>
      <w:r>
        <w:rPr>
          <w:rFonts w:hint="eastAsia" w:ascii="Times New Roman" w:hAnsi="Times New Roman" w:eastAsia="方正仿宋_GBK"/>
          <w:color w:val="auto"/>
          <w:sz w:val="32"/>
          <w:szCs w:val="32"/>
          <w:lang w:val="en-US" w:eastAsia="zh-CN"/>
        </w:rPr>
        <w:t>11</w:t>
      </w:r>
      <w:r>
        <w:rPr>
          <w:rFonts w:ascii="Times New Roman" w:hAnsi="Times New Roman" w:eastAsia="方正仿宋_GBK"/>
          <w:color w:val="auto"/>
          <w:sz w:val="32"/>
          <w:szCs w:val="32"/>
        </w:rPr>
        <w:t>月</w:t>
      </w:r>
      <w:r>
        <w:rPr>
          <w:rFonts w:hint="eastAsia" w:ascii="Times New Roman" w:hAnsi="Times New Roman" w:eastAsia="方正仿宋_GBK"/>
          <w:color w:val="auto"/>
          <w:sz w:val="32"/>
          <w:szCs w:val="32"/>
          <w:lang w:val="en-US" w:eastAsia="zh-CN"/>
        </w:rPr>
        <w:t>17</w:t>
      </w:r>
      <w:bookmarkStart w:id="5" w:name="_GoBack"/>
      <w:bookmarkEnd w:id="5"/>
      <w:r>
        <w:rPr>
          <w:rFonts w:ascii="Times New Roman" w:hAnsi="Times New Roman" w:eastAsia="方正仿宋_GBK"/>
          <w:color w:val="auto"/>
          <w:sz w:val="32"/>
          <w:szCs w:val="32"/>
        </w:rPr>
        <w:t>日</w:t>
      </w:r>
    </w:p>
    <w:p>
      <w:pPr>
        <w:snapToGrid w:val="0"/>
        <w:spacing w:line="594" w:lineRule="exact"/>
        <w:ind w:right="960"/>
        <w:jc w:val="left"/>
        <w:rPr>
          <w:rFonts w:ascii="Times New Roman" w:hAnsi="Times New Roman"/>
          <w:szCs w:val="28"/>
        </w:rPr>
      </w:pPr>
    </w:p>
    <w:p>
      <w:pPr>
        <w:keepNext w:val="0"/>
        <w:keepLines w:val="0"/>
        <w:pageBreakBefore w:val="0"/>
        <w:widowControl w:val="0"/>
        <w:kinsoku/>
        <w:wordWrap/>
        <w:overflowPunct/>
        <w:topLinePunct w:val="0"/>
        <w:autoSpaceDE/>
        <w:autoSpaceDN/>
        <w:bidi w:val="0"/>
        <w:snapToGrid w:val="0"/>
        <w:spacing w:line="594" w:lineRule="exact"/>
        <w:ind w:firstLine="640" w:firstLineChars="200"/>
        <w:jc w:val="left"/>
        <w:textAlignment w:val="auto"/>
        <w:rPr>
          <w:rFonts w:ascii="Times New Roman" w:hAnsi="Times New Roman" w:eastAsia="方正仿宋_GBK"/>
          <w:snapToGrid w:val="0"/>
          <w:kern w:val="0"/>
          <w:sz w:val="32"/>
          <w:szCs w:val="32"/>
        </w:rPr>
      </w:pPr>
      <w:r>
        <w:rPr>
          <w:rFonts w:ascii="Times New Roman" w:hAnsi="Times New Roman" w:eastAsia="方正仿宋_GBK"/>
          <w:snapToGrid w:val="0"/>
          <w:kern w:val="0"/>
          <w:sz w:val="32"/>
          <w:szCs w:val="32"/>
        </w:rPr>
        <w:t>（此件</w:t>
      </w:r>
      <w:r>
        <w:rPr>
          <w:rFonts w:hint="eastAsia" w:ascii="Times New Roman" w:hAnsi="Times New Roman" w:eastAsia="方正仿宋_GBK"/>
          <w:snapToGrid w:val="0"/>
          <w:kern w:val="0"/>
          <w:sz w:val="32"/>
          <w:szCs w:val="32"/>
          <w:lang w:eastAsia="zh-CN"/>
        </w:rPr>
        <w:t>主动</w:t>
      </w:r>
      <w:r>
        <w:rPr>
          <w:rFonts w:ascii="Times New Roman" w:hAnsi="Times New Roman" w:eastAsia="方正仿宋_GBK"/>
          <w:snapToGrid w:val="0"/>
          <w:kern w:val="0"/>
          <w:sz w:val="32"/>
          <w:szCs w:val="32"/>
        </w:rPr>
        <w:t>公开发布）</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方正仿宋_GBK"/>
          <w:snapToGrid w:val="0"/>
          <w:kern w:val="0"/>
          <w:sz w:val="32"/>
          <w:szCs w:val="32"/>
        </w:rPr>
      </w:pPr>
      <w:r>
        <w:rPr>
          <w:rFonts w:ascii="Times New Roman" w:hAnsi="Times New Roman" w:eastAsia="方正仿宋_GBK"/>
          <w:snapToGrid w:val="0"/>
          <w:kern w:val="0"/>
          <w:sz w:val="32"/>
          <w:szCs w:val="32"/>
        </w:rPr>
        <w:t>（联系人：张</w:t>
      </w:r>
      <w:r>
        <w:rPr>
          <w:rFonts w:hint="eastAsia" w:ascii="Times New Roman" w:hAnsi="Times New Roman" w:eastAsia="方正仿宋_GBK"/>
          <w:snapToGrid w:val="0"/>
          <w:kern w:val="0"/>
          <w:sz w:val="32"/>
          <w:szCs w:val="32"/>
        </w:rPr>
        <w:t>春才</w:t>
      </w:r>
      <w:r>
        <w:rPr>
          <w:rFonts w:ascii="Times New Roman" w:hAnsi="Times New Roman" w:eastAsia="方正仿宋_GBK"/>
          <w:snapToGrid w:val="0"/>
          <w:kern w:val="0"/>
          <w:sz w:val="32"/>
          <w:szCs w:val="32"/>
        </w:rPr>
        <w:t>；联系电话：023</w:t>
      </w:r>
      <w:r>
        <w:rPr>
          <w:rFonts w:hint="eastAsia" w:ascii="Times New Roman" w:hAnsi="Times New Roman" w:eastAsia="方正仿宋_GBK"/>
          <w:snapToGrid w:val="0"/>
          <w:kern w:val="0"/>
          <w:sz w:val="32"/>
          <w:szCs w:val="32"/>
          <w:lang w:eastAsia="zh-CN"/>
        </w:rPr>
        <w:t>—</w:t>
      </w:r>
      <w:r>
        <w:rPr>
          <w:rFonts w:ascii="Times New Roman" w:hAnsi="Times New Roman" w:eastAsia="方正仿宋_GBK"/>
          <w:snapToGrid w:val="0"/>
          <w:kern w:val="0"/>
          <w:sz w:val="32"/>
          <w:szCs w:val="32"/>
        </w:rPr>
        <w:t>88707091）</w:t>
      </w:r>
    </w:p>
    <w:p>
      <w:pPr>
        <w:rPr>
          <w:rFonts w:ascii="Times New Roman" w:hAnsi="Times New Roman" w:eastAsia="方正仿宋_GBK"/>
          <w:snapToGrid w:val="0"/>
          <w:kern w:val="0"/>
          <w:sz w:val="32"/>
          <w:szCs w:val="32"/>
        </w:rPr>
      </w:pPr>
      <w:r>
        <w:rPr>
          <w:rFonts w:ascii="Times New Roman" w:hAnsi="Times New Roman" w:eastAsia="方正仿宋_GBK"/>
          <w:snapToGrid w:val="0"/>
          <w:kern w:val="0"/>
          <w:sz w:val="32"/>
          <w:szCs w:val="32"/>
        </w:rPr>
        <w:br w:type="page"/>
      </w:r>
    </w:p>
    <w:p>
      <w:pPr>
        <w:spacing w:line="594" w:lineRule="exact"/>
        <w:jc w:val="left"/>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附件1</w:t>
      </w:r>
    </w:p>
    <w:p>
      <w:pPr>
        <w:numPr>
          <w:ilvl w:val="0"/>
          <w:numId w:val="0"/>
        </w:numPr>
        <w:topLinePunct/>
        <w:autoSpaceDE w:val="0"/>
        <w:autoSpaceDN w:val="0"/>
        <w:snapToGrid w:val="0"/>
        <w:spacing w:line="500" w:lineRule="exact"/>
        <w:ind w:leftChars="0"/>
        <w:jc w:val="center"/>
        <w:rPr>
          <w:rFonts w:hint="default" w:ascii="Times New Roman" w:hAnsi="Times New Roman" w:eastAsia="方正小标宋_GBK" w:cs="Times New Roman"/>
          <w:b w:val="0"/>
          <w:bCs/>
          <w:color w:val="auto"/>
          <w:sz w:val="36"/>
          <w:szCs w:val="36"/>
        </w:rPr>
      </w:pPr>
    </w:p>
    <w:p>
      <w:pPr>
        <w:numPr>
          <w:ilvl w:val="0"/>
          <w:numId w:val="0"/>
        </w:numPr>
        <w:topLinePunct/>
        <w:autoSpaceDE w:val="0"/>
        <w:autoSpaceDN w:val="0"/>
        <w:snapToGrid w:val="0"/>
        <w:spacing w:line="500" w:lineRule="exact"/>
        <w:ind w:leftChars="0"/>
        <w:jc w:val="center"/>
        <w:rPr>
          <w:rFonts w:hint="default" w:ascii="Times New Roman" w:hAnsi="Times New Roman" w:eastAsia="方正小标宋_GBK" w:cs="Times New Roman"/>
          <w:b w:val="0"/>
          <w:bCs/>
          <w:color w:val="auto"/>
          <w:sz w:val="36"/>
          <w:szCs w:val="36"/>
        </w:rPr>
      </w:pPr>
      <w:r>
        <w:rPr>
          <w:rFonts w:hint="default" w:ascii="Times New Roman" w:hAnsi="Times New Roman" w:eastAsia="方正小标宋_GBK" w:cs="Times New Roman"/>
          <w:b w:val="0"/>
          <w:bCs/>
          <w:color w:val="auto"/>
          <w:sz w:val="36"/>
          <w:szCs w:val="36"/>
        </w:rPr>
        <w:t>重庆至万州高速铁路丰盛牵220千伏外部</w:t>
      </w:r>
    </w:p>
    <w:p>
      <w:pPr>
        <w:numPr>
          <w:ilvl w:val="0"/>
          <w:numId w:val="0"/>
        </w:numPr>
        <w:topLinePunct/>
        <w:autoSpaceDE w:val="0"/>
        <w:autoSpaceDN w:val="0"/>
        <w:snapToGrid w:val="0"/>
        <w:spacing w:line="500" w:lineRule="exact"/>
        <w:ind w:leftChars="0"/>
        <w:jc w:val="center"/>
        <w:rPr>
          <w:rFonts w:hint="default" w:ascii="Times New Roman" w:hAnsi="Times New Roman" w:eastAsia="方正小标宋_GBK" w:cs="Times New Roman"/>
          <w:b w:val="0"/>
          <w:bCs/>
          <w:color w:val="auto"/>
          <w:sz w:val="30"/>
          <w:szCs w:val="30"/>
        </w:rPr>
      </w:pPr>
      <w:r>
        <w:rPr>
          <w:rFonts w:hint="default" w:ascii="Times New Roman" w:hAnsi="Times New Roman" w:eastAsia="方正小标宋_GBK" w:cs="Times New Roman"/>
          <w:b w:val="0"/>
          <w:bCs/>
          <w:color w:val="auto"/>
          <w:sz w:val="36"/>
          <w:szCs w:val="36"/>
        </w:rPr>
        <w:t>供电工程水土保持方案特性表</w:t>
      </w:r>
    </w:p>
    <w:tbl>
      <w:tblPr>
        <w:tblStyle w:val="9"/>
        <w:tblW w:w="4994"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12"/>
        <w:gridCol w:w="672"/>
        <w:gridCol w:w="410"/>
        <w:gridCol w:w="277"/>
        <w:gridCol w:w="135"/>
        <w:gridCol w:w="413"/>
        <w:gridCol w:w="269"/>
        <w:gridCol w:w="446"/>
        <w:gridCol w:w="241"/>
        <w:gridCol w:w="433"/>
        <w:gridCol w:w="657"/>
        <w:gridCol w:w="204"/>
        <w:gridCol w:w="283"/>
        <w:gridCol w:w="65"/>
        <w:gridCol w:w="93"/>
        <w:gridCol w:w="455"/>
        <w:gridCol w:w="501"/>
        <w:gridCol w:w="41"/>
        <w:gridCol w:w="255"/>
        <w:gridCol w:w="404"/>
        <w:gridCol w:w="95"/>
        <w:gridCol w:w="70"/>
        <w:gridCol w:w="89"/>
        <w:gridCol w:w="345"/>
        <w:gridCol w:w="240"/>
        <w:gridCol w:w="426"/>
        <w:gridCol w:w="133"/>
        <w:gridCol w:w="105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643" w:type="pct"/>
            <w:gridSpan w:val="2"/>
            <w:noWrap w:val="0"/>
            <w:vAlign w:val="center"/>
          </w:tcPr>
          <w:p>
            <w:pPr>
              <w:pStyle w:val="28"/>
              <w:rPr>
                <w:rFonts w:ascii="Times New Roman" w:hAnsi="Times New Roman" w:cs="Times New Roman"/>
              </w:rPr>
            </w:pPr>
            <w:r>
              <w:rPr>
                <w:rFonts w:ascii="Times New Roman" w:hAnsi="Times New Roman" w:cs="Times New Roman"/>
              </w:rPr>
              <w:t>项目名称</w:t>
            </w:r>
          </w:p>
        </w:tc>
        <w:tc>
          <w:tcPr>
            <w:tcW w:w="1891" w:type="pct"/>
            <w:gridSpan w:val="10"/>
            <w:tcBorders>
              <w:right w:val="single" w:color="auto" w:sz="4" w:space="0"/>
            </w:tcBorders>
            <w:noWrap w:val="0"/>
            <w:vAlign w:val="center"/>
          </w:tcPr>
          <w:p>
            <w:pPr>
              <w:pStyle w:val="28"/>
              <w:rPr>
                <w:rFonts w:ascii="Times New Roman" w:hAnsi="Times New Roman" w:cs="Times New Roman"/>
              </w:rPr>
            </w:pPr>
            <w:r>
              <w:rPr>
                <w:rFonts w:ascii="Times New Roman" w:hAnsi="Times New Roman" w:cs="Times New Roman"/>
              </w:rPr>
              <w:t>重庆至万州高速铁路丰盛牵220千伏外部供电工程</w:t>
            </w:r>
          </w:p>
        </w:tc>
        <w:tc>
          <w:tcPr>
            <w:tcW w:w="1274" w:type="pct"/>
            <w:gridSpan w:val="11"/>
            <w:tcBorders>
              <w:left w:val="single" w:color="auto" w:sz="4" w:space="0"/>
              <w:right w:val="single" w:color="auto" w:sz="4" w:space="0"/>
            </w:tcBorders>
            <w:noWrap w:val="0"/>
            <w:vAlign w:val="center"/>
          </w:tcPr>
          <w:p>
            <w:pPr>
              <w:pStyle w:val="28"/>
              <w:rPr>
                <w:rFonts w:ascii="Times New Roman" w:hAnsi="Times New Roman" w:cs="Times New Roman"/>
              </w:rPr>
            </w:pPr>
            <w:r>
              <w:rPr>
                <w:rFonts w:ascii="Times New Roman" w:hAnsi="Times New Roman" w:cs="Times New Roman"/>
              </w:rPr>
              <w:t>流域管理机构</w:t>
            </w:r>
          </w:p>
        </w:tc>
        <w:tc>
          <w:tcPr>
            <w:tcW w:w="1192" w:type="pct"/>
            <w:gridSpan w:val="5"/>
            <w:tcBorders>
              <w:left w:val="single" w:color="auto" w:sz="4" w:space="0"/>
            </w:tcBorders>
            <w:noWrap w:val="0"/>
            <w:vAlign w:val="center"/>
          </w:tcPr>
          <w:p>
            <w:pPr>
              <w:pStyle w:val="28"/>
              <w:rPr>
                <w:rFonts w:ascii="Times New Roman" w:hAnsi="Times New Roman" w:cs="Times New Roman"/>
              </w:rPr>
            </w:pPr>
            <w:r>
              <w:rPr>
                <w:rFonts w:ascii="Times New Roman" w:hAnsi="Times New Roman" w:cs="Times New Roman"/>
              </w:rPr>
              <w:t>长江水利委员会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643" w:type="pct"/>
            <w:gridSpan w:val="2"/>
            <w:noWrap w:val="0"/>
            <w:vAlign w:val="center"/>
          </w:tcPr>
          <w:p>
            <w:pPr>
              <w:pStyle w:val="28"/>
              <w:rPr>
                <w:rFonts w:ascii="Times New Roman" w:hAnsi="Times New Roman" w:cs="Times New Roman"/>
              </w:rPr>
            </w:pPr>
            <w:r>
              <w:rPr>
                <w:rFonts w:ascii="Times New Roman" w:hAnsi="Times New Roman" w:cs="Times New Roman"/>
              </w:rPr>
              <w:t>涉及市</w:t>
            </w:r>
          </w:p>
        </w:tc>
        <w:tc>
          <w:tcPr>
            <w:tcW w:w="670" w:type="pct"/>
            <w:gridSpan w:val="4"/>
            <w:noWrap w:val="0"/>
            <w:vAlign w:val="center"/>
          </w:tcPr>
          <w:p>
            <w:pPr>
              <w:pStyle w:val="28"/>
              <w:rPr>
                <w:rFonts w:ascii="Times New Roman" w:hAnsi="Times New Roman" w:cs="Times New Roman"/>
              </w:rPr>
            </w:pPr>
            <w:r>
              <w:rPr>
                <w:rFonts w:ascii="Times New Roman" w:hAnsi="Times New Roman" w:cs="Times New Roman"/>
              </w:rPr>
              <w:t>重庆市</w:t>
            </w:r>
          </w:p>
        </w:tc>
        <w:tc>
          <w:tcPr>
            <w:tcW w:w="1221" w:type="pct"/>
            <w:gridSpan w:val="6"/>
            <w:noWrap w:val="0"/>
            <w:vAlign w:val="center"/>
          </w:tcPr>
          <w:p>
            <w:pPr>
              <w:pStyle w:val="28"/>
              <w:rPr>
                <w:rFonts w:ascii="Times New Roman" w:hAnsi="Times New Roman" w:cs="Times New Roman"/>
              </w:rPr>
            </w:pPr>
            <w:r>
              <w:rPr>
                <w:rFonts w:ascii="Times New Roman" w:hAnsi="Times New Roman" w:cs="Times New Roman"/>
              </w:rPr>
              <w:t>涉及地市或个数</w:t>
            </w:r>
          </w:p>
        </w:tc>
        <w:tc>
          <w:tcPr>
            <w:tcW w:w="485" w:type="pct"/>
            <w:gridSpan w:val="4"/>
            <w:tcBorders>
              <w:right w:val="single" w:color="auto" w:sz="4" w:space="0"/>
            </w:tcBorders>
            <w:noWrap w:val="0"/>
            <w:vAlign w:val="center"/>
          </w:tcPr>
          <w:p>
            <w:pPr>
              <w:pStyle w:val="28"/>
              <w:rPr>
                <w:rFonts w:ascii="Times New Roman" w:hAnsi="Times New Roman" w:cs="Times New Roman"/>
              </w:rPr>
            </w:pPr>
            <w:r>
              <w:rPr>
                <w:rFonts w:ascii="Times New Roman" w:hAnsi="Times New Roman" w:cs="Times New Roman"/>
              </w:rPr>
              <w:t>/</w:t>
            </w:r>
          </w:p>
        </w:tc>
        <w:tc>
          <w:tcPr>
            <w:tcW w:w="788" w:type="pct"/>
            <w:gridSpan w:val="7"/>
            <w:tcBorders>
              <w:left w:val="single" w:color="auto" w:sz="4" w:space="0"/>
              <w:right w:val="single" w:color="auto" w:sz="4" w:space="0"/>
            </w:tcBorders>
            <w:noWrap w:val="0"/>
            <w:vAlign w:val="center"/>
          </w:tcPr>
          <w:p>
            <w:pPr>
              <w:pStyle w:val="28"/>
              <w:rPr>
                <w:rFonts w:ascii="Times New Roman" w:hAnsi="Times New Roman" w:cs="Times New Roman"/>
              </w:rPr>
            </w:pPr>
            <w:r>
              <w:rPr>
                <w:rFonts w:ascii="Times New Roman" w:hAnsi="Times New Roman" w:cs="Times New Roman"/>
              </w:rPr>
              <w:t>涉及区或个数</w:t>
            </w:r>
          </w:p>
        </w:tc>
        <w:tc>
          <w:tcPr>
            <w:tcW w:w="1192" w:type="pct"/>
            <w:gridSpan w:val="5"/>
            <w:tcBorders>
              <w:left w:val="single" w:color="auto" w:sz="4" w:space="0"/>
            </w:tcBorders>
            <w:noWrap w:val="0"/>
            <w:vAlign w:val="center"/>
          </w:tcPr>
          <w:p>
            <w:pPr>
              <w:pStyle w:val="28"/>
              <w:rPr>
                <w:rFonts w:hint="eastAsia" w:ascii="Times New Roman" w:hAnsi="Times New Roman" w:cs="Times New Roman"/>
              </w:rPr>
            </w:pPr>
            <w:r>
              <w:rPr>
                <w:rFonts w:hint="eastAsia" w:ascii="Times New Roman" w:hAnsi="Times New Roman" w:cs="Times New Roman"/>
              </w:rPr>
              <w:t>两江新区、巴南区、南岸区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643" w:type="pct"/>
            <w:gridSpan w:val="2"/>
            <w:noWrap w:val="0"/>
            <w:vAlign w:val="center"/>
          </w:tcPr>
          <w:p>
            <w:pPr>
              <w:pStyle w:val="28"/>
              <w:rPr>
                <w:rFonts w:ascii="Times New Roman" w:hAnsi="Times New Roman" w:cs="Times New Roman"/>
              </w:rPr>
            </w:pPr>
            <w:r>
              <w:rPr>
                <w:rFonts w:ascii="Times New Roman" w:hAnsi="Times New Roman" w:cs="Times New Roman"/>
              </w:rPr>
              <w:t>项目规模</w:t>
            </w:r>
          </w:p>
        </w:tc>
        <w:tc>
          <w:tcPr>
            <w:tcW w:w="2129" w:type="pct"/>
            <w:gridSpan w:val="13"/>
            <w:tcBorders>
              <w:right w:val="single" w:color="auto" w:sz="4" w:space="0"/>
            </w:tcBorders>
            <w:noWrap w:val="0"/>
            <w:vAlign w:val="center"/>
          </w:tcPr>
          <w:p>
            <w:pPr>
              <w:pStyle w:val="28"/>
              <w:rPr>
                <w:rFonts w:ascii="Times New Roman" w:hAnsi="Times New Roman" w:cs="Times New Roman"/>
              </w:rPr>
            </w:pPr>
            <w:r>
              <w:rPr>
                <w:rFonts w:hint="eastAsia" w:ascii="Cambria Math" w:hAnsi="Cambria Math" w:cs="Cambria Math"/>
              </w:rPr>
              <w:t>①新建1回书房~丰盛牵引站220千伏线路工程，线路24.5km/58塔基；②新建1回明月山~丰盛牵引站220千伏线路工程，线路18.9km/43塔基；③书房变电站220千伏间隔扩建工程和明月山500千伏变电站220千伏间隔扩建工程。</w:t>
            </w:r>
          </w:p>
        </w:tc>
        <w:tc>
          <w:tcPr>
            <w:tcW w:w="519" w:type="pct"/>
            <w:gridSpan w:val="2"/>
            <w:tcBorders>
              <w:left w:val="single" w:color="auto" w:sz="4" w:space="0"/>
              <w:right w:val="single" w:color="auto" w:sz="4" w:space="0"/>
            </w:tcBorders>
            <w:noWrap w:val="0"/>
            <w:vAlign w:val="center"/>
          </w:tcPr>
          <w:p>
            <w:pPr>
              <w:pStyle w:val="28"/>
              <w:rPr>
                <w:rFonts w:ascii="Times New Roman" w:hAnsi="Times New Roman" w:cs="Times New Roman"/>
              </w:rPr>
            </w:pPr>
            <w:r>
              <w:rPr>
                <w:rFonts w:ascii="Times New Roman" w:hAnsi="Times New Roman" w:cs="Times New Roman"/>
              </w:rPr>
              <w:t>总投资</w:t>
            </w:r>
          </w:p>
          <w:p>
            <w:pPr>
              <w:pStyle w:val="28"/>
              <w:rPr>
                <w:rFonts w:ascii="Times New Roman" w:hAnsi="Times New Roman" w:cs="Times New Roman"/>
              </w:rPr>
            </w:pPr>
            <w:r>
              <w:rPr>
                <w:rFonts w:ascii="Times New Roman" w:hAnsi="Times New Roman" w:cs="Times New Roman"/>
              </w:rPr>
              <w:t>（万元）</w:t>
            </w:r>
          </w:p>
        </w:tc>
        <w:tc>
          <w:tcPr>
            <w:tcW w:w="516" w:type="pct"/>
            <w:gridSpan w:val="6"/>
            <w:tcBorders>
              <w:left w:val="single" w:color="auto" w:sz="4" w:space="0"/>
            </w:tcBorders>
            <w:noWrap w:val="0"/>
            <w:vAlign w:val="center"/>
          </w:tcPr>
          <w:p>
            <w:pPr>
              <w:pStyle w:val="28"/>
              <w:rPr>
                <w:rFonts w:ascii="Times New Roman" w:hAnsi="Times New Roman" w:cs="Times New Roman"/>
              </w:rPr>
            </w:pPr>
            <w:r>
              <w:rPr>
                <w:rFonts w:hint="eastAsia" w:ascii="Times New Roman" w:hAnsi="Times New Roman" w:cs="Times New Roman"/>
              </w:rPr>
              <w:t>13486</w:t>
            </w:r>
          </w:p>
        </w:tc>
        <w:tc>
          <w:tcPr>
            <w:tcW w:w="620" w:type="pct"/>
            <w:gridSpan w:val="4"/>
            <w:tcBorders>
              <w:right w:val="single" w:color="auto" w:sz="4" w:space="0"/>
            </w:tcBorders>
            <w:noWrap w:val="0"/>
            <w:vAlign w:val="center"/>
          </w:tcPr>
          <w:p>
            <w:pPr>
              <w:pStyle w:val="28"/>
              <w:rPr>
                <w:rFonts w:ascii="Times New Roman" w:hAnsi="Times New Roman" w:cs="Times New Roman"/>
              </w:rPr>
            </w:pPr>
            <w:r>
              <w:rPr>
                <w:rFonts w:ascii="Times New Roman" w:hAnsi="Times New Roman" w:cs="Times New Roman"/>
              </w:rPr>
              <w:t>土建投资</w:t>
            </w:r>
          </w:p>
          <w:p>
            <w:pPr>
              <w:pStyle w:val="28"/>
              <w:rPr>
                <w:rFonts w:ascii="Times New Roman" w:hAnsi="Times New Roman" w:cs="Times New Roman"/>
              </w:rPr>
            </w:pPr>
            <w:r>
              <w:rPr>
                <w:rFonts w:ascii="Times New Roman" w:hAnsi="Times New Roman" w:cs="Times New Roman"/>
              </w:rPr>
              <w:t>（万元）</w:t>
            </w:r>
          </w:p>
        </w:tc>
        <w:tc>
          <w:tcPr>
            <w:tcW w:w="572" w:type="pct"/>
            <w:tcBorders>
              <w:left w:val="single" w:color="auto" w:sz="4" w:space="0"/>
            </w:tcBorders>
            <w:noWrap w:val="0"/>
            <w:vAlign w:val="center"/>
          </w:tcPr>
          <w:p>
            <w:pPr>
              <w:pStyle w:val="28"/>
              <w:rPr>
                <w:rFonts w:ascii="Times New Roman" w:hAnsi="Times New Roman" w:cs="Times New Roman"/>
              </w:rPr>
            </w:pPr>
            <w:r>
              <w:rPr>
                <w:rFonts w:hint="eastAsia" w:ascii="Times New Roman" w:hAnsi="Times New Roman" w:cs="Times New Roman"/>
              </w:rPr>
              <w:t>10788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1089" w:type="pct"/>
            <w:gridSpan w:val="5"/>
            <w:noWrap w:val="0"/>
            <w:vAlign w:val="center"/>
          </w:tcPr>
          <w:p>
            <w:pPr>
              <w:pStyle w:val="28"/>
              <w:rPr>
                <w:rFonts w:ascii="Times New Roman" w:hAnsi="Times New Roman" w:cs="Times New Roman"/>
              </w:rPr>
            </w:pPr>
            <w:r>
              <w:rPr>
                <w:rFonts w:ascii="Times New Roman" w:hAnsi="Times New Roman" w:cs="Times New Roman"/>
              </w:rPr>
              <w:t>动工时间</w:t>
            </w:r>
          </w:p>
        </w:tc>
        <w:tc>
          <w:tcPr>
            <w:tcW w:w="743" w:type="pct"/>
            <w:gridSpan w:val="4"/>
            <w:noWrap w:val="0"/>
            <w:vAlign w:val="center"/>
          </w:tcPr>
          <w:p>
            <w:pPr>
              <w:pStyle w:val="28"/>
              <w:rPr>
                <w:rFonts w:ascii="Times New Roman" w:hAnsi="Times New Roman" w:cs="Times New Roman"/>
              </w:rPr>
            </w:pPr>
            <w:r>
              <w:rPr>
                <w:rFonts w:ascii="Times New Roman" w:hAnsi="Times New Roman" w:cs="Times New Roman"/>
              </w:rPr>
              <w:t>202</w:t>
            </w:r>
            <w:r>
              <w:rPr>
                <w:rFonts w:hint="eastAsia" w:ascii="Times New Roman" w:hAnsi="Times New Roman" w:cs="Times New Roman"/>
              </w:rPr>
              <w:t>5</w:t>
            </w:r>
            <w:r>
              <w:rPr>
                <w:rFonts w:ascii="Times New Roman" w:hAnsi="Times New Roman" w:cs="Times New Roman"/>
              </w:rPr>
              <w:t>年1</w:t>
            </w:r>
            <w:r>
              <w:rPr>
                <w:rFonts w:hint="eastAsia" w:ascii="Times New Roman" w:hAnsi="Times New Roman" w:cs="Times New Roman"/>
              </w:rPr>
              <w:t>2</w:t>
            </w:r>
            <w:r>
              <w:rPr>
                <w:rFonts w:ascii="Times New Roman" w:hAnsi="Times New Roman" w:cs="Times New Roman"/>
              </w:rPr>
              <w:t>月</w:t>
            </w:r>
          </w:p>
        </w:tc>
        <w:tc>
          <w:tcPr>
            <w:tcW w:w="890" w:type="pct"/>
            <w:gridSpan w:val="5"/>
            <w:noWrap w:val="0"/>
            <w:vAlign w:val="center"/>
          </w:tcPr>
          <w:p>
            <w:pPr>
              <w:pStyle w:val="28"/>
              <w:rPr>
                <w:rFonts w:ascii="Times New Roman" w:hAnsi="Times New Roman" w:cs="Times New Roman"/>
              </w:rPr>
            </w:pPr>
            <w:r>
              <w:rPr>
                <w:rFonts w:ascii="Times New Roman" w:hAnsi="Times New Roman" w:cs="Times New Roman"/>
              </w:rPr>
              <w:t>完工时间</w:t>
            </w:r>
          </w:p>
        </w:tc>
        <w:tc>
          <w:tcPr>
            <w:tcW w:w="729" w:type="pct"/>
            <w:gridSpan w:val="5"/>
            <w:noWrap w:val="0"/>
            <w:vAlign w:val="center"/>
          </w:tcPr>
          <w:p>
            <w:pPr>
              <w:pStyle w:val="28"/>
              <w:rPr>
                <w:rFonts w:ascii="Times New Roman" w:hAnsi="Times New Roman" w:cs="Times New Roman"/>
              </w:rPr>
            </w:pPr>
            <w:r>
              <w:rPr>
                <w:rFonts w:ascii="Times New Roman" w:hAnsi="Times New Roman" w:cs="Times New Roman"/>
              </w:rPr>
              <w:t>2026年</w:t>
            </w:r>
            <w:r>
              <w:rPr>
                <w:rFonts w:hint="eastAsia" w:ascii="Times New Roman" w:hAnsi="Times New Roman" w:cs="Times New Roman"/>
              </w:rPr>
              <w:t>7</w:t>
            </w:r>
            <w:r>
              <w:rPr>
                <w:rFonts w:ascii="Times New Roman" w:hAnsi="Times New Roman" w:cs="Times New Roman"/>
              </w:rPr>
              <w:t>月</w:t>
            </w:r>
          </w:p>
        </w:tc>
        <w:tc>
          <w:tcPr>
            <w:tcW w:w="905" w:type="pct"/>
            <w:gridSpan w:val="7"/>
            <w:tcBorders>
              <w:right w:val="single" w:color="auto" w:sz="4" w:space="0"/>
            </w:tcBorders>
            <w:noWrap w:val="0"/>
            <w:vAlign w:val="center"/>
          </w:tcPr>
          <w:p>
            <w:pPr>
              <w:pStyle w:val="28"/>
              <w:rPr>
                <w:rFonts w:ascii="Times New Roman" w:hAnsi="Times New Roman" w:cs="Times New Roman"/>
              </w:rPr>
            </w:pPr>
            <w:r>
              <w:rPr>
                <w:rFonts w:ascii="Times New Roman" w:hAnsi="Times New Roman" w:cs="Times New Roman"/>
              </w:rPr>
              <w:t>设计水平年</w:t>
            </w:r>
          </w:p>
        </w:tc>
        <w:tc>
          <w:tcPr>
            <w:tcW w:w="643" w:type="pct"/>
            <w:gridSpan w:val="2"/>
            <w:tcBorders>
              <w:left w:val="single" w:color="auto" w:sz="4" w:space="0"/>
            </w:tcBorders>
            <w:noWrap w:val="0"/>
            <w:vAlign w:val="center"/>
          </w:tcPr>
          <w:p>
            <w:pPr>
              <w:pStyle w:val="28"/>
              <w:rPr>
                <w:rFonts w:ascii="Times New Roman" w:hAnsi="Times New Roman" w:cs="Times New Roman"/>
              </w:rPr>
            </w:pPr>
            <w:r>
              <w:rPr>
                <w:rFonts w:ascii="Times New Roman" w:hAnsi="Times New Roman" w:cs="Times New Roman"/>
              </w:rPr>
              <w:t>2026</w:t>
            </w:r>
            <w:r>
              <w:rPr>
                <w:rFonts w:hint="eastAsia" w:ascii="Times New Roman" w:hAnsi="Times New Roman" w:cs="Times New Roman"/>
              </w:rPr>
              <w:t>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1089" w:type="pct"/>
            <w:gridSpan w:val="5"/>
            <w:tcBorders>
              <w:right w:val="single" w:color="auto" w:sz="4" w:space="0"/>
            </w:tcBorders>
            <w:noWrap w:val="0"/>
            <w:vAlign w:val="center"/>
          </w:tcPr>
          <w:p>
            <w:pPr>
              <w:pStyle w:val="28"/>
              <w:rPr>
                <w:rFonts w:ascii="Times New Roman" w:hAnsi="Times New Roman" w:cs="Times New Roman"/>
              </w:rPr>
            </w:pPr>
            <w:r>
              <w:rPr>
                <w:rFonts w:ascii="Times New Roman" w:hAnsi="Times New Roman" w:cs="Times New Roman"/>
              </w:rPr>
              <w:t>工程占地（hm</w:t>
            </w:r>
            <w:r>
              <w:rPr>
                <w:rFonts w:ascii="Times New Roman" w:hAnsi="Times New Roman" w:cs="Times New Roman"/>
                <w:vertAlign w:val="superscript"/>
              </w:rPr>
              <w:t>2</w:t>
            </w:r>
            <w:r>
              <w:rPr>
                <w:rFonts w:ascii="Times New Roman" w:hAnsi="Times New Roman" w:cs="Times New Roman"/>
              </w:rPr>
              <w:t>）（hm</w:t>
            </w:r>
            <w:r>
              <w:rPr>
                <w:rFonts w:ascii="Times New Roman" w:hAnsi="Times New Roman" w:cs="Times New Roman"/>
                <w:vertAlign w:val="superscript"/>
              </w:rPr>
              <w:t>2</w:t>
            </w:r>
            <w:r>
              <w:rPr>
                <w:rFonts w:ascii="Times New Roman" w:hAnsi="Times New Roman" w:cs="Times New Roman"/>
              </w:rPr>
              <w:t>）</w:t>
            </w:r>
          </w:p>
        </w:tc>
        <w:tc>
          <w:tcPr>
            <w:tcW w:w="743" w:type="pct"/>
            <w:gridSpan w:val="4"/>
            <w:tcBorders>
              <w:left w:val="single" w:color="auto" w:sz="4" w:space="0"/>
            </w:tcBorders>
            <w:noWrap w:val="0"/>
            <w:vAlign w:val="center"/>
          </w:tcPr>
          <w:p>
            <w:pPr>
              <w:pStyle w:val="28"/>
              <w:rPr>
                <w:rFonts w:hint="eastAsia" w:ascii="Times New Roman" w:hAnsi="Times New Roman" w:cs="Times New Roman"/>
              </w:rPr>
            </w:pPr>
            <w:r>
              <w:rPr>
                <w:rFonts w:hint="eastAsia" w:ascii="Times New Roman" w:hAnsi="Times New Roman" w:cs="Times New Roman"/>
              </w:rPr>
              <w:t>10.23</w:t>
            </w:r>
          </w:p>
        </w:tc>
        <w:tc>
          <w:tcPr>
            <w:tcW w:w="890" w:type="pct"/>
            <w:gridSpan w:val="5"/>
            <w:noWrap w:val="0"/>
            <w:vAlign w:val="center"/>
          </w:tcPr>
          <w:p>
            <w:pPr>
              <w:pStyle w:val="28"/>
              <w:rPr>
                <w:rFonts w:ascii="Times New Roman" w:hAnsi="Times New Roman" w:cs="Times New Roman"/>
              </w:rPr>
            </w:pPr>
            <w:r>
              <w:rPr>
                <w:rFonts w:ascii="Times New Roman" w:hAnsi="Times New Roman" w:cs="Times New Roman"/>
              </w:rPr>
              <w:t>永久占地（hm</w:t>
            </w:r>
            <w:r>
              <w:rPr>
                <w:rFonts w:ascii="Times New Roman" w:hAnsi="Times New Roman" w:cs="Times New Roman"/>
                <w:vertAlign w:val="superscript"/>
              </w:rPr>
              <w:t>2</w:t>
            </w:r>
            <w:r>
              <w:rPr>
                <w:rFonts w:ascii="Times New Roman" w:hAnsi="Times New Roman" w:cs="Times New Roman"/>
              </w:rPr>
              <w:t>）</w:t>
            </w:r>
          </w:p>
        </w:tc>
        <w:tc>
          <w:tcPr>
            <w:tcW w:w="729" w:type="pct"/>
            <w:gridSpan w:val="5"/>
            <w:noWrap w:val="0"/>
            <w:vAlign w:val="center"/>
          </w:tcPr>
          <w:p>
            <w:pPr>
              <w:pStyle w:val="28"/>
              <w:rPr>
                <w:rFonts w:hint="eastAsia" w:ascii="Times New Roman" w:hAnsi="Times New Roman" w:cs="Times New Roman"/>
              </w:rPr>
            </w:pPr>
            <w:r>
              <w:rPr>
                <w:rFonts w:hint="eastAsia" w:ascii="Times New Roman" w:hAnsi="Times New Roman" w:cs="Times New Roman"/>
              </w:rPr>
              <w:t>2.10</w:t>
            </w:r>
          </w:p>
        </w:tc>
        <w:tc>
          <w:tcPr>
            <w:tcW w:w="905" w:type="pct"/>
            <w:gridSpan w:val="7"/>
            <w:tcBorders>
              <w:right w:val="single" w:color="auto" w:sz="4" w:space="0"/>
            </w:tcBorders>
            <w:noWrap w:val="0"/>
            <w:vAlign w:val="center"/>
          </w:tcPr>
          <w:p>
            <w:pPr>
              <w:pStyle w:val="28"/>
              <w:rPr>
                <w:rFonts w:ascii="Times New Roman" w:hAnsi="Times New Roman" w:cs="Times New Roman"/>
              </w:rPr>
            </w:pPr>
            <w:r>
              <w:rPr>
                <w:rFonts w:ascii="Times New Roman" w:hAnsi="Times New Roman" w:cs="Times New Roman"/>
              </w:rPr>
              <w:t>临时占地（hm</w:t>
            </w:r>
            <w:r>
              <w:rPr>
                <w:rFonts w:ascii="Times New Roman" w:hAnsi="Times New Roman" w:cs="Times New Roman"/>
                <w:vertAlign w:val="superscript"/>
              </w:rPr>
              <w:t>2</w:t>
            </w:r>
            <w:r>
              <w:rPr>
                <w:rFonts w:ascii="Times New Roman" w:hAnsi="Times New Roman" w:cs="Times New Roman"/>
              </w:rPr>
              <w:t>）</w:t>
            </w:r>
          </w:p>
        </w:tc>
        <w:tc>
          <w:tcPr>
            <w:tcW w:w="643" w:type="pct"/>
            <w:gridSpan w:val="2"/>
            <w:tcBorders>
              <w:left w:val="single" w:color="auto" w:sz="4" w:space="0"/>
            </w:tcBorders>
            <w:noWrap w:val="0"/>
            <w:vAlign w:val="center"/>
          </w:tcPr>
          <w:p>
            <w:pPr>
              <w:pStyle w:val="28"/>
              <w:rPr>
                <w:rFonts w:hint="eastAsia" w:ascii="Times New Roman" w:hAnsi="Times New Roman" w:cs="Times New Roman"/>
              </w:rPr>
            </w:pPr>
            <w:r>
              <w:rPr>
                <w:rFonts w:hint="eastAsia" w:ascii="Times New Roman" w:hAnsi="Times New Roman" w:cs="Times New Roman"/>
              </w:rPr>
              <w:t>8.13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1832" w:type="pct"/>
            <w:gridSpan w:val="9"/>
            <w:vMerge w:val="restart"/>
            <w:noWrap w:val="0"/>
            <w:vAlign w:val="center"/>
          </w:tcPr>
          <w:p>
            <w:pPr>
              <w:pStyle w:val="28"/>
              <w:rPr>
                <w:rFonts w:ascii="Times New Roman" w:hAnsi="Times New Roman" w:cs="Times New Roman"/>
              </w:rPr>
            </w:pPr>
            <w:r>
              <w:rPr>
                <w:rFonts w:ascii="Times New Roman" w:hAnsi="Times New Roman" w:cs="Times New Roman"/>
              </w:rPr>
              <w:t>土石方量（万m</w:t>
            </w:r>
            <w:r>
              <w:rPr>
                <w:rFonts w:ascii="Times New Roman" w:hAnsi="Times New Roman" w:cs="Times New Roman"/>
                <w:vertAlign w:val="superscript"/>
              </w:rPr>
              <w:t>3</w:t>
            </w:r>
            <w:r>
              <w:rPr>
                <w:rFonts w:ascii="Times New Roman" w:hAnsi="Times New Roman" w:cs="Times New Roman"/>
              </w:rPr>
              <w:t>）</w:t>
            </w:r>
          </w:p>
        </w:tc>
        <w:tc>
          <w:tcPr>
            <w:tcW w:w="890" w:type="pct"/>
            <w:gridSpan w:val="5"/>
            <w:noWrap w:val="0"/>
            <w:vAlign w:val="center"/>
          </w:tcPr>
          <w:p>
            <w:pPr>
              <w:pStyle w:val="28"/>
              <w:rPr>
                <w:rFonts w:ascii="Times New Roman" w:hAnsi="Times New Roman" w:cs="Times New Roman"/>
              </w:rPr>
            </w:pPr>
            <w:r>
              <w:rPr>
                <w:rFonts w:ascii="Times New Roman" w:hAnsi="Times New Roman" w:cs="Times New Roman"/>
              </w:rPr>
              <w:t>挖方</w:t>
            </w:r>
          </w:p>
        </w:tc>
        <w:tc>
          <w:tcPr>
            <w:tcW w:w="729" w:type="pct"/>
            <w:gridSpan w:val="5"/>
            <w:noWrap w:val="0"/>
            <w:vAlign w:val="center"/>
          </w:tcPr>
          <w:p>
            <w:pPr>
              <w:pStyle w:val="28"/>
              <w:rPr>
                <w:rFonts w:ascii="Times New Roman" w:hAnsi="Times New Roman" w:cs="Times New Roman"/>
              </w:rPr>
            </w:pPr>
            <w:r>
              <w:rPr>
                <w:rFonts w:ascii="Times New Roman" w:hAnsi="Times New Roman" w:cs="Times New Roman"/>
              </w:rPr>
              <w:t>填方</w:t>
            </w:r>
          </w:p>
        </w:tc>
        <w:tc>
          <w:tcPr>
            <w:tcW w:w="905" w:type="pct"/>
            <w:gridSpan w:val="7"/>
            <w:noWrap w:val="0"/>
            <w:vAlign w:val="center"/>
          </w:tcPr>
          <w:p>
            <w:pPr>
              <w:pStyle w:val="28"/>
              <w:rPr>
                <w:rFonts w:ascii="Times New Roman" w:hAnsi="Times New Roman" w:cs="Times New Roman"/>
              </w:rPr>
            </w:pPr>
            <w:r>
              <w:rPr>
                <w:rFonts w:ascii="Times New Roman" w:hAnsi="Times New Roman" w:cs="Times New Roman"/>
              </w:rPr>
              <w:t>借方</w:t>
            </w:r>
          </w:p>
        </w:tc>
        <w:tc>
          <w:tcPr>
            <w:tcW w:w="643" w:type="pct"/>
            <w:gridSpan w:val="2"/>
            <w:noWrap w:val="0"/>
            <w:vAlign w:val="center"/>
          </w:tcPr>
          <w:p>
            <w:pPr>
              <w:pStyle w:val="28"/>
              <w:rPr>
                <w:rFonts w:ascii="Times New Roman" w:hAnsi="Times New Roman" w:cs="Times New Roman"/>
              </w:rPr>
            </w:pPr>
            <w:r>
              <w:rPr>
                <w:rFonts w:ascii="Times New Roman" w:hAnsi="Times New Roman" w:cs="Times New Roman"/>
              </w:rPr>
              <w:t>余方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1832" w:type="pct"/>
            <w:gridSpan w:val="9"/>
            <w:vMerge w:val="continue"/>
            <w:noWrap w:val="0"/>
            <w:vAlign w:val="center"/>
          </w:tcPr>
          <w:p>
            <w:pPr>
              <w:pStyle w:val="28"/>
              <w:rPr>
                <w:rFonts w:ascii="Times New Roman" w:hAnsi="Times New Roman" w:cs="Times New Roman"/>
              </w:rPr>
            </w:pPr>
          </w:p>
        </w:tc>
        <w:tc>
          <w:tcPr>
            <w:tcW w:w="890" w:type="pct"/>
            <w:gridSpan w:val="5"/>
            <w:noWrap w:val="0"/>
            <w:vAlign w:val="center"/>
          </w:tcPr>
          <w:p>
            <w:pPr>
              <w:pStyle w:val="28"/>
              <w:rPr>
                <w:rFonts w:hint="eastAsia" w:ascii="Times New Roman" w:hAnsi="Times New Roman" w:cs="Times New Roman"/>
              </w:rPr>
            </w:pPr>
            <w:r>
              <w:rPr>
                <w:rFonts w:hint="eastAsia" w:ascii="Times New Roman" w:hAnsi="Times New Roman" w:cs="Times New Roman"/>
              </w:rPr>
              <w:t>1.79</w:t>
            </w:r>
          </w:p>
        </w:tc>
        <w:tc>
          <w:tcPr>
            <w:tcW w:w="729" w:type="pct"/>
            <w:gridSpan w:val="5"/>
            <w:noWrap w:val="0"/>
            <w:vAlign w:val="center"/>
          </w:tcPr>
          <w:p>
            <w:pPr>
              <w:pStyle w:val="28"/>
              <w:rPr>
                <w:rFonts w:hint="eastAsia" w:ascii="Times New Roman" w:hAnsi="Times New Roman" w:cs="Times New Roman"/>
              </w:rPr>
            </w:pPr>
            <w:r>
              <w:rPr>
                <w:rFonts w:hint="eastAsia" w:ascii="Times New Roman" w:hAnsi="Times New Roman" w:cs="Times New Roman"/>
              </w:rPr>
              <w:t>1.79</w:t>
            </w:r>
          </w:p>
        </w:tc>
        <w:tc>
          <w:tcPr>
            <w:tcW w:w="905" w:type="pct"/>
            <w:gridSpan w:val="7"/>
            <w:noWrap w:val="0"/>
            <w:vAlign w:val="center"/>
          </w:tcPr>
          <w:p>
            <w:pPr>
              <w:pStyle w:val="28"/>
              <w:rPr>
                <w:rFonts w:ascii="Times New Roman" w:hAnsi="Times New Roman" w:cs="Times New Roman"/>
              </w:rPr>
            </w:pPr>
            <w:r>
              <w:rPr>
                <w:rFonts w:hint="eastAsia" w:ascii="Times New Roman" w:hAnsi="Times New Roman" w:cs="Times New Roman"/>
              </w:rPr>
              <w:t>0</w:t>
            </w:r>
          </w:p>
        </w:tc>
        <w:tc>
          <w:tcPr>
            <w:tcW w:w="643" w:type="pct"/>
            <w:gridSpan w:val="2"/>
            <w:noWrap w:val="0"/>
            <w:vAlign w:val="center"/>
          </w:tcPr>
          <w:p>
            <w:pPr>
              <w:pStyle w:val="28"/>
              <w:rPr>
                <w:rFonts w:ascii="Times New Roman" w:hAnsi="Times New Roman" w:cs="Times New Roman"/>
              </w:rPr>
            </w:pPr>
            <w:r>
              <w:rPr>
                <w:rFonts w:hint="eastAsia" w:ascii="Times New Roman" w:hAnsi="Times New Roman" w:cs="Times New Roman"/>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1016" w:type="pct"/>
            <w:gridSpan w:val="4"/>
            <w:tcBorders>
              <w:right w:val="single" w:color="auto" w:sz="4" w:space="0"/>
            </w:tcBorders>
            <w:noWrap w:val="0"/>
            <w:vAlign w:val="center"/>
          </w:tcPr>
          <w:p>
            <w:pPr>
              <w:pStyle w:val="28"/>
              <w:rPr>
                <w:rFonts w:ascii="Times New Roman" w:hAnsi="Times New Roman" w:cs="Times New Roman"/>
              </w:rPr>
            </w:pPr>
            <w:r>
              <w:rPr>
                <w:rFonts w:ascii="Times New Roman" w:hAnsi="Times New Roman" w:cs="Times New Roman"/>
              </w:rPr>
              <w:t>重点防治区名称</w:t>
            </w:r>
          </w:p>
        </w:tc>
        <w:tc>
          <w:tcPr>
            <w:tcW w:w="3984" w:type="pct"/>
            <w:gridSpan w:val="24"/>
            <w:tcBorders>
              <w:left w:val="single" w:color="auto" w:sz="4" w:space="0"/>
            </w:tcBorders>
            <w:noWrap w:val="0"/>
            <w:vAlign w:val="center"/>
          </w:tcPr>
          <w:p>
            <w:pPr>
              <w:pStyle w:val="28"/>
              <w:rPr>
                <w:rFonts w:ascii="Times New Roman" w:hAnsi="Times New Roman" w:cs="Times New Roman"/>
              </w:rPr>
            </w:pPr>
            <w:r>
              <w:rPr>
                <w:rFonts w:ascii="Times New Roman" w:hAnsi="Times New Roman" w:cs="Times New Roman"/>
              </w:rPr>
              <w:t>三峡库区国家级水土流失重点治理区、重庆市水土流失重点预防区和治理区、</w:t>
            </w:r>
            <w:r>
              <w:rPr>
                <w:rFonts w:hint="eastAsia" w:ascii="Times New Roman" w:hAnsi="Times New Roman" w:cs="Times New Roman"/>
              </w:rPr>
              <w:t>巴南区水土流失重点预防区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1459" w:type="pct"/>
            <w:gridSpan w:val="7"/>
            <w:noWrap w:val="0"/>
            <w:vAlign w:val="center"/>
          </w:tcPr>
          <w:p>
            <w:pPr>
              <w:pStyle w:val="28"/>
              <w:rPr>
                <w:rFonts w:ascii="Times New Roman" w:hAnsi="Times New Roman" w:cs="Times New Roman"/>
              </w:rPr>
            </w:pPr>
            <w:r>
              <w:rPr>
                <w:rFonts w:ascii="Times New Roman" w:hAnsi="Times New Roman" w:cs="Times New Roman"/>
              </w:rPr>
              <w:t>地貌类型</w:t>
            </w:r>
          </w:p>
        </w:tc>
        <w:tc>
          <w:tcPr>
            <w:tcW w:w="1075" w:type="pct"/>
            <w:gridSpan w:val="5"/>
            <w:noWrap w:val="0"/>
            <w:vAlign w:val="center"/>
          </w:tcPr>
          <w:p>
            <w:pPr>
              <w:pStyle w:val="28"/>
              <w:rPr>
                <w:rFonts w:hint="eastAsia" w:ascii="Times New Roman" w:hAnsi="Times New Roman" w:cs="Times New Roman"/>
              </w:rPr>
            </w:pPr>
            <w:r>
              <w:rPr>
                <w:rFonts w:ascii="Times New Roman" w:hAnsi="Times New Roman" w:cs="Times New Roman"/>
              </w:rPr>
              <w:t>丘陵地貌</w:t>
            </w:r>
          </w:p>
        </w:tc>
        <w:tc>
          <w:tcPr>
            <w:tcW w:w="1188" w:type="pct"/>
            <w:gridSpan w:val="9"/>
            <w:noWrap w:val="0"/>
            <w:vAlign w:val="center"/>
          </w:tcPr>
          <w:p>
            <w:pPr>
              <w:pStyle w:val="28"/>
              <w:rPr>
                <w:rFonts w:ascii="Times New Roman" w:hAnsi="Times New Roman" w:cs="Times New Roman"/>
              </w:rPr>
            </w:pPr>
            <w:r>
              <w:rPr>
                <w:rFonts w:ascii="Times New Roman" w:hAnsi="Times New Roman" w:cs="Times New Roman"/>
              </w:rPr>
              <w:t>水土保持区划</w:t>
            </w:r>
          </w:p>
        </w:tc>
        <w:tc>
          <w:tcPr>
            <w:tcW w:w="1278" w:type="pct"/>
            <w:gridSpan w:val="7"/>
            <w:noWrap w:val="0"/>
            <w:vAlign w:val="center"/>
          </w:tcPr>
          <w:p>
            <w:pPr>
              <w:pStyle w:val="28"/>
              <w:rPr>
                <w:rFonts w:ascii="Times New Roman" w:hAnsi="Times New Roman" w:cs="Times New Roman"/>
              </w:rPr>
            </w:pPr>
            <w:r>
              <w:rPr>
                <w:rFonts w:ascii="Times New Roman" w:hAnsi="Times New Roman" w:cs="Times New Roman"/>
              </w:rPr>
              <w:t>西南紫色土区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1459" w:type="pct"/>
            <w:gridSpan w:val="7"/>
            <w:noWrap w:val="0"/>
            <w:vAlign w:val="center"/>
          </w:tcPr>
          <w:p>
            <w:pPr>
              <w:pStyle w:val="28"/>
              <w:rPr>
                <w:rFonts w:ascii="Times New Roman" w:hAnsi="Times New Roman" w:cs="Times New Roman"/>
              </w:rPr>
            </w:pPr>
            <w:r>
              <w:rPr>
                <w:rFonts w:ascii="Times New Roman" w:hAnsi="Times New Roman" w:cs="Times New Roman"/>
              </w:rPr>
              <w:t>土壤侵蚀类型</w:t>
            </w:r>
          </w:p>
        </w:tc>
        <w:tc>
          <w:tcPr>
            <w:tcW w:w="1075" w:type="pct"/>
            <w:gridSpan w:val="5"/>
            <w:noWrap w:val="0"/>
            <w:vAlign w:val="center"/>
          </w:tcPr>
          <w:p>
            <w:pPr>
              <w:pStyle w:val="28"/>
              <w:rPr>
                <w:rFonts w:ascii="Times New Roman" w:hAnsi="Times New Roman" w:cs="Times New Roman"/>
              </w:rPr>
            </w:pPr>
            <w:r>
              <w:rPr>
                <w:rFonts w:ascii="Times New Roman" w:hAnsi="Times New Roman" w:cs="Times New Roman"/>
              </w:rPr>
              <w:t>水力侵蚀</w:t>
            </w:r>
          </w:p>
        </w:tc>
        <w:tc>
          <w:tcPr>
            <w:tcW w:w="1188" w:type="pct"/>
            <w:gridSpan w:val="9"/>
            <w:noWrap w:val="0"/>
            <w:vAlign w:val="center"/>
          </w:tcPr>
          <w:p>
            <w:pPr>
              <w:pStyle w:val="28"/>
              <w:rPr>
                <w:rFonts w:ascii="Times New Roman" w:hAnsi="Times New Roman" w:cs="Times New Roman"/>
              </w:rPr>
            </w:pPr>
            <w:r>
              <w:rPr>
                <w:rFonts w:ascii="Times New Roman" w:hAnsi="Times New Roman" w:cs="Times New Roman"/>
              </w:rPr>
              <w:t>土壤侵蚀强度</w:t>
            </w:r>
          </w:p>
        </w:tc>
        <w:tc>
          <w:tcPr>
            <w:tcW w:w="1278" w:type="pct"/>
            <w:gridSpan w:val="7"/>
            <w:noWrap w:val="0"/>
            <w:vAlign w:val="center"/>
          </w:tcPr>
          <w:p>
            <w:pPr>
              <w:pStyle w:val="28"/>
              <w:rPr>
                <w:rFonts w:ascii="Times New Roman" w:hAnsi="Times New Roman" w:cs="Times New Roman"/>
              </w:rPr>
            </w:pPr>
            <w:r>
              <w:rPr>
                <w:rFonts w:ascii="Times New Roman" w:hAnsi="Times New Roman" w:cs="Times New Roman"/>
              </w:rPr>
              <w:t>轻度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1459" w:type="pct"/>
            <w:gridSpan w:val="7"/>
            <w:tcBorders>
              <w:right w:val="single" w:color="auto" w:sz="4" w:space="0"/>
            </w:tcBorders>
            <w:noWrap w:val="0"/>
            <w:vAlign w:val="center"/>
          </w:tcPr>
          <w:p>
            <w:pPr>
              <w:pStyle w:val="28"/>
              <w:rPr>
                <w:rFonts w:ascii="Times New Roman" w:hAnsi="Times New Roman" w:cs="Times New Roman"/>
              </w:rPr>
            </w:pPr>
            <w:r>
              <w:rPr>
                <w:rFonts w:ascii="Times New Roman" w:hAnsi="Times New Roman" w:cs="Times New Roman"/>
              </w:rPr>
              <w:t>防治责任范围面积（hm</w:t>
            </w:r>
            <w:r>
              <w:rPr>
                <w:rFonts w:ascii="Times New Roman" w:hAnsi="Times New Roman" w:cs="Times New Roman"/>
                <w:vertAlign w:val="superscript"/>
              </w:rPr>
              <w:t>2</w:t>
            </w:r>
            <w:r>
              <w:rPr>
                <w:rFonts w:ascii="Times New Roman" w:hAnsi="Times New Roman" w:cs="Times New Roman"/>
              </w:rPr>
              <w:t>）</w:t>
            </w:r>
          </w:p>
        </w:tc>
        <w:tc>
          <w:tcPr>
            <w:tcW w:w="1075" w:type="pct"/>
            <w:gridSpan w:val="5"/>
            <w:tcBorders>
              <w:left w:val="single" w:color="auto" w:sz="4" w:space="0"/>
            </w:tcBorders>
            <w:noWrap w:val="0"/>
            <w:vAlign w:val="center"/>
          </w:tcPr>
          <w:p>
            <w:pPr>
              <w:pStyle w:val="28"/>
              <w:rPr>
                <w:rFonts w:hint="eastAsia" w:ascii="Times New Roman" w:hAnsi="Times New Roman" w:cs="Times New Roman"/>
              </w:rPr>
            </w:pPr>
            <w:r>
              <w:rPr>
                <w:rFonts w:hint="eastAsia" w:ascii="Times New Roman" w:hAnsi="Times New Roman" w:cs="Times New Roman"/>
              </w:rPr>
              <w:t>10.23</w:t>
            </w:r>
          </w:p>
        </w:tc>
        <w:tc>
          <w:tcPr>
            <w:tcW w:w="1461" w:type="pct"/>
            <w:gridSpan w:val="12"/>
            <w:noWrap w:val="0"/>
            <w:vAlign w:val="center"/>
          </w:tcPr>
          <w:p>
            <w:pPr>
              <w:pStyle w:val="28"/>
              <w:rPr>
                <w:rFonts w:ascii="Times New Roman" w:hAnsi="Times New Roman" w:cs="Times New Roman"/>
              </w:rPr>
            </w:pPr>
            <w:r>
              <w:rPr>
                <w:rFonts w:ascii="Times New Roman" w:hAnsi="Times New Roman" w:cs="Times New Roman"/>
              </w:rPr>
              <w:t>容许土壤流失量[t/(km</w:t>
            </w:r>
            <w:r>
              <w:rPr>
                <w:rFonts w:ascii="Times New Roman" w:hAnsi="Times New Roman" w:cs="Times New Roman"/>
                <w:vertAlign w:val="superscript"/>
              </w:rPr>
              <w:t>2</w:t>
            </w:r>
            <w:r>
              <w:rPr>
                <w:rFonts w:ascii="Times New Roman" w:hAnsi="Times New Roman" w:cs="Times New Roman"/>
              </w:rPr>
              <w:t>·a)]</w:t>
            </w:r>
          </w:p>
        </w:tc>
        <w:tc>
          <w:tcPr>
            <w:tcW w:w="1005" w:type="pct"/>
            <w:gridSpan w:val="4"/>
            <w:noWrap w:val="0"/>
            <w:vAlign w:val="center"/>
          </w:tcPr>
          <w:p>
            <w:pPr>
              <w:pStyle w:val="28"/>
              <w:rPr>
                <w:rFonts w:ascii="Times New Roman" w:hAnsi="Times New Roman" w:cs="Times New Roman"/>
              </w:rPr>
            </w:pPr>
            <w:r>
              <w:rPr>
                <w:rFonts w:ascii="Times New Roman" w:hAnsi="Times New Roman" w:cs="Times New Roman"/>
              </w:rPr>
              <w:t>500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1459" w:type="pct"/>
            <w:gridSpan w:val="7"/>
            <w:noWrap w:val="0"/>
            <w:vAlign w:val="center"/>
          </w:tcPr>
          <w:p>
            <w:pPr>
              <w:pStyle w:val="28"/>
              <w:rPr>
                <w:rFonts w:ascii="Times New Roman" w:hAnsi="Times New Roman" w:cs="Times New Roman"/>
              </w:rPr>
            </w:pPr>
            <w:r>
              <w:rPr>
                <w:rFonts w:ascii="Times New Roman" w:hAnsi="Times New Roman" w:cs="Times New Roman"/>
              </w:rPr>
              <w:t>土壤流失预测总</w:t>
            </w:r>
            <w:r>
              <w:rPr>
                <w:rFonts w:ascii="Times New Roman" w:hAnsi="Times New Roman" w:cs="Times New Roman"/>
                <w:spacing w:val="-20"/>
              </w:rPr>
              <w:t>量（t）</w:t>
            </w:r>
          </w:p>
        </w:tc>
        <w:tc>
          <w:tcPr>
            <w:tcW w:w="1075" w:type="pct"/>
            <w:gridSpan w:val="5"/>
            <w:noWrap w:val="0"/>
            <w:vAlign w:val="center"/>
          </w:tcPr>
          <w:p>
            <w:pPr>
              <w:pStyle w:val="28"/>
              <w:rPr>
                <w:rFonts w:ascii="Times New Roman" w:hAnsi="Times New Roman" w:cs="Times New Roman"/>
              </w:rPr>
            </w:pPr>
            <w:r>
              <w:rPr>
                <w:rFonts w:hint="eastAsia" w:ascii="Times New Roman" w:hAnsi="Times New Roman" w:cs="Times New Roman"/>
              </w:rPr>
              <w:t>560</w:t>
            </w:r>
          </w:p>
        </w:tc>
        <w:tc>
          <w:tcPr>
            <w:tcW w:w="1461" w:type="pct"/>
            <w:gridSpan w:val="12"/>
            <w:noWrap w:val="0"/>
            <w:vAlign w:val="center"/>
          </w:tcPr>
          <w:p>
            <w:pPr>
              <w:pStyle w:val="28"/>
              <w:rPr>
                <w:rFonts w:ascii="Times New Roman" w:hAnsi="Times New Roman" w:cs="Times New Roman"/>
              </w:rPr>
            </w:pPr>
            <w:r>
              <w:rPr>
                <w:rFonts w:ascii="Times New Roman" w:hAnsi="Times New Roman" w:cs="Times New Roman"/>
              </w:rPr>
              <w:t>新增土壤流失量（t）</w:t>
            </w:r>
          </w:p>
        </w:tc>
        <w:tc>
          <w:tcPr>
            <w:tcW w:w="1005" w:type="pct"/>
            <w:gridSpan w:val="4"/>
            <w:noWrap w:val="0"/>
            <w:vAlign w:val="center"/>
          </w:tcPr>
          <w:p>
            <w:pPr>
              <w:pStyle w:val="28"/>
              <w:rPr>
                <w:rFonts w:ascii="Times New Roman" w:hAnsi="Times New Roman" w:cs="Times New Roman"/>
              </w:rPr>
            </w:pPr>
            <w:r>
              <w:rPr>
                <w:rFonts w:hint="eastAsia" w:ascii="Times New Roman" w:hAnsi="Times New Roman" w:cs="Times New Roman"/>
              </w:rPr>
              <w:t>302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1016" w:type="pct"/>
            <w:gridSpan w:val="4"/>
            <w:noWrap w:val="0"/>
            <w:vAlign w:val="center"/>
          </w:tcPr>
          <w:p>
            <w:pPr>
              <w:pStyle w:val="28"/>
              <w:rPr>
                <w:rFonts w:ascii="Times New Roman" w:hAnsi="Times New Roman" w:cs="Times New Roman"/>
              </w:rPr>
            </w:pPr>
            <w:r>
              <w:rPr>
                <w:rFonts w:ascii="Times New Roman" w:hAnsi="Times New Roman" w:cs="Times New Roman"/>
              </w:rPr>
              <w:t>水土流失防治标准执行等级</w:t>
            </w:r>
          </w:p>
        </w:tc>
        <w:tc>
          <w:tcPr>
            <w:tcW w:w="3984" w:type="pct"/>
            <w:gridSpan w:val="24"/>
            <w:noWrap w:val="0"/>
            <w:vAlign w:val="center"/>
          </w:tcPr>
          <w:p>
            <w:pPr>
              <w:pStyle w:val="28"/>
              <w:rPr>
                <w:rFonts w:ascii="Times New Roman" w:hAnsi="Times New Roman" w:cs="Times New Roman"/>
              </w:rPr>
            </w:pPr>
            <w:r>
              <w:rPr>
                <w:rFonts w:ascii="Times New Roman" w:hAnsi="Times New Roman" w:cs="Times New Roman"/>
              </w:rPr>
              <w:t>西南紫色土区建设类项目一级标准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1016" w:type="pct"/>
            <w:gridSpan w:val="4"/>
            <w:vMerge w:val="restart"/>
            <w:noWrap w:val="0"/>
            <w:vAlign w:val="center"/>
          </w:tcPr>
          <w:p>
            <w:pPr>
              <w:pStyle w:val="28"/>
              <w:rPr>
                <w:rFonts w:ascii="Times New Roman" w:hAnsi="Times New Roman" w:cs="Times New Roman"/>
              </w:rPr>
            </w:pPr>
            <w:r>
              <w:rPr>
                <w:rFonts w:ascii="Times New Roman" w:hAnsi="Times New Roman" w:cs="Times New Roman"/>
              </w:rPr>
              <w:t>防治指标</w:t>
            </w:r>
          </w:p>
        </w:tc>
        <w:tc>
          <w:tcPr>
            <w:tcW w:w="1051" w:type="pct"/>
            <w:gridSpan w:val="6"/>
            <w:tcBorders>
              <w:right w:val="single" w:color="auto" w:sz="4" w:space="0"/>
            </w:tcBorders>
            <w:noWrap w:val="0"/>
            <w:vAlign w:val="center"/>
          </w:tcPr>
          <w:p>
            <w:pPr>
              <w:pStyle w:val="28"/>
              <w:rPr>
                <w:rFonts w:ascii="Times New Roman" w:hAnsi="Times New Roman" w:cs="Times New Roman"/>
              </w:rPr>
            </w:pPr>
            <w:r>
              <w:rPr>
                <w:rFonts w:ascii="Times New Roman" w:hAnsi="Times New Roman" w:cs="Times New Roman"/>
              </w:rPr>
              <w:t>水土流失治理度(%)</w:t>
            </w:r>
          </w:p>
        </w:tc>
        <w:tc>
          <w:tcPr>
            <w:tcW w:w="467" w:type="pct"/>
            <w:gridSpan w:val="2"/>
            <w:tcBorders>
              <w:left w:val="single" w:color="auto" w:sz="4" w:space="0"/>
            </w:tcBorders>
            <w:noWrap w:val="0"/>
            <w:vAlign w:val="center"/>
          </w:tcPr>
          <w:p>
            <w:pPr>
              <w:pStyle w:val="28"/>
              <w:rPr>
                <w:rFonts w:ascii="Times New Roman" w:hAnsi="Times New Roman" w:cs="Times New Roman"/>
              </w:rPr>
            </w:pPr>
            <w:r>
              <w:rPr>
                <w:rFonts w:ascii="Times New Roman" w:hAnsi="Times New Roman" w:cs="Times New Roman"/>
              </w:rPr>
              <w:t>97</w:t>
            </w:r>
          </w:p>
        </w:tc>
        <w:tc>
          <w:tcPr>
            <w:tcW w:w="1461" w:type="pct"/>
            <w:gridSpan w:val="12"/>
            <w:noWrap w:val="0"/>
            <w:vAlign w:val="center"/>
          </w:tcPr>
          <w:p>
            <w:pPr>
              <w:pStyle w:val="28"/>
              <w:rPr>
                <w:rFonts w:ascii="Times New Roman" w:hAnsi="Times New Roman" w:cs="Times New Roman"/>
              </w:rPr>
            </w:pPr>
            <w:r>
              <w:rPr>
                <w:rFonts w:ascii="Times New Roman" w:hAnsi="Times New Roman" w:cs="Times New Roman"/>
              </w:rPr>
              <w:t>土壤流失控制比</w:t>
            </w:r>
          </w:p>
        </w:tc>
        <w:tc>
          <w:tcPr>
            <w:tcW w:w="1005" w:type="pct"/>
            <w:gridSpan w:val="4"/>
            <w:noWrap w:val="0"/>
            <w:vAlign w:val="center"/>
          </w:tcPr>
          <w:p>
            <w:pPr>
              <w:pStyle w:val="28"/>
              <w:rPr>
                <w:rFonts w:ascii="Times New Roman" w:hAnsi="Times New Roman" w:cs="Times New Roman"/>
              </w:rPr>
            </w:pPr>
            <w:r>
              <w:rPr>
                <w:rFonts w:ascii="Times New Roman" w:hAnsi="Times New Roman" w:cs="Times New Roman"/>
              </w:rPr>
              <w:t>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1016" w:type="pct"/>
            <w:gridSpan w:val="4"/>
            <w:vMerge w:val="continue"/>
            <w:noWrap w:val="0"/>
            <w:vAlign w:val="center"/>
          </w:tcPr>
          <w:p>
            <w:pPr>
              <w:pStyle w:val="28"/>
              <w:rPr>
                <w:rFonts w:ascii="Times New Roman" w:hAnsi="Times New Roman" w:cs="Times New Roman"/>
              </w:rPr>
            </w:pPr>
          </w:p>
        </w:tc>
        <w:tc>
          <w:tcPr>
            <w:tcW w:w="1051" w:type="pct"/>
            <w:gridSpan w:val="6"/>
            <w:tcBorders>
              <w:right w:val="single" w:color="auto" w:sz="4" w:space="0"/>
            </w:tcBorders>
            <w:noWrap w:val="0"/>
            <w:vAlign w:val="center"/>
          </w:tcPr>
          <w:p>
            <w:pPr>
              <w:pStyle w:val="28"/>
              <w:rPr>
                <w:rFonts w:ascii="Times New Roman" w:hAnsi="Times New Roman" w:cs="Times New Roman"/>
              </w:rPr>
            </w:pPr>
            <w:r>
              <w:rPr>
                <w:rFonts w:ascii="Times New Roman" w:hAnsi="Times New Roman" w:cs="Times New Roman"/>
              </w:rPr>
              <w:t>渣土防护率(%)</w:t>
            </w:r>
          </w:p>
        </w:tc>
        <w:tc>
          <w:tcPr>
            <w:tcW w:w="467" w:type="pct"/>
            <w:gridSpan w:val="2"/>
            <w:tcBorders>
              <w:left w:val="single" w:color="auto" w:sz="4" w:space="0"/>
            </w:tcBorders>
            <w:noWrap w:val="0"/>
            <w:vAlign w:val="center"/>
          </w:tcPr>
          <w:p>
            <w:pPr>
              <w:pStyle w:val="28"/>
              <w:rPr>
                <w:rFonts w:hint="eastAsia" w:ascii="Times New Roman" w:hAnsi="Times New Roman" w:cs="Times New Roman"/>
              </w:rPr>
            </w:pPr>
            <w:r>
              <w:rPr>
                <w:rFonts w:ascii="Times New Roman" w:hAnsi="Times New Roman" w:cs="Times New Roman"/>
              </w:rPr>
              <w:t>9</w:t>
            </w:r>
            <w:r>
              <w:rPr>
                <w:rFonts w:hint="eastAsia" w:ascii="Times New Roman" w:hAnsi="Times New Roman" w:cs="Times New Roman"/>
              </w:rPr>
              <w:t>4</w:t>
            </w:r>
          </w:p>
        </w:tc>
        <w:tc>
          <w:tcPr>
            <w:tcW w:w="1461" w:type="pct"/>
            <w:gridSpan w:val="12"/>
            <w:noWrap w:val="0"/>
            <w:vAlign w:val="center"/>
          </w:tcPr>
          <w:p>
            <w:pPr>
              <w:pStyle w:val="28"/>
              <w:rPr>
                <w:rFonts w:ascii="Times New Roman" w:hAnsi="Times New Roman" w:cs="Times New Roman"/>
              </w:rPr>
            </w:pPr>
            <w:r>
              <w:rPr>
                <w:rFonts w:ascii="Times New Roman" w:hAnsi="Times New Roman" w:cs="Times New Roman"/>
              </w:rPr>
              <w:t>表土保护率（%）</w:t>
            </w:r>
          </w:p>
        </w:tc>
        <w:tc>
          <w:tcPr>
            <w:tcW w:w="1005" w:type="pct"/>
            <w:gridSpan w:val="4"/>
            <w:noWrap w:val="0"/>
            <w:vAlign w:val="center"/>
          </w:tcPr>
          <w:p>
            <w:pPr>
              <w:pStyle w:val="28"/>
              <w:rPr>
                <w:rFonts w:ascii="Times New Roman" w:hAnsi="Times New Roman" w:cs="Times New Roman"/>
              </w:rPr>
            </w:pPr>
            <w:r>
              <w:rPr>
                <w:rFonts w:ascii="Times New Roman" w:hAnsi="Times New Roman" w:cs="Times New Roman"/>
              </w:rPr>
              <w:t>92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1016" w:type="pct"/>
            <w:gridSpan w:val="4"/>
            <w:vMerge w:val="continue"/>
            <w:noWrap w:val="0"/>
            <w:vAlign w:val="center"/>
          </w:tcPr>
          <w:p>
            <w:pPr>
              <w:pStyle w:val="28"/>
              <w:rPr>
                <w:rFonts w:ascii="Times New Roman" w:hAnsi="Times New Roman" w:cs="Times New Roman"/>
              </w:rPr>
            </w:pPr>
          </w:p>
        </w:tc>
        <w:tc>
          <w:tcPr>
            <w:tcW w:w="1051" w:type="pct"/>
            <w:gridSpan w:val="6"/>
            <w:tcBorders>
              <w:right w:val="single" w:color="auto" w:sz="4" w:space="0"/>
            </w:tcBorders>
            <w:noWrap w:val="0"/>
            <w:vAlign w:val="center"/>
          </w:tcPr>
          <w:p>
            <w:pPr>
              <w:pStyle w:val="28"/>
              <w:rPr>
                <w:rFonts w:ascii="Times New Roman" w:hAnsi="Times New Roman" w:cs="Times New Roman"/>
              </w:rPr>
            </w:pPr>
            <w:r>
              <w:rPr>
                <w:rFonts w:ascii="Times New Roman" w:hAnsi="Times New Roman" w:cs="Times New Roman"/>
              </w:rPr>
              <w:t>林草植被恢复率(%)</w:t>
            </w:r>
          </w:p>
        </w:tc>
        <w:tc>
          <w:tcPr>
            <w:tcW w:w="467" w:type="pct"/>
            <w:gridSpan w:val="2"/>
            <w:tcBorders>
              <w:left w:val="single" w:color="auto" w:sz="4" w:space="0"/>
            </w:tcBorders>
            <w:noWrap w:val="0"/>
            <w:vAlign w:val="center"/>
          </w:tcPr>
          <w:p>
            <w:pPr>
              <w:pStyle w:val="28"/>
              <w:rPr>
                <w:rFonts w:ascii="Times New Roman" w:hAnsi="Times New Roman" w:cs="Times New Roman"/>
              </w:rPr>
            </w:pPr>
            <w:r>
              <w:rPr>
                <w:rFonts w:ascii="Times New Roman" w:hAnsi="Times New Roman" w:cs="Times New Roman"/>
              </w:rPr>
              <w:t>97</w:t>
            </w:r>
          </w:p>
        </w:tc>
        <w:tc>
          <w:tcPr>
            <w:tcW w:w="1461" w:type="pct"/>
            <w:gridSpan w:val="12"/>
            <w:noWrap w:val="0"/>
            <w:vAlign w:val="center"/>
          </w:tcPr>
          <w:p>
            <w:pPr>
              <w:pStyle w:val="28"/>
              <w:rPr>
                <w:rFonts w:ascii="Times New Roman" w:hAnsi="Times New Roman" w:cs="Times New Roman"/>
              </w:rPr>
            </w:pPr>
            <w:r>
              <w:rPr>
                <w:rFonts w:ascii="Times New Roman" w:hAnsi="Times New Roman" w:cs="Times New Roman"/>
              </w:rPr>
              <w:t>林草覆盖率（%）</w:t>
            </w:r>
          </w:p>
        </w:tc>
        <w:tc>
          <w:tcPr>
            <w:tcW w:w="1005" w:type="pct"/>
            <w:gridSpan w:val="4"/>
            <w:noWrap w:val="0"/>
            <w:vAlign w:val="center"/>
          </w:tcPr>
          <w:p>
            <w:pPr>
              <w:pStyle w:val="28"/>
              <w:rPr>
                <w:rFonts w:hint="eastAsia" w:ascii="Times New Roman" w:hAnsi="Times New Roman" w:cs="Times New Roman"/>
              </w:rPr>
            </w:pPr>
            <w:r>
              <w:rPr>
                <w:rFonts w:ascii="Times New Roman" w:hAnsi="Times New Roman" w:cs="Times New Roman"/>
              </w:rPr>
              <w:t>2</w:t>
            </w:r>
            <w:r>
              <w:rPr>
                <w:rFonts w:hint="eastAsia" w:ascii="Times New Roman" w:hAnsi="Times New Roman" w:cs="Times New Roman"/>
              </w:rPr>
              <w:t>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278" w:type="pct"/>
            <w:vMerge w:val="restart"/>
            <w:noWrap w:val="0"/>
            <w:vAlign w:val="center"/>
          </w:tcPr>
          <w:p>
            <w:pPr>
              <w:pStyle w:val="28"/>
              <w:rPr>
                <w:rFonts w:ascii="Times New Roman" w:hAnsi="Times New Roman" w:cs="Times New Roman"/>
              </w:rPr>
            </w:pPr>
            <w:r>
              <w:rPr>
                <w:rFonts w:ascii="Times New Roman" w:hAnsi="Times New Roman" w:cs="Times New Roman"/>
              </w:rPr>
              <w:t>防治措施及工程量</w:t>
            </w:r>
          </w:p>
        </w:tc>
        <w:tc>
          <w:tcPr>
            <w:tcW w:w="738" w:type="pct"/>
            <w:gridSpan w:val="3"/>
            <w:tcBorders>
              <w:top w:val="single" w:color="auto" w:sz="4" w:space="0"/>
              <w:right w:val="single" w:color="auto" w:sz="4" w:space="0"/>
            </w:tcBorders>
            <w:noWrap w:val="0"/>
            <w:vAlign w:val="center"/>
          </w:tcPr>
          <w:p>
            <w:pPr>
              <w:pStyle w:val="28"/>
              <w:rPr>
                <w:rFonts w:ascii="Times New Roman" w:hAnsi="Times New Roman" w:cs="Times New Roman"/>
              </w:rPr>
            </w:pPr>
            <w:r>
              <w:rPr>
                <w:rFonts w:ascii="Times New Roman" w:hAnsi="Times New Roman" w:cs="Times New Roman"/>
              </w:rPr>
              <w:t>防治分区</w:t>
            </w:r>
          </w:p>
        </w:tc>
        <w:tc>
          <w:tcPr>
            <w:tcW w:w="1407" w:type="pct"/>
            <w:gridSpan w:val="7"/>
            <w:tcBorders>
              <w:top w:val="single" w:color="auto" w:sz="4" w:space="0"/>
              <w:left w:val="single" w:color="auto" w:sz="4" w:space="0"/>
              <w:right w:val="single" w:color="auto" w:sz="4" w:space="0"/>
            </w:tcBorders>
            <w:noWrap w:val="0"/>
            <w:vAlign w:val="center"/>
          </w:tcPr>
          <w:p>
            <w:pPr>
              <w:pStyle w:val="28"/>
              <w:rPr>
                <w:rFonts w:ascii="Times New Roman" w:hAnsi="Times New Roman" w:cs="Times New Roman"/>
              </w:rPr>
            </w:pPr>
            <w:r>
              <w:rPr>
                <w:rFonts w:ascii="Times New Roman" w:hAnsi="Times New Roman" w:cs="Times New Roman"/>
              </w:rPr>
              <w:t>工程措施</w:t>
            </w:r>
          </w:p>
        </w:tc>
        <w:tc>
          <w:tcPr>
            <w:tcW w:w="1337" w:type="pct"/>
            <w:gridSpan w:val="11"/>
            <w:tcBorders>
              <w:left w:val="single" w:color="auto" w:sz="4" w:space="0"/>
            </w:tcBorders>
            <w:noWrap w:val="0"/>
            <w:vAlign w:val="center"/>
          </w:tcPr>
          <w:p>
            <w:pPr>
              <w:pStyle w:val="28"/>
              <w:rPr>
                <w:rFonts w:ascii="Times New Roman" w:hAnsi="Times New Roman" w:cs="Times New Roman"/>
              </w:rPr>
            </w:pPr>
            <w:r>
              <w:rPr>
                <w:rFonts w:ascii="Times New Roman" w:hAnsi="Times New Roman" w:cs="Times New Roman"/>
              </w:rPr>
              <w:t>植物措施</w:t>
            </w:r>
          </w:p>
        </w:tc>
        <w:tc>
          <w:tcPr>
            <w:tcW w:w="1240" w:type="pct"/>
            <w:gridSpan w:val="6"/>
            <w:noWrap w:val="0"/>
            <w:vAlign w:val="center"/>
          </w:tcPr>
          <w:p>
            <w:pPr>
              <w:pStyle w:val="28"/>
              <w:rPr>
                <w:rFonts w:ascii="Times New Roman" w:hAnsi="Times New Roman" w:cs="Times New Roman"/>
              </w:rPr>
            </w:pPr>
            <w:r>
              <w:rPr>
                <w:rFonts w:ascii="Times New Roman" w:hAnsi="Times New Roman" w:cs="Times New Roman"/>
              </w:rPr>
              <w:t>临时措施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278" w:type="pct"/>
            <w:vMerge w:val="continue"/>
            <w:noWrap w:val="0"/>
            <w:vAlign w:val="center"/>
          </w:tcPr>
          <w:p>
            <w:pPr>
              <w:pStyle w:val="28"/>
              <w:rPr>
                <w:rFonts w:ascii="Times New Roman" w:hAnsi="Times New Roman" w:cs="Times New Roman"/>
              </w:rPr>
            </w:pPr>
          </w:p>
        </w:tc>
        <w:tc>
          <w:tcPr>
            <w:tcW w:w="738" w:type="pct"/>
            <w:gridSpan w:val="3"/>
            <w:tcBorders>
              <w:right w:val="single" w:color="auto" w:sz="4" w:space="0"/>
            </w:tcBorders>
            <w:noWrap w:val="0"/>
            <w:vAlign w:val="center"/>
          </w:tcPr>
          <w:p>
            <w:pPr>
              <w:pStyle w:val="28"/>
              <w:rPr>
                <w:rFonts w:hint="eastAsia" w:ascii="Times New Roman" w:hAnsi="Times New Roman" w:cs="Times New Roman"/>
              </w:rPr>
            </w:pPr>
            <w:r>
              <w:rPr>
                <w:rFonts w:hint="eastAsia" w:ascii="Times New Roman" w:hAnsi="Times New Roman" w:cs="Times New Roman"/>
              </w:rPr>
              <w:t>塔基工程区</w:t>
            </w:r>
          </w:p>
        </w:tc>
        <w:tc>
          <w:tcPr>
            <w:tcW w:w="1407" w:type="pct"/>
            <w:gridSpan w:val="7"/>
            <w:tcBorders>
              <w:left w:val="single" w:color="auto" w:sz="4" w:space="0"/>
              <w:right w:val="single" w:color="auto" w:sz="4" w:space="0"/>
            </w:tcBorders>
            <w:noWrap w:val="0"/>
            <w:vAlign w:val="center"/>
          </w:tcPr>
          <w:p>
            <w:pPr>
              <w:pStyle w:val="28"/>
              <w:rPr>
                <w:rFonts w:ascii="Times New Roman" w:hAnsi="Times New Roman" w:cs="Times New Roman"/>
              </w:rPr>
            </w:pPr>
            <w:r>
              <w:rPr>
                <w:rFonts w:ascii="Times New Roman" w:hAnsi="Times New Roman" w:cs="Times New Roman"/>
              </w:rPr>
              <w:t>主体设计：表土剥离</w:t>
            </w:r>
            <w:r>
              <w:rPr>
                <w:rFonts w:hint="eastAsia" w:ascii="Times New Roman" w:hAnsi="Times New Roman" w:cs="Times New Roman"/>
              </w:rPr>
              <w:t>276</w:t>
            </w:r>
            <w:r>
              <w:rPr>
                <w:rFonts w:ascii="Times New Roman" w:hAnsi="Times New Roman" w:cs="Times New Roman"/>
              </w:rPr>
              <w:t>m</w:t>
            </w:r>
            <w:r>
              <w:rPr>
                <w:rFonts w:ascii="Times New Roman" w:hAnsi="Times New Roman" w:cs="Times New Roman"/>
                <w:vertAlign w:val="superscript"/>
              </w:rPr>
              <w:t>3</w:t>
            </w:r>
            <w:r>
              <w:rPr>
                <w:rFonts w:ascii="Times New Roman" w:hAnsi="Times New Roman" w:cs="Times New Roman"/>
              </w:rPr>
              <w:t>，</w:t>
            </w:r>
            <w:r>
              <w:rPr>
                <w:rFonts w:hint="eastAsia" w:ascii="Times New Roman" w:hAnsi="Times New Roman" w:cs="Times New Roman"/>
              </w:rPr>
              <w:t>表土回覆276</w:t>
            </w:r>
            <w:r>
              <w:rPr>
                <w:rFonts w:ascii="Times New Roman" w:hAnsi="Times New Roman" w:cs="Times New Roman"/>
              </w:rPr>
              <w:t>m</w:t>
            </w:r>
            <w:r>
              <w:rPr>
                <w:rFonts w:ascii="Times New Roman" w:hAnsi="Times New Roman" w:cs="Times New Roman"/>
                <w:vertAlign w:val="superscript"/>
              </w:rPr>
              <w:t>3</w:t>
            </w:r>
            <w:r>
              <w:rPr>
                <w:rFonts w:ascii="Times New Roman" w:hAnsi="Times New Roman" w:cs="Times New Roman"/>
              </w:rPr>
              <w:t>，排水沟</w:t>
            </w:r>
            <w:r>
              <w:rPr>
                <w:rFonts w:hint="eastAsia" w:ascii="Times New Roman" w:hAnsi="Times New Roman" w:cs="Times New Roman"/>
              </w:rPr>
              <w:t>50</w:t>
            </w:r>
            <w:r>
              <w:rPr>
                <w:rFonts w:ascii="Times New Roman" w:hAnsi="Times New Roman" w:cs="Times New Roman"/>
              </w:rPr>
              <w:t>m，</w:t>
            </w:r>
            <w:r>
              <w:rPr>
                <w:rFonts w:hint="eastAsia" w:ascii="Times New Roman" w:hAnsi="Times New Roman" w:cs="Times New Roman"/>
              </w:rPr>
              <w:t>挡土坎66m，</w:t>
            </w:r>
            <w:r>
              <w:rPr>
                <w:rFonts w:ascii="Times New Roman" w:hAnsi="Times New Roman" w:cs="Times New Roman"/>
              </w:rPr>
              <w:t>土地整治</w:t>
            </w:r>
            <w:r>
              <w:rPr>
                <w:rFonts w:hint="eastAsia" w:ascii="Times New Roman" w:hAnsi="Times New Roman" w:cs="Times New Roman"/>
              </w:rPr>
              <w:t>7.16</w:t>
            </w:r>
            <w:r>
              <w:rPr>
                <w:rFonts w:ascii="Times New Roman" w:hAnsi="Times New Roman" w:cs="Times New Roman"/>
              </w:rPr>
              <w:t>hm</w:t>
            </w:r>
            <w:r>
              <w:rPr>
                <w:rFonts w:ascii="Times New Roman" w:hAnsi="Times New Roman" w:cs="Times New Roman"/>
                <w:vertAlign w:val="superscript"/>
              </w:rPr>
              <w:t>2</w:t>
            </w:r>
            <w:r>
              <w:rPr>
                <w:rFonts w:ascii="Times New Roman" w:hAnsi="Times New Roman" w:cs="Times New Roman"/>
              </w:rPr>
              <w:t>。</w:t>
            </w:r>
          </w:p>
          <w:p>
            <w:pPr>
              <w:pStyle w:val="28"/>
              <w:rPr>
                <w:rFonts w:ascii="Times New Roman" w:hAnsi="Times New Roman" w:cs="Times New Roman"/>
              </w:rPr>
            </w:pPr>
            <w:r>
              <w:rPr>
                <w:rFonts w:ascii="Times New Roman" w:hAnsi="Times New Roman" w:cs="Times New Roman"/>
              </w:rPr>
              <w:t>方案新增：</w:t>
            </w:r>
            <w:r>
              <w:rPr>
                <w:rFonts w:hint="eastAsia" w:ascii="Times New Roman" w:hAnsi="Times New Roman" w:cs="Times New Roman"/>
              </w:rPr>
              <w:t>无</w:t>
            </w:r>
            <w:r>
              <w:rPr>
                <w:rFonts w:ascii="Times New Roman" w:hAnsi="Times New Roman" w:cs="Times New Roman"/>
              </w:rPr>
              <w:t>。</w:t>
            </w:r>
          </w:p>
        </w:tc>
        <w:tc>
          <w:tcPr>
            <w:tcW w:w="1337" w:type="pct"/>
            <w:gridSpan w:val="11"/>
            <w:tcBorders>
              <w:left w:val="single" w:color="auto" w:sz="4" w:space="0"/>
            </w:tcBorders>
            <w:noWrap w:val="0"/>
            <w:vAlign w:val="center"/>
          </w:tcPr>
          <w:p>
            <w:pPr>
              <w:pStyle w:val="28"/>
              <w:rPr>
                <w:rFonts w:ascii="Times New Roman" w:hAnsi="Times New Roman" w:cs="Times New Roman"/>
              </w:rPr>
            </w:pPr>
            <w:r>
              <w:rPr>
                <w:rFonts w:ascii="Times New Roman" w:hAnsi="Times New Roman" w:cs="Times New Roman"/>
              </w:rPr>
              <w:t>主体设计：撒播草籽</w:t>
            </w:r>
            <w:r>
              <w:rPr>
                <w:rFonts w:hint="eastAsia" w:ascii="Times New Roman" w:hAnsi="Times New Roman" w:cs="Times New Roman"/>
              </w:rPr>
              <w:t>5.86</w:t>
            </w:r>
            <w:r>
              <w:rPr>
                <w:rFonts w:ascii="Times New Roman" w:hAnsi="Times New Roman" w:cs="Times New Roman"/>
              </w:rPr>
              <w:t>hm</w:t>
            </w:r>
            <w:r>
              <w:rPr>
                <w:rFonts w:ascii="Times New Roman" w:hAnsi="Times New Roman" w:cs="Times New Roman"/>
                <w:vertAlign w:val="superscript"/>
              </w:rPr>
              <w:t>2</w:t>
            </w:r>
            <w:r>
              <w:rPr>
                <w:rFonts w:ascii="Times New Roman" w:hAnsi="Times New Roman" w:cs="Times New Roman"/>
              </w:rPr>
              <w:t>。</w:t>
            </w:r>
          </w:p>
          <w:p>
            <w:pPr>
              <w:pStyle w:val="28"/>
              <w:rPr>
                <w:rFonts w:ascii="Times New Roman" w:hAnsi="Times New Roman" w:cs="Times New Roman"/>
              </w:rPr>
            </w:pPr>
            <w:r>
              <w:rPr>
                <w:rFonts w:ascii="Times New Roman" w:hAnsi="Times New Roman" w:cs="Times New Roman"/>
              </w:rPr>
              <w:t>方案新增：</w:t>
            </w:r>
            <w:r>
              <w:rPr>
                <w:rFonts w:hint="eastAsia" w:ascii="Times New Roman" w:hAnsi="Times New Roman" w:cs="Times New Roman"/>
              </w:rPr>
              <w:t>无</w:t>
            </w:r>
            <w:r>
              <w:rPr>
                <w:rFonts w:ascii="Times New Roman" w:hAnsi="Times New Roman" w:cs="Times New Roman"/>
              </w:rPr>
              <w:t>。</w:t>
            </w:r>
          </w:p>
        </w:tc>
        <w:tc>
          <w:tcPr>
            <w:tcW w:w="1240" w:type="pct"/>
            <w:gridSpan w:val="6"/>
            <w:noWrap w:val="0"/>
            <w:vAlign w:val="center"/>
          </w:tcPr>
          <w:p>
            <w:pPr>
              <w:pStyle w:val="28"/>
              <w:rPr>
                <w:rFonts w:ascii="Times New Roman" w:hAnsi="Times New Roman" w:cs="Times New Roman"/>
              </w:rPr>
            </w:pPr>
            <w:r>
              <w:rPr>
                <w:rFonts w:ascii="Times New Roman" w:hAnsi="Times New Roman" w:cs="Times New Roman"/>
              </w:rPr>
              <w:t>主体设计：</w:t>
            </w:r>
            <w:r>
              <w:rPr>
                <w:rFonts w:hint="eastAsia" w:ascii="Times New Roman" w:hAnsi="Times New Roman" w:cs="Times New Roman"/>
              </w:rPr>
              <w:t>无。</w:t>
            </w:r>
          </w:p>
          <w:p>
            <w:pPr>
              <w:pStyle w:val="28"/>
              <w:rPr>
                <w:rFonts w:ascii="Times New Roman" w:hAnsi="Times New Roman" w:cs="Times New Roman"/>
                <w:vertAlign w:val="superscript"/>
              </w:rPr>
            </w:pPr>
            <w:r>
              <w:rPr>
                <w:rFonts w:ascii="Times New Roman" w:hAnsi="Times New Roman" w:cs="Times New Roman"/>
              </w:rPr>
              <w:t>方案新增：临时拦挡</w:t>
            </w:r>
            <w:r>
              <w:rPr>
                <w:rFonts w:hint="eastAsia" w:ascii="Times New Roman" w:hAnsi="Times New Roman" w:cs="Times New Roman"/>
              </w:rPr>
              <w:t>276</w:t>
            </w:r>
            <w:r>
              <w:rPr>
                <w:rFonts w:ascii="Times New Roman" w:hAnsi="Times New Roman" w:cs="Times New Roman"/>
              </w:rPr>
              <w:t>m，临时覆盖</w:t>
            </w:r>
            <w:r>
              <w:rPr>
                <w:rFonts w:hint="eastAsia" w:ascii="Times New Roman" w:hAnsi="Times New Roman" w:cs="Times New Roman"/>
              </w:rPr>
              <w:t>300</w:t>
            </w:r>
            <w:r>
              <w:rPr>
                <w:rFonts w:ascii="Times New Roman" w:hAnsi="Times New Roman" w:cs="Times New Roman"/>
              </w:rPr>
              <w:t>00m</w:t>
            </w:r>
            <w:r>
              <w:rPr>
                <w:rFonts w:ascii="Times New Roman" w:hAnsi="Times New Roman" w:cs="Times New Roman"/>
                <w:vertAlign w:val="superscript"/>
              </w:rPr>
              <w:t>2</w:t>
            </w:r>
            <w:r>
              <w:rPr>
                <w:rFonts w:ascii="Times New Roman" w:hAnsi="Times New Roman" w:cs="Times New Roma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278" w:type="pct"/>
            <w:vMerge w:val="continue"/>
            <w:noWrap w:val="0"/>
            <w:vAlign w:val="center"/>
          </w:tcPr>
          <w:p>
            <w:pPr>
              <w:pStyle w:val="28"/>
              <w:rPr>
                <w:rFonts w:ascii="Times New Roman" w:hAnsi="Times New Roman" w:cs="Times New Roman"/>
              </w:rPr>
            </w:pPr>
          </w:p>
        </w:tc>
        <w:tc>
          <w:tcPr>
            <w:tcW w:w="738" w:type="pct"/>
            <w:gridSpan w:val="3"/>
            <w:tcBorders>
              <w:right w:val="single" w:color="auto" w:sz="4" w:space="0"/>
            </w:tcBorders>
            <w:noWrap w:val="0"/>
            <w:vAlign w:val="center"/>
          </w:tcPr>
          <w:p>
            <w:pPr>
              <w:pStyle w:val="28"/>
              <w:rPr>
                <w:rFonts w:ascii="Times New Roman" w:hAnsi="Times New Roman" w:cs="Times New Roman"/>
              </w:rPr>
            </w:pPr>
            <w:r>
              <w:rPr>
                <w:rFonts w:hint="eastAsia" w:ascii="Times New Roman" w:hAnsi="Times New Roman" w:cs="Times New Roman"/>
              </w:rPr>
              <w:t>牵张场区</w:t>
            </w:r>
          </w:p>
        </w:tc>
        <w:tc>
          <w:tcPr>
            <w:tcW w:w="1407" w:type="pct"/>
            <w:gridSpan w:val="7"/>
            <w:tcBorders>
              <w:left w:val="single" w:color="auto" w:sz="4" w:space="0"/>
              <w:right w:val="single" w:color="auto" w:sz="4" w:space="0"/>
            </w:tcBorders>
            <w:noWrap w:val="0"/>
            <w:vAlign w:val="center"/>
          </w:tcPr>
          <w:p>
            <w:pPr>
              <w:pStyle w:val="28"/>
              <w:rPr>
                <w:rFonts w:ascii="Times New Roman" w:hAnsi="Times New Roman" w:cs="Times New Roman"/>
                <w:kern w:val="0"/>
              </w:rPr>
            </w:pPr>
            <w:r>
              <w:rPr>
                <w:rFonts w:ascii="Times New Roman" w:hAnsi="Times New Roman" w:cs="Times New Roman"/>
                <w:kern w:val="0"/>
              </w:rPr>
              <w:t>主体设计：</w:t>
            </w:r>
            <w:r>
              <w:rPr>
                <w:rFonts w:ascii="Times New Roman" w:hAnsi="Times New Roman" w:cs="Times New Roman"/>
              </w:rPr>
              <w:t>土地整治</w:t>
            </w:r>
            <w:r>
              <w:rPr>
                <w:rFonts w:hint="eastAsia" w:ascii="Times New Roman" w:hAnsi="Times New Roman" w:cs="Times New Roman"/>
              </w:rPr>
              <w:t>0.6</w:t>
            </w:r>
            <w:r>
              <w:rPr>
                <w:rFonts w:ascii="Times New Roman" w:hAnsi="Times New Roman" w:cs="Times New Roman"/>
              </w:rPr>
              <w:t>hm</w:t>
            </w:r>
            <w:r>
              <w:rPr>
                <w:rFonts w:ascii="Times New Roman" w:hAnsi="Times New Roman" w:cs="Times New Roman"/>
                <w:vertAlign w:val="superscript"/>
              </w:rPr>
              <w:t>2</w:t>
            </w:r>
            <w:r>
              <w:rPr>
                <w:rFonts w:ascii="Times New Roman" w:hAnsi="Times New Roman" w:cs="Times New Roman"/>
                <w:kern w:val="0"/>
              </w:rPr>
              <w:t>。</w:t>
            </w:r>
          </w:p>
          <w:p>
            <w:pPr>
              <w:pStyle w:val="28"/>
              <w:rPr>
                <w:rFonts w:ascii="Times New Roman" w:hAnsi="Times New Roman" w:cs="Times New Roman"/>
                <w:kern w:val="0"/>
              </w:rPr>
            </w:pPr>
            <w:r>
              <w:rPr>
                <w:rFonts w:ascii="Times New Roman" w:hAnsi="Times New Roman" w:cs="Times New Roman"/>
              </w:rPr>
              <w:t>方案新增：</w:t>
            </w:r>
            <w:r>
              <w:rPr>
                <w:rFonts w:hint="eastAsia" w:ascii="Times New Roman" w:hAnsi="Times New Roman" w:cs="Times New Roman"/>
              </w:rPr>
              <w:t>无</w:t>
            </w:r>
            <w:r>
              <w:rPr>
                <w:rFonts w:ascii="Times New Roman" w:hAnsi="Times New Roman" w:cs="Times New Roman"/>
              </w:rPr>
              <w:t>。</w:t>
            </w:r>
          </w:p>
        </w:tc>
        <w:tc>
          <w:tcPr>
            <w:tcW w:w="1337" w:type="pct"/>
            <w:gridSpan w:val="11"/>
            <w:tcBorders>
              <w:left w:val="single" w:color="auto" w:sz="4" w:space="0"/>
            </w:tcBorders>
            <w:noWrap w:val="0"/>
            <w:vAlign w:val="center"/>
          </w:tcPr>
          <w:p>
            <w:pPr>
              <w:pStyle w:val="28"/>
              <w:rPr>
                <w:rFonts w:ascii="Times New Roman" w:hAnsi="Times New Roman" w:cs="Times New Roman"/>
                <w:kern w:val="0"/>
              </w:rPr>
            </w:pPr>
            <w:r>
              <w:rPr>
                <w:rFonts w:ascii="Times New Roman" w:hAnsi="Times New Roman" w:cs="Times New Roman"/>
                <w:kern w:val="0"/>
              </w:rPr>
              <w:t>主体设计：</w:t>
            </w:r>
            <w:r>
              <w:rPr>
                <w:rFonts w:ascii="Times New Roman" w:hAnsi="Times New Roman" w:cs="Times New Roman"/>
              </w:rPr>
              <w:t>撒播草籽</w:t>
            </w:r>
            <w:r>
              <w:rPr>
                <w:rFonts w:hint="eastAsia" w:ascii="Times New Roman" w:hAnsi="Times New Roman" w:cs="Times New Roman"/>
              </w:rPr>
              <w:t>0.32</w:t>
            </w:r>
            <w:r>
              <w:rPr>
                <w:rFonts w:ascii="Times New Roman" w:hAnsi="Times New Roman" w:cs="Times New Roman"/>
              </w:rPr>
              <w:t>hm</w:t>
            </w:r>
            <w:r>
              <w:rPr>
                <w:rFonts w:ascii="Times New Roman" w:hAnsi="Times New Roman" w:cs="Times New Roman"/>
                <w:vertAlign w:val="superscript"/>
              </w:rPr>
              <w:t>2</w:t>
            </w:r>
            <w:r>
              <w:rPr>
                <w:rFonts w:hint="eastAsia" w:ascii="Times New Roman" w:hAnsi="Times New Roman" w:cs="Times New Roman"/>
              </w:rPr>
              <w:t>，</w:t>
            </w:r>
            <w:r>
              <w:rPr>
                <w:rFonts w:ascii="Times New Roman" w:hAnsi="Times New Roman" w:cs="Times New Roman"/>
              </w:rPr>
              <w:t>栽植灌木</w:t>
            </w:r>
            <w:r>
              <w:rPr>
                <w:rFonts w:hint="eastAsia" w:ascii="Times New Roman" w:hAnsi="Times New Roman" w:cs="Times New Roman"/>
              </w:rPr>
              <w:t>400株</w:t>
            </w:r>
            <w:r>
              <w:rPr>
                <w:rFonts w:ascii="Times New Roman" w:hAnsi="Times New Roman" w:cs="Times New Roman"/>
                <w:kern w:val="0"/>
              </w:rPr>
              <w:t>。</w:t>
            </w:r>
          </w:p>
          <w:p>
            <w:pPr>
              <w:pStyle w:val="28"/>
              <w:rPr>
                <w:rFonts w:ascii="Times New Roman" w:hAnsi="Times New Roman" w:cs="Times New Roman"/>
              </w:rPr>
            </w:pPr>
            <w:r>
              <w:rPr>
                <w:rFonts w:ascii="Times New Roman" w:hAnsi="Times New Roman" w:cs="Times New Roman"/>
              </w:rPr>
              <w:t>方案新增：</w:t>
            </w:r>
            <w:r>
              <w:rPr>
                <w:rFonts w:hint="eastAsia" w:ascii="Times New Roman" w:hAnsi="Times New Roman" w:cs="Times New Roman"/>
              </w:rPr>
              <w:t>无</w:t>
            </w:r>
            <w:r>
              <w:rPr>
                <w:rFonts w:ascii="Times New Roman" w:hAnsi="Times New Roman" w:cs="Times New Roman"/>
              </w:rPr>
              <w:t>。</w:t>
            </w:r>
          </w:p>
        </w:tc>
        <w:tc>
          <w:tcPr>
            <w:tcW w:w="1240" w:type="pct"/>
            <w:gridSpan w:val="6"/>
            <w:noWrap w:val="0"/>
            <w:vAlign w:val="center"/>
          </w:tcPr>
          <w:p>
            <w:pPr>
              <w:pStyle w:val="28"/>
              <w:rPr>
                <w:rFonts w:ascii="Times New Roman" w:hAnsi="Times New Roman" w:cs="Times New Roman"/>
              </w:rPr>
            </w:pPr>
            <w:r>
              <w:rPr>
                <w:rFonts w:ascii="Times New Roman" w:hAnsi="Times New Roman" w:cs="Times New Roman"/>
              </w:rPr>
              <w:t>主体设计：</w:t>
            </w:r>
            <w:r>
              <w:rPr>
                <w:rFonts w:hint="eastAsia" w:ascii="Times New Roman" w:hAnsi="Times New Roman" w:cs="Times New Roman"/>
              </w:rPr>
              <w:t>无。</w:t>
            </w:r>
          </w:p>
          <w:p>
            <w:pPr>
              <w:pStyle w:val="28"/>
              <w:rPr>
                <w:rFonts w:hint="eastAsia" w:ascii="Times New Roman" w:hAnsi="Times New Roman" w:cs="Times New Roman"/>
                <w:kern w:val="0"/>
              </w:rPr>
            </w:pPr>
            <w:r>
              <w:rPr>
                <w:rFonts w:ascii="Times New Roman" w:hAnsi="Times New Roman" w:cs="Times New Roman"/>
                <w:kern w:val="0"/>
              </w:rPr>
              <w:t>方案新增：</w:t>
            </w:r>
            <w:r>
              <w:rPr>
                <w:rFonts w:ascii="Times New Roman" w:hAnsi="Times New Roman" w:cs="Times New Roman"/>
              </w:rPr>
              <w:t>铺垫彩条布</w:t>
            </w:r>
            <w:r>
              <w:rPr>
                <w:rFonts w:hint="eastAsia" w:ascii="Times New Roman" w:hAnsi="Times New Roman" w:cs="Times New Roman"/>
              </w:rPr>
              <w:t>15</w:t>
            </w:r>
            <w:r>
              <w:rPr>
                <w:rFonts w:ascii="Times New Roman" w:hAnsi="Times New Roman" w:cs="Times New Roman"/>
              </w:rPr>
              <w:t>00m</w:t>
            </w:r>
            <w:r>
              <w:rPr>
                <w:rFonts w:ascii="Times New Roman" w:hAnsi="Times New Roman" w:cs="Times New Roman"/>
                <w:vertAlign w:val="superscript"/>
              </w:rPr>
              <w:t>2</w:t>
            </w:r>
            <w:r>
              <w:rPr>
                <w:rFonts w:ascii="Times New Roman" w:hAnsi="Times New Roman" w:cs="Times New Roman"/>
                <w:kern w:val="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278" w:type="pct"/>
            <w:vMerge w:val="continue"/>
            <w:noWrap w:val="0"/>
            <w:vAlign w:val="center"/>
          </w:tcPr>
          <w:p>
            <w:pPr>
              <w:pStyle w:val="28"/>
              <w:rPr>
                <w:rFonts w:ascii="Times New Roman" w:hAnsi="Times New Roman" w:cs="Times New Roman"/>
              </w:rPr>
            </w:pPr>
          </w:p>
        </w:tc>
        <w:tc>
          <w:tcPr>
            <w:tcW w:w="738" w:type="pct"/>
            <w:gridSpan w:val="3"/>
            <w:tcBorders>
              <w:right w:val="single" w:color="auto" w:sz="4" w:space="0"/>
            </w:tcBorders>
            <w:noWrap w:val="0"/>
            <w:vAlign w:val="center"/>
          </w:tcPr>
          <w:p>
            <w:pPr>
              <w:pStyle w:val="28"/>
              <w:rPr>
                <w:rFonts w:hint="eastAsia" w:ascii="Times New Roman" w:hAnsi="Times New Roman" w:cs="Times New Roman"/>
              </w:rPr>
            </w:pPr>
            <w:r>
              <w:rPr>
                <w:rFonts w:hint="eastAsia" w:ascii="Times New Roman" w:hAnsi="Times New Roman" w:cs="Times New Roman"/>
              </w:rPr>
              <w:t>施工便道区</w:t>
            </w:r>
          </w:p>
        </w:tc>
        <w:tc>
          <w:tcPr>
            <w:tcW w:w="1407" w:type="pct"/>
            <w:gridSpan w:val="7"/>
            <w:tcBorders>
              <w:left w:val="single" w:color="auto" w:sz="4" w:space="0"/>
              <w:right w:val="single" w:color="auto" w:sz="4" w:space="0"/>
            </w:tcBorders>
            <w:noWrap w:val="0"/>
            <w:vAlign w:val="center"/>
          </w:tcPr>
          <w:p>
            <w:pPr>
              <w:pStyle w:val="28"/>
              <w:rPr>
                <w:rFonts w:ascii="Times New Roman" w:hAnsi="Times New Roman" w:cs="Times New Roman"/>
              </w:rPr>
            </w:pPr>
            <w:r>
              <w:rPr>
                <w:rFonts w:ascii="Times New Roman" w:hAnsi="Times New Roman" w:cs="Times New Roman"/>
              </w:rPr>
              <w:t>主体设计：表土剥离</w:t>
            </w:r>
            <w:r>
              <w:rPr>
                <w:rFonts w:hint="eastAsia" w:ascii="Times New Roman" w:hAnsi="Times New Roman" w:cs="Times New Roman"/>
              </w:rPr>
              <w:t>2579</w:t>
            </w:r>
            <w:r>
              <w:rPr>
                <w:rFonts w:ascii="Times New Roman" w:hAnsi="Times New Roman" w:cs="Times New Roman"/>
              </w:rPr>
              <w:t>m</w:t>
            </w:r>
            <w:r>
              <w:rPr>
                <w:rFonts w:ascii="Times New Roman" w:hAnsi="Times New Roman" w:cs="Times New Roman"/>
                <w:vertAlign w:val="superscript"/>
              </w:rPr>
              <w:t>3</w:t>
            </w:r>
            <w:r>
              <w:rPr>
                <w:rFonts w:ascii="Times New Roman" w:hAnsi="Times New Roman" w:cs="Times New Roman"/>
              </w:rPr>
              <w:t>，</w:t>
            </w:r>
            <w:r>
              <w:rPr>
                <w:rFonts w:hint="eastAsia" w:ascii="Times New Roman" w:hAnsi="Times New Roman" w:cs="Times New Roman"/>
              </w:rPr>
              <w:t>表土回覆2579</w:t>
            </w:r>
            <w:r>
              <w:rPr>
                <w:rFonts w:ascii="Times New Roman" w:hAnsi="Times New Roman" w:cs="Times New Roman"/>
              </w:rPr>
              <w:t>m</w:t>
            </w:r>
            <w:r>
              <w:rPr>
                <w:rFonts w:ascii="Times New Roman" w:hAnsi="Times New Roman" w:cs="Times New Roman"/>
                <w:vertAlign w:val="superscript"/>
              </w:rPr>
              <w:t>3</w:t>
            </w:r>
            <w:r>
              <w:rPr>
                <w:rFonts w:ascii="Times New Roman" w:hAnsi="Times New Roman" w:cs="Times New Roman"/>
              </w:rPr>
              <w:t>，土地整治</w:t>
            </w:r>
            <w:r>
              <w:rPr>
                <w:rFonts w:hint="eastAsia" w:ascii="Times New Roman" w:hAnsi="Times New Roman" w:cs="Times New Roman"/>
              </w:rPr>
              <w:t>2.3</w:t>
            </w:r>
            <w:r>
              <w:rPr>
                <w:rFonts w:ascii="Times New Roman" w:hAnsi="Times New Roman" w:cs="Times New Roman"/>
              </w:rPr>
              <w:t>hm</w:t>
            </w:r>
            <w:r>
              <w:rPr>
                <w:rFonts w:ascii="Times New Roman" w:hAnsi="Times New Roman" w:cs="Times New Roman"/>
                <w:vertAlign w:val="superscript"/>
              </w:rPr>
              <w:t>2</w:t>
            </w:r>
            <w:r>
              <w:rPr>
                <w:rFonts w:ascii="Times New Roman" w:hAnsi="Times New Roman" w:cs="Times New Roman"/>
              </w:rPr>
              <w:t>。</w:t>
            </w:r>
          </w:p>
          <w:p>
            <w:pPr>
              <w:pStyle w:val="28"/>
              <w:rPr>
                <w:rFonts w:ascii="Times New Roman" w:hAnsi="Times New Roman" w:cs="Times New Roman"/>
              </w:rPr>
            </w:pPr>
            <w:r>
              <w:rPr>
                <w:rFonts w:ascii="Times New Roman" w:hAnsi="Times New Roman" w:cs="Times New Roman"/>
              </w:rPr>
              <w:t>方案新增：</w:t>
            </w:r>
            <w:r>
              <w:rPr>
                <w:rFonts w:hint="eastAsia" w:ascii="Times New Roman" w:hAnsi="Times New Roman" w:cs="Times New Roman"/>
              </w:rPr>
              <w:t>无</w:t>
            </w:r>
            <w:r>
              <w:rPr>
                <w:rFonts w:ascii="Times New Roman" w:hAnsi="Times New Roman" w:cs="Times New Roman"/>
              </w:rPr>
              <w:t>。</w:t>
            </w:r>
          </w:p>
        </w:tc>
        <w:tc>
          <w:tcPr>
            <w:tcW w:w="1337" w:type="pct"/>
            <w:gridSpan w:val="11"/>
            <w:tcBorders>
              <w:left w:val="single" w:color="auto" w:sz="4" w:space="0"/>
            </w:tcBorders>
            <w:noWrap w:val="0"/>
            <w:vAlign w:val="center"/>
          </w:tcPr>
          <w:p>
            <w:pPr>
              <w:pStyle w:val="28"/>
              <w:rPr>
                <w:rFonts w:ascii="Times New Roman" w:hAnsi="Times New Roman" w:cs="Times New Roman"/>
              </w:rPr>
            </w:pPr>
            <w:r>
              <w:rPr>
                <w:rFonts w:ascii="Times New Roman" w:hAnsi="Times New Roman" w:cs="Times New Roman"/>
              </w:rPr>
              <w:t>主体设计：撒播草籽</w:t>
            </w:r>
            <w:r>
              <w:rPr>
                <w:rFonts w:hint="eastAsia" w:ascii="Times New Roman" w:hAnsi="Times New Roman" w:cs="Times New Roman"/>
              </w:rPr>
              <w:t>2.3</w:t>
            </w:r>
            <w:r>
              <w:rPr>
                <w:rFonts w:ascii="Times New Roman" w:hAnsi="Times New Roman" w:cs="Times New Roman"/>
              </w:rPr>
              <w:t>hm</w:t>
            </w:r>
            <w:r>
              <w:rPr>
                <w:rFonts w:ascii="Times New Roman" w:hAnsi="Times New Roman" w:cs="Times New Roman"/>
                <w:vertAlign w:val="superscript"/>
              </w:rPr>
              <w:t>2</w:t>
            </w:r>
            <w:r>
              <w:rPr>
                <w:rFonts w:ascii="Times New Roman" w:hAnsi="Times New Roman" w:cs="Times New Roman"/>
              </w:rPr>
              <w:t>，栽植灌木</w:t>
            </w:r>
            <w:r>
              <w:rPr>
                <w:rFonts w:hint="eastAsia" w:ascii="Times New Roman" w:hAnsi="Times New Roman" w:cs="Times New Roman"/>
              </w:rPr>
              <w:t>4675株，栽植乔木2805株</w:t>
            </w:r>
            <w:r>
              <w:rPr>
                <w:rFonts w:ascii="Times New Roman" w:hAnsi="Times New Roman" w:cs="Times New Roman"/>
              </w:rPr>
              <w:t>。</w:t>
            </w:r>
          </w:p>
          <w:p>
            <w:pPr>
              <w:pStyle w:val="28"/>
              <w:rPr>
                <w:rFonts w:hint="eastAsia" w:ascii="Times New Roman" w:hAnsi="Times New Roman" w:cs="Times New Roman"/>
              </w:rPr>
            </w:pPr>
            <w:r>
              <w:rPr>
                <w:rFonts w:ascii="Times New Roman" w:hAnsi="Times New Roman" w:cs="Times New Roman"/>
              </w:rPr>
              <w:t>方案新增：</w:t>
            </w:r>
            <w:r>
              <w:rPr>
                <w:rFonts w:hint="eastAsia" w:ascii="Times New Roman" w:hAnsi="Times New Roman" w:cs="Times New Roman"/>
              </w:rPr>
              <w:t>无</w:t>
            </w:r>
            <w:r>
              <w:rPr>
                <w:rFonts w:ascii="Times New Roman" w:hAnsi="Times New Roman" w:cs="Times New Roman"/>
              </w:rPr>
              <w:t>。</w:t>
            </w:r>
          </w:p>
        </w:tc>
        <w:tc>
          <w:tcPr>
            <w:tcW w:w="1240" w:type="pct"/>
            <w:gridSpan w:val="6"/>
            <w:noWrap w:val="0"/>
            <w:vAlign w:val="center"/>
          </w:tcPr>
          <w:p>
            <w:pPr>
              <w:pStyle w:val="28"/>
              <w:rPr>
                <w:rFonts w:ascii="Times New Roman" w:hAnsi="Times New Roman" w:cs="Times New Roman"/>
              </w:rPr>
            </w:pPr>
            <w:bookmarkStart w:id="0" w:name="OLE_LINK137"/>
            <w:r>
              <w:rPr>
                <w:rFonts w:ascii="Times New Roman" w:hAnsi="Times New Roman" w:cs="Times New Roman"/>
              </w:rPr>
              <w:t>主体设计：</w:t>
            </w:r>
            <w:r>
              <w:rPr>
                <w:rFonts w:hint="eastAsia" w:ascii="Times New Roman" w:hAnsi="Times New Roman" w:cs="Times New Roman"/>
              </w:rPr>
              <w:t>无。</w:t>
            </w:r>
          </w:p>
          <w:bookmarkEnd w:id="0"/>
          <w:p>
            <w:pPr>
              <w:pStyle w:val="28"/>
              <w:rPr>
                <w:rFonts w:ascii="Times New Roman" w:hAnsi="Times New Roman" w:cs="Times New Roman"/>
              </w:rPr>
            </w:pPr>
            <w:r>
              <w:rPr>
                <w:rFonts w:ascii="Times New Roman" w:hAnsi="Times New Roman" w:cs="Times New Roman"/>
              </w:rPr>
              <w:t>方案新增：临时拦挡</w:t>
            </w:r>
            <w:r>
              <w:rPr>
                <w:rFonts w:hint="eastAsia" w:ascii="Times New Roman" w:hAnsi="Times New Roman" w:cs="Times New Roman"/>
              </w:rPr>
              <w:t>2063</w:t>
            </w:r>
            <w:r>
              <w:rPr>
                <w:rFonts w:ascii="Times New Roman" w:hAnsi="Times New Roman" w:cs="Times New Roman"/>
              </w:rPr>
              <w:t>m，临时截排水沟</w:t>
            </w:r>
            <w:r>
              <w:rPr>
                <w:rFonts w:hint="eastAsia" w:ascii="Times New Roman" w:hAnsi="Times New Roman" w:cs="Times New Roman"/>
              </w:rPr>
              <w:t>2402</w:t>
            </w:r>
            <w:r>
              <w:rPr>
                <w:rFonts w:ascii="Times New Roman" w:hAnsi="Times New Roman" w:cs="Times New Roman"/>
              </w:rPr>
              <w:t>m，临时覆盖</w:t>
            </w:r>
            <w:r>
              <w:rPr>
                <w:rFonts w:hint="eastAsia" w:ascii="Times New Roman" w:hAnsi="Times New Roman" w:cs="Times New Roman"/>
              </w:rPr>
              <w:t>2000</w:t>
            </w:r>
            <w:r>
              <w:rPr>
                <w:rFonts w:ascii="Times New Roman" w:hAnsi="Times New Roman" w:cs="Times New Roman"/>
              </w:rPr>
              <w:t>m</w:t>
            </w:r>
            <w:r>
              <w:rPr>
                <w:rFonts w:ascii="Times New Roman" w:hAnsi="Times New Roman" w:cs="Times New Roman"/>
                <w:vertAlign w:val="superscript"/>
              </w:rPr>
              <w:t>2</w:t>
            </w:r>
            <w:r>
              <w:rPr>
                <w:rFonts w:ascii="Times New Roman" w:hAnsi="Times New Roman" w:cs="Times New Roma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278" w:type="pct"/>
            <w:vMerge w:val="continue"/>
            <w:noWrap w:val="0"/>
            <w:vAlign w:val="center"/>
          </w:tcPr>
          <w:p>
            <w:pPr>
              <w:pStyle w:val="28"/>
              <w:rPr>
                <w:rFonts w:ascii="Times New Roman" w:hAnsi="Times New Roman" w:cs="Times New Roman"/>
              </w:rPr>
            </w:pPr>
          </w:p>
        </w:tc>
        <w:tc>
          <w:tcPr>
            <w:tcW w:w="738" w:type="pct"/>
            <w:gridSpan w:val="3"/>
            <w:tcBorders>
              <w:right w:val="single" w:color="auto" w:sz="4" w:space="0"/>
            </w:tcBorders>
            <w:noWrap w:val="0"/>
            <w:vAlign w:val="center"/>
          </w:tcPr>
          <w:p>
            <w:pPr>
              <w:pStyle w:val="28"/>
              <w:rPr>
                <w:rFonts w:ascii="Times New Roman" w:hAnsi="Times New Roman" w:cs="Times New Roman"/>
              </w:rPr>
            </w:pPr>
            <w:r>
              <w:rPr>
                <w:rFonts w:hint="eastAsia" w:ascii="Times New Roman" w:hAnsi="Times New Roman" w:cs="Times New Roman"/>
              </w:rPr>
              <w:t>跨越施工场地区</w:t>
            </w:r>
          </w:p>
        </w:tc>
        <w:tc>
          <w:tcPr>
            <w:tcW w:w="1407" w:type="pct"/>
            <w:gridSpan w:val="7"/>
            <w:tcBorders>
              <w:left w:val="single" w:color="auto" w:sz="4" w:space="0"/>
              <w:right w:val="single" w:color="auto" w:sz="4" w:space="0"/>
            </w:tcBorders>
            <w:noWrap w:val="0"/>
            <w:vAlign w:val="center"/>
          </w:tcPr>
          <w:p>
            <w:pPr>
              <w:pStyle w:val="28"/>
              <w:rPr>
                <w:rFonts w:ascii="Times New Roman" w:hAnsi="Times New Roman" w:cs="Times New Roman"/>
              </w:rPr>
            </w:pPr>
            <w:r>
              <w:rPr>
                <w:rFonts w:ascii="Times New Roman" w:hAnsi="Times New Roman" w:cs="Times New Roman"/>
              </w:rPr>
              <w:t>主体设计：土地整治0.</w:t>
            </w:r>
            <w:r>
              <w:rPr>
                <w:rFonts w:hint="eastAsia" w:ascii="Times New Roman" w:hAnsi="Times New Roman" w:cs="Times New Roman"/>
              </w:rPr>
              <w:t>14</w:t>
            </w:r>
            <w:r>
              <w:rPr>
                <w:rFonts w:ascii="Times New Roman" w:hAnsi="Times New Roman" w:cs="Times New Roman"/>
              </w:rPr>
              <w:t>hm</w:t>
            </w:r>
            <w:r>
              <w:rPr>
                <w:rFonts w:ascii="Times New Roman" w:hAnsi="Times New Roman" w:cs="Times New Roman"/>
                <w:vertAlign w:val="superscript"/>
              </w:rPr>
              <w:t>2</w:t>
            </w:r>
            <w:r>
              <w:rPr>
                <w:rFonts w:ascii="Times New Roman" w:hAnsi="Times New Roman" w:cs="Times New Roman"/>
              </w:rPr>
              <w:t>。</w:t>
            </w:r>
          </w:p>
          <w:p>
            <w:pPr>
              <w:pStyle w:val="28"/>
              <w:rPr>
                <w:rFonts w:ascii="Times New Roman" w:hAnsi="Times New Roman" w:cs="Times New Roman"/>
              </w:rPr>
            </w:pPr>
            <w:bookmarkStart w:id="1" w:name="OLE_LINK136"/>
            <w:r>
              <w:rPr>
                <w:rFonts w:ascii="Times New Roman" w:hAnsi="Times New Roman" w:cs="Times New Roman"/>
              </w:rPr>
              <w:t>方案新增：</w:t>
            </w:r>
            <w:r>
              <w:rPr>
                <w:rFonts w:hint="eastAsia" w:ascii="Times New Roman" w:hAnsi="Times New Roman" w:cs="Times New Roman"/>
              </w:rPr>
              <w:t>无</w:t>
            </w:r>
            <w:bookmarkEnd w:id="1"/>
            <w:r>
              <w:rPr>
                <w:rFonts w:ascii="Times New Roman" w:hAnsi="Times New Roman" w:cs="Times New Roman"/>
              </w:rPr>
              <w:t>。</w:t>
            </w:r>
          </w:p>
        </w:tc>
        <w:tc>
          <w:tcPr>
            <w:tcW w:w="1337" w:type="pct"/>
            <w:gridSpan w:val="11"/>
            <w:tcBorders>
              <w:left w:val="single" w:color="auto" w:sz="4" w:space="0"/>
            </w:tcBorders>
            <w:noWrap w:val="0"/>
            <w:vAlign w:val="center"/>
          </w:tcPr>
          <w:p>
            <w:pPr>
              <w:pStyle w:val="28"/>
              <w:rPr>
                <w:rFonts w:ascii="Times New Roman" w:hAnsi="Times New Roman" w:cs="Times New Roman"/>
              </w:rPr>
            </w:pPr>
            <w:r>
              <w:rPr>
                <w:rFonts w:ascii="Times New Roman" w:hAnsi="Times New Roman" w:cs="Times New Roman"/>
              </w:rPr>
              <w:t>主体设计：撒播草籽0.</w:t>
            </w:r>
            <w:r>
              <w:rPr>
                <w:rFonts w:hint="eastAsia" w:ascii="Times New Roman" w:hAnsi="Times New Roman" w:cs="Times New Roman"/>
              </w:rPr>
              <w:t>10</w:t>
            </w:r>
            <w:r>
              <w:rPr>
                <w:rFonts w:ascii="Times New Roman" w:hAnsi="Times New Roman" w:cs="Times New Roman"/>
              </w:rPr>
              <w:t>hm</w:t>
            </w:r>
            <w:r>
              <w:rPr>
                <w:rFonts w:ascii="Times New Roman" w:hAnsi="Times New Roman" w:cs="Times New Roman"/>
                <w:vertAlign w:val="superscript"/>
              </w:rPr>
              <w:t>2</w:t>
            </w:r>
            <w:r>
              <w:rPr>
                <w:rFonts w:ascii="Times New Roman" w:hAnsi="Times New Roman" w:cs="Times New Roman"/>
              </w:rPr>
              <w:t>，栽植灌木</w:t>
            </w:r>
            <w:r>
              <w:rPr>
                <w:rFonts w:hint="eastAsia" w:ascii="Times New Roman" w:hAnsi="Times New Roman" w:cs="Times New Roman"/>
              </w:rPr>
              <w:t>200株</w:t>
            </w:r>
            <w:r>
              <w:rPr>
                <w:rFonts w:ascii="Times New Roman" w:hAnsi="Times New Roman" w:cs="Times New Roman"/>
              </w:rPr>
              <w:t>。</w:t>
            </w:r>
          </w:p>
          <w:p>
            <w:pPr>
              <w:pStyle w:val="28"/>
              <w:rPr>
                <w:rFonts w:ascii="Times New Roman" w:hAnsi="Times New Roman" w:cs="Times New Roman"/>
              </w:rPr>
            </w:pPr>
            <w:r>
              <w:rPr>
                <w:rFonts w:ascii="Times New Roman" w:hAnsi="Times New Roman" w:cs="Times New Roman"/>
              </w:rPr>
              <w:t>方案新增：</w:t>
            </w:r>
            <w:r>
              <w:rPr>
                <w:rFonts w:hint="eastAsia" w:ascii="Times New Roman" w:hAnsi="Times New Roman" w:cs="Times New Roman"/>
              </w:rPr>
              <w:t>无。</w:t>
            </w:r>
          </w:p>
        </w:tc>
        <w:tc>
          <w:tcPr>
            <w:tcW w:w="1240" w:type="pct"/>
            <w:gridSpan w:val="6"/>
            <w:noWrap w:val="0"/>
            <w:vAlign w:val="center"/>
          </w:tcPr>
          <w:p>
            <w:pPr>
              <w:pStyle w:val="28"/>
              <w:rPr>
                <w:rFonts w:ascii="Times New Roman" w:hAnsi="Times New Roman" w:cs="Times New Roman"/>
              </w:rPr>
            </w:pPr>
            <w:r>
              <w:rPr>
                <w:rFonts w:hint="eastAsia" w:ascii="Times New Roman" w:hAnsi="Times New Roman" w:cs="Times New Roman"/>
              </w:rPr>
              <w:t>主体设计：无。</w:t>
            </w:r>
          </w:p>
          <w:p>
            <w:pPr>
              <w:pStyle w:val="28"/>
              <w:rPr>
                <w:rFonts w:ascii="Times New Roman" w:hAnsi="Times New Roman" w:cs="Times New Roman"/>
              </w:rPr>
            </w:pPr>
            <w:r>
              <w:rPr>
                <w:rFonts w:ascii="Times New Roman" w:hAnsi="Times New Roman" w:cs="Times New Roman"/>
              </w:rPr>
              <w:t>方案新增：铺垫彩条布</w:t>
            </w:r>
            <w:r>
              <w:rPr>
                <w:rFonts w:hint="eastAsia" w:ascii="Times New Roman" w:hAnsi="Times New Roman" w:cs="Times New Roman"/>
              </w:rPr>
              <w:t>4</w:t>
            </w:r>
            <w:r>
              <w:rPr>
                <w:rFonts w:ascii="Times New Roman" w:hAnsi="Times New Roman" w:cs="Times New Roman"/>
              </w:rPr>
              <w:t>00m</w:t>
            </w:r>
            <w:r>
              <w:rPr>
                <w:rFonts w:ascii="Times New Roman" w:hAnsi="Times New Roman" w:cs="Times New Roman"/>
                <w:vertAlign w:val="superscript"/>
              </w:rPr>
              <w:t>2</w:t>
            </w:r>
            <w:r>
              <w:rPr>
                <w:rFonts w:ascii="Times New Roman" w:hAnsi="Times New Roman" w:cs="Times New Roma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1016" w:type="pct"/>
            <w:gridSpan w:val="4"/>
            <w:tcBorders>
              <w:right w:val="single" w:color="auto" w:sz="4" w:space="0"/>
            </w:tcBorders>
            <w:noWrap w:val="0"/>
            <w:vAlign w:val="center"/>
          </w:tcPr>
          <w:p>
            <w:pPr>
              <w:pStyle w:val="28"/>
              <w:rPr>
                <w:rFonts w:ascii="Times New Roman" w:hAnsi="Times New Roman" w:cs="Times New Roman"/>
              </w:rPr>
            </w:pPr>
            <w:r>
              <w:rPr>
                <w:rFonts w:ascii="Times New Roman" w:hAnsi="Times New Roman" w:cs="Times New Roman"/>
              </w:rPr>
              <w:t>投资（万元）</w:t>
            </w:r>
          </w:p>
        </w:tc>
        <w:tc>
          <w:tcPr>
            <w:tcW w:w="1407" w:type="pct"/>
            <w:gridSpan w:val="7"/>
            <w:tcBorders>
              <w:left w:val="single" w:color="auto" w:sz="4" w:space="0"/>
              <w:right w:val="single" w:color="auto" w:sz="4" w:space="0"/>
            </w:tcBorders>
            <w:noWrap w:val="0"/>
            <w:vAlign w:val="center"/>
          </w:tcPr>
          <w:p>
            <w:pPr>
              <w:pStyle w:val="28"/>
              <w:rPr>
                <w:rFonts w:ascii="Times New Roman" w:hAnsi="Times New Roman" w:cs="Times New Roman"/>
              </w:rPr>
            </w:pPr>
            <w:r>
              <w:rPr>
                <w:rFonts w:hint="eastAsia" w:ascii="Times New Roman" w:hAnsi="Times New Roman" w:cs="Times New Roman"/>
              </w:rPr>
              <w:t>74.53</w:t>
            </w:r>
            <w:r>
              <w:rPr>
                <w:rFonts w:ascii="Times New Roman" w:hAnsi="Times New Roman" w:cs="Times New Roman"/>
              </w:rPr>
              <w:t>（方案新增</w:t>
            </w:r>
            <w:r>
              <w:rPr>
                <w:rFonts w:hint="eastAsia" w:ascii="Times New Roman" w:hAnsi="Times New Roman" w:cs="Times New Roman"/>
              </w:rPr>
              <w:t>0</w:t>
            </w:r>
            <w:r>
              <w:rPr>
                <w:rFonts w:ascii="Times New Roman" w:hAnsi="Times New Roman" w:cs="Times New Roman"/>
              </w:rPr>
              <w:t>）</w:t>
            </w:r>
          </w:p>
        </w:tc>
        <w:tc>
          <w:tcPr>
            <w:tcW w:w="1337" w:type="pct"/>
            <w:gridSpan w:val="11"/>
            <w:tcBorders>
              <w:left w:val="single" w:color="auto" w:sz="4" w:space="0"/>
            </w:tcBorders>
            <w:noWrap w:val="0"/>
            <w:vAlign w:val="center"/>
          </w:tcPr>
          <w:p>
            <w:pPr>
              <w:pStyle w:val="28"/>
              <w:rPr>
                <w:rFonts w:ascii="Times New Roman" w:hAnsi="Times New Roman" w:cs="Times New Roman"/>
              </w:rPr>
            </w:pPr>
            <w:r>
              <w:rPr>
                <w:rFonts w:hint="eastAsia" w:ascii="Times New Roman" w:hAnsi="Times New Roman" w:cs="Times New Roman"/>
              </w:rPr>
              <w:t>36.08</w:t>
            </w:r>
            <w:r>
              <w:rPr>
                <w:rFonts w:ascii="Times New Roman" w:hAnsi="Times New Roman" w:cs="Times New Roman"/>
              </w:rPr>
              <w:t>（方案新增</w:t>
            </w:r>
            <w:r>
              <w:rPr>
                <w:rFonts w:hint="eastAsia" w:ascii="Times New Roman" w:hAnsi="Times New Roman" w:cs="Times New Roman"/>
              </w:rPr>
              <w:t>0</w:t>
            </w:r>
            <w:r>
              <w:rPr>
                <w:rFonts w:ascii="Times New Roman" w:hAnsi="Times New Roman" w:cs="Times New Roman"/>
              </w:rPr>
              <w:t>）</w:t>
            </w:r>
          </w:p>
        </w:tc>
        <w:tc>
          <w:tcPr>
            <w:tcW w:w="1240" w:type="pct"/>
            <w:gridSpan w:val="6"/>
            <w:noWrap w:val="0"/>
            <w:vAlign w:val="center"/>
          </w:tcPr>
          <w:p>
            <w:pPr>
              <w:pStyle w:val="28"/>
              <w:rPr>
                <w:rFonts w:ascii="Times New Roman" w:hAnsi="Times New Roman" w:cs="Times New Roman"/>
              </w:rPr>
            </w:pPr>
            <w:r>
              <w:rPr>
                <w:rFonts w:hint="eastAsia" w:ascii="Times New Roman" w:hAnsi="Times New Roman" w:cs="Times New Roman"/>
              </w:rPr>
              <w:t>80.39</w:t>
            </w:r>
            <w:r>
              <w:rPr>
                <w:rFonts w:ascii="Times New Roman" w:hAnsi="Times New Roman" w:cs="Times New Roman"/>
              </w:rPr>
              <w:t>（方案新增</w:t>
            </w:r>
            <w:r>
              <w:rPr>
                <w:rFonts w:hint="eastAsia" w:ascii="Times New Roman" w:hAnsi="Times New Roman" w:cs="Times New Roman"/>
              </w:rPr>
              <w:t>80.39</w:t>
            </w:r>
            <w:r>
              <w:rPr>
                <w:rFonts w:ascii="Times New Roman" w:hAnsi="Times New Roman" w:cs="Times New Roma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1016" w:type="pct"/>
            <w:gridSpan w:val="4"/>
            <w:tcBorders>
              <w:right w:val="single" w:color="auto" w:sz="4" w:space="0"/>
            </w:tcBorders>
            <w:noWrap w:val="0"/>
            <w:vAlign w:val="center"/>
          </w:tcPr>
          <w:p>
            <w:pPr>
              <w:pStyle w:val="28"/>
              <w:rPr>
                <w:rFonts w:ascii="Times New Roman" w:hAnsi="Times New Roman" w:cs="Times New Roman"/>
              </w:rPr>
            </w:pPr>
            <w:r>
              <w:rPr>
                <w:rFonts w:ascii="Times New Roman" w:hAnsi="Times New Roman" w:cs="Times New Roman"/>
              </w:rPr>
              <w:t>水土保持总投资（万元）</w:t>
            </w:r>
          </w:p>
        </w:tc>
        <w:tc>
          <w:tcPr>
            <w:tcW w:w="1671" w:type="pct"/>
            <w:gridSpan w:val="9"/>
            <w:tcBorders>
              <w:left w:val="single" w:color="auto" w:sz="4" w:space="0"/>
              <w:right w:val="single" w:color="auto" w:sz="4" w:space="0"/>
            </w:tcBorders>
            <w:noWrap w:val="0"/>
            <w:vAlign w:val="center"/>
          </w:tcPr>
          <w:p>
            <w:pPr>
              <w:pStyle w:val="28"/>
              <w:rPr>
                <w:rFonts w:ascii="Times New Roman" w:hAnsi="Times New Roman" w:cs="Times New Roman"/>
              </w:rPr>
            </w:pPr>
            <w:r>
              <w:rPr>
                <w:rFonts w:hint="eastAsia" w:ascii="Times New Roman" w:hAnsi="Times New Roman" w:cs="Times New Roman"/>
                <w:kern w:val="0"/>
                <w:lang w:bidi="ar"/>
              </w:rPr>
              <w:t>251.98</w:t>
            </w:r>
            <w:r>
              <w:rPr>
                <w:rFonts w:ascii="Times New Roman" w:hAnsi="Times New Roman" w:cs="Times New Roman"/>
              </w:rPr>
              <w:t>（方案新增</w:t>
            </w:r>
            <w:r>
              <w:rPr>
                <w:rFonts w:hint="eastAsia" w:ascii="Times New Roman" w:hAnsi="Times New Roman" w:cs="Times New Roman"/>
              </w:rPr>
              <w:t>141.37</w:t>
            </w:r>
            <w:r>
              <w:rPr>
                <w:rFonts w:ascii="Times New Roman" w:hAnsi="Times New Roman" w:cs="Times New Roman"/>
              </w:rPr>
              <w:t>）</w:t>
            </w:r>
          </w:p>
        </w:tc>
        <w:tc>
          <w:tcPr>
            <w:tcW w:w="983" w:type="pct"/>
            <w:gridSpan w:val="7"/>
            <w:tcBorders>
              <w:left w:val="single" w:color="auto" w:sz="4" w:space="0"/>
            </w:tcBorders>
            <w:noWrap w:val="0"/>
            <w:vAlign w:val="center"/>
          </w:tcPr>
          <w:p>
            <w:pPr>
              <w:pStyle w:val="28"/>
              <w:rPr>
                <w:rFonts w:ascii="Times New Roman" w:hAnsi="Times New Roman" w:cs="Times New Roman"/>
              </w:rPr>
            </w:pPr>
            <w:r>
              <w:rPr>
                <w:rFonts w:ascii="Times New Roman" w:hAnsi="Times New Roman" w:cs="Times New Roman"/>
              </w:rPr>
              <w:t>独立费用（万元)</w:t>
            </w:r>
          </w:p>
        </w:tc>
        <w:tc>
          <w:tcPr>
            <w:tcW w:w="1329" w:type="pct"/>
            <w:gridSpan w:val="8"/>
            <w:noWrap w:val="0"/>
            <w:vAlign w:val="center"/>
          </w:tcPr>
          <w:p>
            <w:pPr>
              <w:pStyle w:val="28"/>
              <w:rPr>
                <w:rFonts w:hint="eastAsia" w:ascii="Times New Roman" w:hAnsi="Times New Roman" w:cs="Times New Roman"/>
              </w:rPr>
            </w:pPr>
            <w:r>
              <w:rPr>
                <w:rFonts w:hint="eastAsia" w:ascii="Times New Roman" w:hAnsi="Times New Roman" w:cs="Times New Roman"/>
              </w:rPr>
              <w:t>29.51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1016" w:type="pct"/>
            <w:gridSpan w:val="4"/>
            <w:tcBorders>
              <w:right w:val="single" w:color="auto" w:sz="4" w:space="0"/>
            </w:tcBorders>
            <w:noWrap w:val="0"/>
            <w:vAlign w:val="center"/>
          </w:tcPr>
          <w:p>
            <w:pPr>
              <w:pStyle w:val="28"/>
              <w:rPr>
                <w:rFonts w:ascii="Times New Roman" w:hAnsi="Times New Roman" w:cs="Times New Roman"/>
              </w:rPr>
            </w:pPr>
            <w:r>
              <w:rPr>
                <w:rFonts w:ascii="Times New Roman" w:hAnsi="Times New Roman" w:cs="Times New Roman"/>
              </w:rPr>
              <w:t>监理费（万元）</w:t>
            </w:r>
          </w:p>
        </w:tc>
        <w:tc>
          <w:tcPr>
            <w:tcW w:w="685" w:type="pct"/>
            <w:gridSpan w:val="4"/>
            <w:tcBorders>
              <w:left w:val="single" w:color="auto" w:sz="4" w:space="0"/>
            </w:tcBorders>
            <w:noWrap w:val="0"/>
            <w:vAlign w:val="center"/>
          </w:tcPr>
          <w:p>
            <w:pPr>
              <w:pStyle w:val="28"/>
              <w:rPr>
                <w:rFonts w:hint="eastAsia" w:ascii="Times New Roman" w:hAnsi="Times New Roman" w:cs="Times New Roman"/>
              </w:rPr>
            </w:pPr>
            <w:r>
              <w:rPr>
                <w:rFonts w:hint="eastAsia" w:ascii="Times New Roman" w:hAnsi="Times New Roman" w:cs="Times New Roman"/>
              </w:rPr>
              <w:t>3.43</w:t>
            </w:r>
          </w:p>
        </w:tc>
        <w:tc>
          <w:tcPr>
            <w:tcW w:w="986" w:type="pct"/>
            <w:gridSpan w:val="5"/>
            <w:tcBorders>
              <w:right w:val="single" w:color="auto" w:sz="4" w:space="0"/>
            </w:tcBorders>
            <w:noWrap w:val="0"/>
            <w:vAlign w:val="center"/>
          </w:tcPr>
          <w:p>
            <w:pPr>
              <w:pStyle w:val="28"/>
              <w:rPr>
                <w:rFonts w:ascii="Times New Roman" w:hAnsi="Times New Roman" w:cs="Times New Roman"/>
              </w:rPr>
            </w:pPr>
            <w:r>
              <w:rPr>
                <w:rFonts w:ascii="Times New Roman" w:hAnsi="Times New Roman" w:cs="Times New Roman"/>
              </w:rPr>
              <w:t>监测费（万元）</w:t>
            </w:r>
          </w:p>
        </w:tc>
        <w:tc>
          <w:tcPr>
            <w:tcW w:w="604" w:type="pct"/>
            <w:gridSpan w:val="4"/>
            <w:tcBorders>
              <w:left w:val="single" w:color="auto" w:sz="4" w:space="0"/>
            </w:tcBorders>
            <w:noWrap w:val="0"/>
            <w:vAlign w:val="center"/>
          </w:tcPr>
          <w:p>
            <w:pPr>
              <w:pStyle w:val="28"/>
              <w:rPr>
                <w:rFonts w:hint="eastAsia" w:ascii="Times New Roman" w:hAnsi="Times New Roman" w:cs="Times New Roman"/>
              </w:rPr>
            </w:pPr>
            <w:r>
              <w:rPr>
                <w:rFonts w:hint="eastAsia" w:ascii="Times New Roman" w:hAnsi="Times New Roman" w:cs="Times New Roman"/>
              </w:rPr>
              <w:t>9.96</w:t>
            </w:r>
          </w:p>
        </w:tc>
        <w:tc>
          <w:tcPr>
            <w:tcW w:w="834" w:type="pct"/>
            <w:gridSpan w:val="8"/>
            <w:tcBorders>
              <w:right w:val="single" w:color="auto" w:sz="4" w:space="0"/>
            </w:tcBorders>
            <w:noWrap w:val="0"/>
            <w:vAlign w:val="center"/>
          </w:tcPr>
          <w:p>
            <w:pPr>
              <w:pStyle w:val="28"/>
              <w:rPr>
                <w:rFonts w:ascii="Times New Roman" w:hAnsi="Times New Roman" w:cs="Times New Roman"/>
              </w:rPr>
            </w:pPr>
            <w:r>
              <w:rPr>
                <w:rFonts w:ascii="Times New Roman" w:hAnsi="Times New Roman" w:cs="Times New Roman"/>
              </w:rPr>
              <w:t>补偿费（万元）</w:t>
            </w:r>
          </w:p>
        </w:tc>
        <w:tc>
          <w:tcPr>
            <w:tcW w:w="874" w:type="pct"/>
            <w:gridSpan w:val="3"/>
            <w:tcBorders>
              <w:left w:val="single" w:color="auto" w:sz="4" w:space="0"/>
            </w:tcBorders>
            <w:noWrap w:val="0"/>
            <w:vAlign w:val="center"/>
          </w:tcPr>
          <w:p>
            <w:pPr>
              <w:pStyle w:val="28"/>
              <w:rPr>
                <w:rFonts w:hint="eastAsia" w:ascii="Times New Roman" w:hAnsi="Times New Roman" w:cs="Times New Roman"/>
              </w:rPr>
            </w:pPr>
            <w:r>
              <w:rPr>
                <w:rFonts w:hint="eastAsia" w:ascii="Times New Roman" w:hAnsi="Times New Roman" w:cs="Times New Roman"/>
              </w:rPr>
              <w:t>14.322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866" w:type="pct"/>
            <w:gridSpan w:val="3"/>
            <w:noWrap w:val="0"/>
            <w:vAlign w:val="center"/>
          </w:tcPr>
          <w:p>
            <w:pPr>
              <w:pStyle w:val="28"/>
              <w:rPr>
                <w:rFonts w:ascii="Times New Roman" w:hAnsi="Times New Roman" w:cs="Times New Roman"/>
              </w:rPr>
            </w:pPr>
            <w:r>
              <w:rPr>
                <w:rFonts w:ascii="Times New Roman" w:hAnsi="Times New Roman" w:cs="Times New Roman"/>
              </w:rPr>
              <w:t>方案编制单位</w:t>
            </w:r>
          </w:p>
        </w:tc>
        <w:tc>
          <w:tcPr>
            <w:tcW w:w="1668" w:type="pct"/>
            <w:gridSpan w:val="9"/>
            <w:tcBorders>
              <w:right w:val="single" w:color="auto" w:sz="4" w:space="0"/>
            </w:tcBorders>
            <w:noWrap w:val="0"/>
            <w:vAlign w:val="center"/>
          </w:tcPr>
          <w:p>
            <w:pPr>
              <w:pStyle w:val="28"/>
              <w:rPr>
                <w:rFonts w:ascii="Times New Roman" w:hAnsi="Times New Roman" w:cs="Times New Roman"/>
              </w:rPr>
            </w:pPr>
            <w:r>
              <w:rPr>
                <w:rFonts w:ascii="Times New Roman" w:hAnsi="Times New Roman" w:cs="Times New Roman"/>
              </w:rPr>
              <w:t>重庆信博水利工程设计有限公司</w:t>
            </w:r>
          </w:p>
        </w:tc>
        <w:tc>
          <w:tcPr>
            <w:tcW w:w="779" w:type="pct"/>
            <w:gridSpan w:val="6"/>
            <w:tcBorders>
              <w:left w:val="single" w:color="auto" w:sz="4" w:space="0"/>
              <w:right w:val="single" w:color="auto" w:sz="4" w:space="0"/>
            </w:tcBorders>
            <w:noWrap w:val="0"/>
            <w:vAlign w:val="center"/>
          </w:tcPr>
          <w:p>
            <w:pPr>
              <w:pStyle w:val="28"/>
              <w:rPr>
                <w:rFonts w:ascii="Times New Roman" w:hAnsi="Times New Roman" w:cs="Times New Roman"/>
              </w:rPr>
            </w:pPr>
            <w:r>
              <w:rPr>
                <w:rFonts w:ascii="Times New Roman" w:hAnsi="Times New Roman" w:cs="Times New Roman"/>
              </w:rPr>
              <w:t>建设单位</w:t>
            </w:r>
          </w:p>
        </w:tc>
        <w:tc>
          <w:tcPr>
            <w:tcW w:w="1687" w:type="pct"/>
            <w:gridSpan w:val="10"/>
            <w:tcBorders>
              <w:left w:val="single" w:color="auto" w:sz="4" w:space="0"/>
            </w:tcBorders>
            <w:noWrap w:val="0"/>
            <w:vAlign w:val="center"/>
          </w:tcPr>
          <w:p>
            <w:pPr>
              <w:pStyle w:val="28"/>
              <w:rPr>
                <w:rFonts w:ascii="Times New Roman" w:hAnsi="Times New Roman" w:cs="Times New Roman"/>
              </w:rPr>
            </w:pPr>
            <w:bookmarkStart w:id="2" w:name="_Hlk206945980"/>
            <w:r>
              <w:rPr>
                <w:rFonts w:ascii="Times New Roman" w:hAnsi="Times New Roman" w:cs="Times New Roman"/>
              </w:rPr>
              <w:t>国网重庆市电力公司建设分公司</w:t>
            </w:r>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866" w:type="pct"/>
            <w:gridSpan w:val="3"/>
            <w:noWrap w:val="0"/>
            <w:vAlign w:val="center"/>
          </w:tcPr>
          <w:p>
            <w:pPr>
              <w:pStyle w:val="28"/>
              <w:rPr>
                <w:rFonts w:ascii="Times New Roman" w:hAnsi="Times New Roman" w:cs="Times New Roman"/>
              </w:rPr>
            </w:pPr>
            <w:r>
              <w:rPr>
                <w:rFonts w:ascii="Times New Roman" w:hAnsi="Times New Roman" w:cs="Times New Roman"/>
              </w:rPr>
              <w:t>法定代表人</w:t>
            </w:r>
          </w:p>
        </w:tc>
        <w:tc>
          <w:tcPr>
            <w:tcW w:w="1668" w:type="pct"/>
            <w:gridSpan w:val="9"/>
            <w:tcBorders>
              <w:right w:val="single" w:color="auto" w:sz="4" w:space="0"/>
            </w:tcBorders>
            <w:noWrap w:val="0"/>
            <w:vAlign w:val="center"/>
          </w:tcPr>
          <w:p>
            <w:pPr>
              <w:pStyle w:val="28"/>
              <w:rPr>
                <w:rFonts w:ascii="Times New Roman" w:hAnsi="Times New Roman" w:cs="Times New Roman"/>
              </w:rPr>
            </w:pPr>
            <w:r>
              <w:rPr>
                <w:rFonts w:ascii="Times New Roman" w:hAnsi="Times New Roman" w:cs="Times New Roman"/>
              </w:rPr>
              <w:t>陈玉林</w:t>
            </w:r>
          </w:p>
        </w:tc>
        <w:tc>
          <w:tcPr>
            <w:tcW w:w="779" w:type="pct"/>
            <w:gridSpan w:val="6"/>
            <w:tcBorders>
              <w:left w:val="single" w:color="auto" w:sz="4" w:space="0"/>
            </w:tcBorders>
            <w:noWrap w:val="0"/>
            <w:vAlign w:val="center"/>
          </w:tcPr>
          <w:p>
            <w:pPr>
              <w:pStyle w:val="28"/>
              <w:rPr>
                <w:rFonts w:ascii="Times New Roman" w:hAnsi="Times New Roman" w:cs="Times New Roman"/>
              </w:rPr>
            </w:pPr>
            <w:r>
              <w:rPr>
                <w:rFonts w:ascii="Times New Roman" w:hAnsi="Times New Roman" w:cs="Times New Roman"/>
              </w:rPr>
              <w:t>法定代表人</w:t>
            </w:r>
          </w:p>
        </w:tc>
        <w:tc>
          <w:tcPr>
            <w:tcW w:w="1687" w:type="pct"/>
            <w:gridSpan w:val="10"/>
            <w:noWrap w:val="0"/>
            <w:vAlign w:val="center"/>
          </w:tcPr>
          <w:p>
            <w:pPr>
              <w:pStyle w:val="28"/>
              <w:rPr>
                <w:rFonts w:ascii="Times New Roman" w:hAnsi="Times New Roman" w:cs="Times New Roman"/>
              </w:rPr>
            </w:pPr>
            <w:r>
              <w:rPr>
                <w:rFonts w:hint="eastAsia" w:ascii="Times New Roman" w:hAnsi="Times New Roman" w:cs="Times New Roman"/>
              </w:rPr>
              <w:t>李汶江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866" w:type="pct"/>
            <w:gridSpan w:val="3"/>
            <w:noWrap w:val="0"/>
            <w:vAlign w:val="center"/>
          </w:tcPr>
          <w:p>
            <w:pPr>
              <w:pStyle w:val="28"/>
              <w:rPr>
                <w:rFonts w:ascii="Times New Roman" w:hAnsi="Times New Roman" w:cs="Times New Roman"/>
              </w:rPr>
            </w:pPr>
            <w:r>
              <w:rPr>
                <w:rFonts w:ascii="Times New Roman" w:hAnsi="Times New Roman" w:cs="Times New Roman"/>
              </w:rPr>
              <w:t>地址</w:t>
            </w:r>
          </w:p>
        </w:tc>
        <w:tc>
          <w:tcPr>
            <w:tcW w:w="1668" w:type="pct"/>
            <w:gridSpan w:val="9"/>
            <w:tcBorders>
              <w:right w:val="single" w:color="auto" w:sz="4" w:space="0"/>
            </w:tcBorders>
            <w:noWrap w:val="0"/>
            <w:vAlign w:val="center"/>
          </w:tcPr>
          <w:p>
            <w:pPr>
              <w:pStyle w:val="28"/>
              <w:rPr>
                <w:rFonts w:ascii="Times New Roman" w:hAnsi="Times New Roman" w:cs="Times New Roman"/>
                <w:spacing w:val="-6"/>
              </w:rPr>
            </w:pPr>
            <w:r>
              <w:rPr>
                <w:rFonts w:ascii="Times New Roman" w:hAnsi="Times New Roman" w:cs="Times New Roman"/>
              </w:rPr>
              <w:t>渝北区龙溪街道红锦大道518号</w:t>
            </w:r>
          </w:p>
        </w:tc>
        <w:tc>
          <w:tcPr>
            <w:tcW w:w="779" w:type="pct"/>
            <w:gridSpan w:val="6"/>
            <w:tcBorders>
              <w:left w:val="single" w:color="auto" w:sz="4" w:space="0"/>
            </w:tcBorders>
            <w:noWrap w:val="0"/>
            <w:vAlign w:val="center"/>
          </w:tcPr>
          <w:p>
            <w:pPr>
              <w:pStyle w:val="28"/>
              <w:rPr>
                <w:rFonts w:ascii="Times New Roman" w:hAnsi="Times New Roman" w:cs="Times New Roman"/>
              </w:rPr>
            </w:pPr>
            <w:r>
              <w:rPr>
                <w:rFonts w:ascii="Times New Roman" w:hAnsi="Times New Roman" w:cs="Times New Roman"/>
              </w:rPr>
              <w:t>地址</w:t>
            </w:r>
          </w:p>
        </w:tc>
        <w:tc>
          <w:tcPr>
            <w:tcW w:w="1687" w:type="pct"/>
            <w:gridSpan w:val="10"/>
            <w:noWrap w:val="0"/>
            <w:vAlign w:val="center"/>
          </w:tcPr>
          <w:p>
            <w:pPr>
              <w:pStyle w:val="28"/>
              <w:rPr>
                <w:rFonts w:ascii="Times New Roman" w:hAnsi="Times New Roman" w:cs="Times New Roman"/>
              </w:rPr>
            </w:pPr>
            <w:r>
              <w:rPr>
                <w:rFonts w:ascii="Times New Roman" w:hAnsi="Times New Roman" w:cs="Times New Roman"/>
              </w:rPr>
              <w:t>重庆市渝北区青枫北路20号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866" w:type="pct"/>
            <w:gridSpan w:val="3"/>
            <w:noWrap w:val="0"/>
            <w:vAlign w:val="center"/>
          </w:tcPr>
          <w:p>
            <w:pPr>
              <w:pStyle w:val="28"/>
              <w:rPr>
                <w:rFonts w:ascii="Times New Roman" w:hAnsi="Times New Roman" w:cs="Times New Roman"/>
              </w:rPr>
            </w:pPr>
            <w:r>
              <w:rPr>
                <w:rFonts w:ascii="Times New Roman" w:hAnsi="Times New Roman" w:cs="Times New Roman"/>
              </w:rPr>
              <w:t>邮编</w:t>
            </w:r>
          </w:p>
        </w:tc>
        <w:tc>
          <w:tcPr>
            <w:tcW w:w="1668" w:type="pct"/>
            <w:gridSpan w:val="9"/>
            <w:tcBorders>
              <w:right w:val="single" w:color="auto" w:sz="4" w:space="0"/>
            </w:tcBorders>
            <w:noWrap w:val="0"/>
            <w:vAlign w:val="center"/>
          </w:tcPr>
          <w:p>
            <w:pPr>
              <w:pStyle w:val="28"/>
              <w:rPr>
                <w:rFonts w:ascii="Times New Roman" w:hAnsi="Times New Roman" w:cs="Times New Roman"/>
              </w:rPr>
            </w:pPr>
            <w:r>
              <w:rPr>
                <w:rFonts w:ascii="Times New Roman" w:hAnsi="Times New Roman" w:cs="Times New Roman"/>
              </w:rPr>
              <w:t>400020</w:t>
            </w:r>
          </w:p>
        </w:tc>
        <w:tc>
          <w:tcPr>
            <w:tcW w:w="779" w:type="pct"/>
            <w:gridSpan w:val="6"/>
            <w:tcBorders>
              <w:left w:val="single" w:color="auto" w:sz="4" w:space="0"/>
            </w:tcBorders>
            <w:noWrap w:val="0"/>
            <w:vAlign w:val="center"/>
          </w:tcPr>
          <w:p>
            <w:pPr>
              <w:pStyle w:val="28"/>
              <w:rPr>
                <w:rFonts w:ascii="Times New Roman" w:hAnsi="Times New Roman" w:cs="Times New Roman"/>
              </w:rPr>
            </w:pPr>
            <w:r>
              <w:rPr>
                <w:rFonts w:ascii="Times New Roman" w:hAnsi="Times New Roman" w:cs="Times New Roman"/>
              </w:rPr>
              <w:t>邮编</w:t>
            </w:r>
          </w:p>
        </w:tc>
        <w:tc>
          <w:tcPr>
            <w:tcW w:w="1687" w:type="pct"/>
            <w:gridSpan w:val="10"/>
            <w:noWrap w:val="0"/>
            <w:vAlign w:val="center"/>
          </w:tcPr>
          <w:p>
            <w:pPr>
              <w:pStyle w:val="28"/>
              <w:rPr>
                <w:rFonts w:ascii="Times New Roman" w:hAnsi="Times New Roman" w:cs="Times New Roman"/>
              </w:rPr>
            </w:pPr>
            <w:r>
              <w:rPr>
                <w:rFonts w:ascii="Times New Roman" w:hAnsi="Times New Roman" w:cs="Times New Roman"/>
              </w:rPr>
              <w:t>401121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866" w:type="pct"/>
            <w:gridSpan w:val="3"/>
            <w:noWrap w:val="0"/>
            <w:vAlign w:val="center"/>
          </w:tcPr>
          <w:p>
            <w:pPr>
              <w:pStyle w:val="28"/>
              <w:rPr>
                <w:rFonts w:ascii="Times New Roman" w:hAnsi="Times New Roman" w:cs="Times New Roman"/>
              </w:rPr>
            </w:pPr>
            <w:r>
              <w:rPr>
                <w:rFonts w:ascii="Times New Roman" w:hAnsi="Times New Roman" w:cs="Times New Roman"/>
              </w:rPr>
              <w:t>联系人及电话</w:t>
            </w:r>
          </w:p>
        </w:tc>
        <w:tc>
          <w:tcPr>
            <w:tcW w:w="1668" w:type="pct"/>
            <w:gridSpan w:val="9"/>
            <w:tcBorders>
              <w:right w:val="single" w:color="auto" w:sz="4" w:space="0"/>
            </w:tcBorders>
            <w:noWrap w:val="0"/>
            <w:vAlign w:val="center"/>
          </w:tcPr>
          <w:p>
            <w:pPr>
              <w:pStyle w:val="28"/>
              <w:rPr>
                <w:rFonts w:hint="eastAsia" w:ascii="Times New Roman" w:hAnsi="Times New Roman" w:cs="Times New Roman"/>
              </w:rPr>
            </w:pPr>
            <w:r>
              <w:rPr>
                <w:rFonts w:hint="eastAsia" w:ascii="Times New Roman" w:hAnsi="Times New Roman" w:cs="Times New Roman"/>
              </w:rPr>
              <w:t>龚佩</w:t>
            </w:r>
            <w:r>
              <w:rPr>
                <w:rFonts w:ascii="Times New Roman" w:hAnsi="Times New Roman" w:cs="Times New Roman"/>
              </w:rPr>
              <w:t>/1</w:t>
            </w:r>
            <w:r>
              <w:rPr>
                <w:rFonts w:hint="eastAsia" w:ascii="Times New Roman" w:hAnsi="Times New Roman" w:cs="Times New Roman"/>
              </w:rPr>
              <w:t>8</w:t>
            </w:r>
            <w:r>
              <w:rPr>
                <w:rFonts w:hint="eastAsia" w:cs="Times New Roman"/>
                <w:lang w:val="en-US" w:eastAsia="zh-CN"/>
              </w:rPr>
              <w:t>***</w:t>
            </w:r>
            <w:r>
              <w:rPr>
                <w:rFonts w:hint="eastAsia" w:ascii="Times New Roman" w:hAnsi="Times New Roman" w:cs="Times New Roman"/>
              </w:rPr>
              <w:t>27</w:t>
            </w:r>
          </w:p>
        </w:tc>
        <w:tc>
          <w:tcPr>
            <w:tcW w:w="779" w:type="pct"/>
            <w:gridSpan w:val="6"/>
            <w:tcBorders>
              <w:left w:val="single" w:color="auto" w:sz="4" w:space="0"/>
            </w:tcBorders>
            <w:noWrap w:val="0"/>
            <w:vAlign w:val="center"/>
          </w:tcPr>
          <w:p>
            <w:pPr>
              <w:pStyle w:val="28"/>
              <w:rPr>
                <w:rFonts w:ascii="Times New Roman" w:hAnsi="Times New Roman" w:cs="Times New Roman"/>
              </w:rPr>
            </w:pPr>
            <w:r>
              <w:rPr>
                <w:rFonts w:ascii="Times New Roman" w:hAnsi="Times New Roman" w:cs="Times New Roman"/>
              </w:rPr>
              <w:t>联系人及电话</w:t>
            </w:r>
          </w:p>
        </w:tc>
        <w:tc>
          <w:tcPr>
            <w:tcW w:w="1687" w:type="pct"/>
            <w:gridSpan w:val="10"/>
            <w:noWrap w:val="0"/>
            <w:vAlign w:val="center"/>
          </w:tcPr>
          <w:p>
            <w:pPr>
              <w:pStyle w:val="28"/>
              <w:rPr>
                <w:rFonts w:hint="eastAsia" w:ascii="Times New Roman" w:hAnsi="Times New Roman" w:cs="Times New Roman"/>
              </w:rPr>
            </w:pPr>
            <w:bookmarkStart w:id="3" w:name="_Hlk206945991"/>
            <w:r>
              <w:rPr>
                <w:rFonts w:hint="eastAsia" w:ascii="Times New Roman" w:hAnsi="Times New Roman" w:cs="Times New Roman"/>
              </w:rPr>
              <w:t>梅映雪</w:t>
            </w:r>
            <w:bookmarkEnd w:id="3"/>
            <w:r>
              <w:rPr>
                <w:rFonts w:ascii="Times New Roman" w:hAnsi="Times New Roman" w:cs="Times New Roman"/>
              </w:rPr>
              <w:t>/</w:t>
            </w:r>
            <w:bookmarkStart w:id="4" w:name="_Hlk206946003"/>
            <w:r>
              <w:rPr>
                <w:rFonts w:hint="eastAsia" w:ascii="Times New Roman" w:hAnsi="Times New Roman" w:cs="Times New Roman"/>
              </w:rPr>
              <w:t>18</w:t>
            </w:r>
            <w:r>
              <w:rPr>
                <w:rFonts w:hint="eastAsia" w:cs="Times New Roman"/>
                <w:lang w:val="en-US" w:eastAsia="zh-CN"/>
              </w:rPr>
              <w:t>***</w:t>
            </w:r>
            <w:r>
              <w:rPr>
                <w:rFonts w:hint="eastAsia" w:ascii="Times New Roman" w:hAnsi="Times New Roman" w:cs="Times New Roman"/>
              </w:rPr>
              <w:t>13</w:t>
            </w:r>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866" w:type="pct"/>
            <w:gridSpan w:val="3"/>
            <w:noWrap w:val="0"/>
            <w:vAlign w:val="center"/>
          </w:tcPr>
          <w:p>
            <w:pPr>
              <w:pStyle w:val="28"/>
              <w:rPr>
                <w:rFonts w:ascii="Times New Roman" w:hAnsi="Times New Roman" w:cs="Times New Roman"/>
              </w:rPr>
            </w:pPr>
            <w:r>
              <w:rPr>
                <w:rFonts w:ascii="Times New Roman" w:hAnsi="Times New Roman" w:cs="Times New Roman"/>
              </w:rPr>
              <w:t>传真</w:t>
            </w:r>
          </w:p>
        </w:tc>
        <w:tc>
          <w:tcPr>
            <w:tcW w:w="1668" w:type="pct"/>
            <w:gridSpan w:val="9"/>
            <w:tcBorders>
              <w:right w:val="single" w:color="auto" w:sz="4" w:space="0"/>
            </w:tcBorders>
            <w:noWrap w:val="0"/>
            <w:vAlign w:val="center"/>
          </w:tcPr>
          <w:p>
            <w:pPr>
              <w:pStyle w:val="28"/>
              <w:rPr>
                <w:rFonts w:ascii="Times New Roman" w:hAnsi="Times New Roman" w:cs="Times New Roman"/>
              </w:rPr>
            </w:pPr>
            <w:r>
              <w:rPr>
                <w:rFonts w:ascii="Times New Roman" w:hAnsi="Times New Roman" w:cs="Times New Roman"/>
              </w:rPr>
              <w:t>/</w:t>
            </w:r>
          </w:p>
        </w:tc>
        <w:tc>
          <w:tcPr>
            <w:tcW w:w="779" w:type="pct"/>
            <w:gridSpan w:val="6"/>
            <w:tcBorders>
              <w:left w:val="single" w:color="auto" w:sz="4" w:space="0"/>
            </w:tcBorders>
            <w:noWrap w:val="0"/>
            <w:vAlign w:val="center"/>
          </w:tcPr>
          <w:p>
            <w:pPr>
              <w:pStyle w:val="28"/>
              <w:rPr>
                <w:rFonts w:ascii="Times New Roman" w:hAnsi="Times New Roman" w:cs="Times New Roman"/>
              </w:rPr>
            </w:pPr>
            <w:r>
              <w:rPr>
                <w:rFonts w:ascii="Times New Roman" w:hAnsi="Times New Roman" w:cs="Times New Roman"/>
              </w:rPr>
              <w:t>传真</w:t>
            </w:r>
          </w:p>
        </w:tc>
        <w:tc>
          <w:tcPr>
            <w:tcW w:w="1687" w:type="pct"/>
            <w:gridSpan w:val="10"/>
            <w:noWrap w:val="0"/>
            <w:vAlign w:val="center"/>
          </w:tcPr>
          <w:p>
            <w:pPr>
              <w:pStyle w:val="28"/>
              <w:rPr>
                <w:rFonts w:ascii="Times New Roman" w:hAnsi="Times New Roman" w:cs="Times New Roman"/>
              </w:rPr>
            </w:pPr>
            <w:r>
              <w:rPr>
                <w:rFonts w:ascii="Times New Roman" w:hAnsi="Times New Roman" w:cs="Times New Roma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866" w:type="pct"/>
            <w:gridSpan w:val="3"/>
            <w:tcBorders>
              <w:bottom w:val="single" w:color="auto" w:sz="12" w:space="0"/>
            </w:tcBorders>
            <w:noWrap w:val="0"/>
            <w:vAlign w:val="center"/>
          </w:tcPr>
          <w:p>
            <w:pPr>
              <w:pStyle w:val="28"/>
              <w:rPr>
                <w:rFonts w:ascii="Times New Roman" w:hAnsi="Times New Roman" w:cs="Times New Roman"/>
              </w:rPr>
            </w:pPr>
            <w:r>
              <w:rPr>
                <w:rFonts w:ascii="Times New Roman" w:hAnsi="Times New Roman" w:cs="Times New Roman"/>
              </w:rPr>
              <w:t>电子信箱</w:t>
            </w:r>
          </w:p>
        </w:tc>
        <w:tc>
          <w:tcPr>
            <w:tcW w:w="1668" w:type="pct"/>
            <w:gridSpan w:val="9"/>
            <w:tcBorders>
              <w:bottom w:val="single" w:color="auto" w:sz="12" w:space="0"/>
              <w:right w:val="single" w:color="auto" w:sz="4" w:space="0"/>
            </w:tcBorders>
            <w:noWrap w:val="0"/>
            <w:vAlign w:val="center"/>
          </w:tcPr>
          <w:p>
            <w:pPr>
              <w:pStyle w:val="28"/>
              <w:rPr>
                <w:rFonts w:ascii="Times New Roman" w:hAnsi="Times New Roman" w:cs="Times New Roman"/>
              </w:rPr>
            </w:pPr>
            <w:r>
              <w:rPr>
                <w:rFonts w:hint="eastAsia" w:ascii="Times New Roman" w:hAnsi="Times New Roman" w:cs="Times New Roman"/>
              </w:rPr>
              <w:t>13</w:t>
            </w:r>
            <w:r>
              <w:rPr>
                <w:rFonts w:hint="eastAsia" w:cs="Times New Roman"/>
                <w:lang w:val="en-US" w:eastAsia="zh-CN"/>
              </w:rPr>
              <w:t>***</w:t>
            </w:r>
            <w:r>
              <w:rPr>
                <w:rFonts w:hint="eastAsia" w:ascii="Times New Roman" w:hAnsi="Times New Roman" w:cs="Times New Roman"/>
              </w:rPr>
              <w:t>67</w:t>
            </w:r>
            <w:r>
              <w:rPr>
                <w:rFonts w:ascii="Times New Roman" w:hAnsi="Times New Roman" w:cs="Times New Roman"/>
              </w:rPr>
              <w:t>@qq.com</w:t>
            </w:r>
          </w:p>
        </w:tc>
        <w:tc>
          <w:tcPr>
            <w:tcW w:w="779" w:type="pct"/>
            <w:gridSpan w:val="6"/>
            <w:tcBorders>
              <w:left w:val="single" w:color="auto" w:sz="4" w:space="0"/>
              <w:bottom w:val="single" w:color="auto" w:sz="12" w:space="0"/>
            </w:tcBorders>
            <w:noWrap w:val="0"/>
            <w:vAlign w:val="center"/>
          </w:tcPr>
          <w:p>
            <w:pPr>
              <w:pStyle w:val="28"/>
              <w:rPr>
                <w:rFonts w:ascii="Times New Roman" w:hAnsi="Times New Roman" w:cs="Times New Roman"/>
              </w:rPr>
            </w:pPr>
            <w:r>
              <w:rPr>
                <w:rFonts w:ascii="Times New Roman" w:hAnsi="Times New Roman" w:cs="Times New Roman"/>
              </w:rPr>
              <w:t>电子信箱</w:t>
            </w:r>
          </w:p>
        </w:tc>
        <w:tc>
          <w:tcPr>
            <w:tcW w:w="1687" w:type="pct"/>
            <w:gridSpan w:val="10"/>
            <w:tcBorders>
              <w:bottom w:val="single" w:color="auto" w:sz="12" w:space="0"/>
            </w:tcBorders>
            <w:noWrap w:val="0"/>
            <w:vAlign w:val="center"/>
          </w:tcPr>
          <w:p>
            <w:pPr>
              <w:pStyle w:val="28"/>
              <w:rPr>
                <w:rFonts w:ascii="Times New Roman" w:hAnsi="Times New Roman" w:cs="Times New Roman"/>
              </w:rPr>
            </w:pPr>
            <w:r>
              <w:rPr>
                <w:rFonts w:ascii="Times New Roman" w:hAnsi="Times New Roman" w:cs="Times New Roman"/>
              </w:rPr>
              <w:t>/</w:t>
            </w:r>
          </w:p>
        </w:tc>
      </w:tr>
    </w:tbl>
    <w:p>
      <w:pPr>
        <w:spacing w:line="594" w:lineRule="exact"/>
        <w:jc w:val="left"/>
        <w:rPr>
          <w:rFonts w:ascii="方正黑体_GBK" w:hAnsi="Times New Roman" w:eastAsia="方正黑体_GBK"/>
          <w:sz w:val="32"/>
          <w:szCs w:val="32"/>
        </w:rPr>
      </w:pPr>
      <w:r>
        <w:rPr>
          <w:rFonts w:ascii="Times New Roman" w:hAnsi="Times New Roman" w:eastAsia="方正黑体_GBK"/>
          <w:snapToGrid w:val="0"/>
          <w:kern w:val="0"/>
          <w:sz w:val="32"/>
          <w:szCs w:val="32"/>
        </w:rPr>
        <w:br w:type="page"/>
      </w:r>
      <w:r>
        <w:rPr>
          <w:rFonts w:hint="default" w:ascii="Times New Roman" w:hAnsi="Times New Roman" w:eastAsia="方正仿宋_GBK" w:cs="Times New Roman"/>
          <w:sz w:val="32"/>
          <w:szCs w:val="32"/>
        </w:rPr>
        <w:t xml:space="preserve"> </w:t>
      </w:r>
      <w:r>
        <w:rPr>
          <w:rFonts w:hint="default" w:ascii="Times New Roman" w:hAnsi="Times New Roman" w:eastAsia="方正黑体_GBK" w:cs="Times New Roman"/>
          <w:sz w:val="32"/>
          <w:szCs w:val="32"/>
        </w:rPr>
        <w:t>附件2</w:t>
      </w:r>
    </w:p>
    <w:p>
      <w:pPr>
        <w:spacing w:line="594" w:lineRule="exact"/>
        <w:jc w:val="left"/>
        <w:rPr>
          <w:rFonts w:hint="eastAsia" w:ascii="方正黑体_GBK" w:hAnsi="Times New Roman" w:eastAsia="方正黑体_GBK"/>
          <w:sz w:val="32"/>
          <w:szCs w:val="32"/>
        </w:rPr>
      </w:pPr>
    </w:p>
    <w:p>
      <w:pPr>
        <w:spacing w:line="594" w:lineRule="exact"/>
        <w:jc w:val="center"/>
        <w:rPr>
          <w:rFonts w:hint="eastAsia" w:ascii="Times New Roman" w:hAnsi="Times New Roman" w:eastAsia="方正小标宋_GBK" w:cs="Times New Roman"/>
          <w:bCs/>
          <w:sz w:val="44"/>
          <w:szCs w:val="44"/>
          <w:lang w:bidi="ar"/>
        </w:rPr>
      </w:pPr>
      <w:r>
        <w:rPr>
          <w:rFonts w:hint="eastAsia" w:ascii="Times New Roman" w:hAnsi="Times New Roman" w:eastAsia="方正小标宋_GBK" w:cs="Times New Roman"/>
          <w:bCs/>
          <w:sz w:val="44"/>
          <w:szCs w:val="44"/>
          <w:lang w:bidi="ar"/>
        </w:rPr>
        <w:t>重庆至万州高速铁路丰盛牵220千伏外部供电工程水土保持方案报告书</w:t>
      </w:r>
      <w:r>
        <w:rPr>
          <w:rFonts w:ascii="Times New Roman" w:hAnsi="Times New Roman" w:eastAsia="方正小标宋_GBK" w:cs="Times New Roman"/>
          <w:sz w:val="44"/>
          <w:szCs w:val="44"/>
        </w:rPr>
        <w:t>专家评审意见</w:t>
      </w:r>
    </w:p>
    <w:p>
      <w:pPr>
        <w:spacing w:line="594" w:lineRule="exact"/>
        <w:ind w:firstLine="200"/>
        <w:rPr>
          <w:rFonts w:hint="eastAsia" w:ascii="Times New Roman" w:hAnsi="Times New Roman" w:eastAsia="方正小标宋_GBK" w:cs="Times New Roman"/>
          <w:color w:val="FF0000"/>
          <w:sz w:val="44"/>
          <w:szCs w:val="44"/>
        </w:rPr>
      </w:pPr>
    </w:p>
    <w:p>
      <w:pPr>
        <w:pageBreakBefore w:val="0"/>
        <w:kinsoku/>
        <w:wordWrap/>
        <w:overflowPunct/>
        <w:topLinePunct w:val="0"/>
        <w:bidi w:val="0"/>
        <w:spacing w:line="594" w:lineRule="exact"/>
        <w:ind w:left="0" w:leftChars="0" w:firstLine="640" w:firstLineChars="200"/>
        <w:textAlignment w:val="auto"/>
        <w:rPr>
          <w:rFonts w:ascii="Times New Roman" w:hAnsi="Times New Roman" w:eastAsia="方正仿宋_GBK" w:cs="Times New Roman"/>
          <w:sz w:val="32"/>
          <w:szCs w:val="32"/>
          <w:lang w:bidi="ar"/>
        </w:rPr>
      </w:pPr>
      <w:r>
        <w:rPr>
          <w:rFonts w:hint="eastAsia" w:ascii="Times New Roman" w:hAnsi="Times New Roman" w:eastAsia="方正仿宋_GBK" w:cs="Times New Roman"/>
          <w:sz w:val="32"/>
          <w:szCs w:val="32"/>
          <w:lang w:bidi="ar"/>
        </w:rPr>
        <w:t>202</w:t>
      </w:r>
      <w:r>
        <w:rPr>
          <w:rFonts w:hint="eastAsia" w:ascii="Times New Roman" w:hAnsi="Times New Roman" w:eastAsia="方正仿宋_GBK" w:cs="Times New Roman"/>
          <w:sz w:val="32"/>
          <w:szCs w:val="32"/>
          <w:lang w:val="en-US" w:eastAsia="zh-CN" w:bidi="ar"/>
        </w:rPr>
        <w:t>5</w:t>
      </w:r>
      <w:r>
        <w:rPr>
          <w:rFonts w:hint="eastAsia" w:ascii="Times New Roman" w:hAnsi="Times New Roman" w:eastAsia="方正仿宋_GBK" w:cs="Times New Roman"/>
          <w:sz w:val="32"/>
          <w:szCs w:val="32"/>
          <w:lang w:bidi="ar"/>
        </w:rPr>
        <w:t>年</w:t>
      </w:r>
      <w:r>
        <w:rPr>
          <w:rFonts w:hint="eastAsia" w:ascii="Times New Roman" w:hAnsi="Times New Roman" w:eastAsia="方正仿宋_GBK" w:cs="Times New Roman"/>
          <w:sz w:val="32"/>
          <w:szCs w:val="32"/>
          <w:lang w:val="en-US" w:eastAsia="zh-CN" w:bidi="ar"/>
        </w:rPr>
        <w:t>9</w:t>
      </w:r>
      <w:r>
        <w:rPr>
          <w:rFonts w:hint="eastAsia" w:ascii="Times New Roman" w:hAnsi="Times New Roman" w:eastAsia="方正仿宋_GBK" w:cs="Times New Roman"/>
          <w:sz w:val="32"/>
          <w:szCs w:val="32"/>
          <w:lang w:bidi="ar"/>
        </w:rPr>
        <w:t>月</w:t>
      </w:r>
      <w:r>
        <w:rPr>
          <w:rFonts w:hint="eastAsia" w:ascii="Times New Roman" w:hAnsi="Times New Roman" w:eastAsia="方正仿宋_GBK" w:cs="Times New Roman"/>
          <w:sz w:val="32"/>
          <w:szCs w:val="32"/>
          <w:lang w:val="en-US" w:eastAsia="zh-CN" w:bidi="ar"/>
        </w:rPr>
        <w:t>9</w:t>
      </w:r>
      <w:r>
        <w:rPr>
          <w:rFonts w:hint="eastAsia" w:ascii="Times New Roman" w:hAnsi="Times New Roman" w:eastAsia="方正仿宋_GBK" w:cs="Times New Roman"/>
          <w:sz w:val="32"/>
          <w:szCs w:val="32"/>
          <w:lang w:bidi="ar"/>
        </w:rPr>
        <w:t>日，</w:t>
      </w:r>
      <w:r>
        <w:rPr>
          <w:rFonts w:ascii="Times New Roman" w:hAnsi="Times New Roman" w:eastAsia="方正仿宋_GBK" w:cs="Times New Roman"/>
          <w:sz w:val="32"/>
          <w:szCs w:val="32"/>
          <w:lang w:bidi="ar"/>
        </w:rPr>
        <w:t>重庆市水利局组织召开了《</w:t>
      </w:r>
      <w:r>
        <w:rPr>
          <w:rFonts w:hint="eastAsia" w:ascii="Times New Roman" w:hAnsi="Times New Roman" w:eastAsia="方正仿宋_GBK" w:cs="Times New Roman"/>
          <w:bCs/>
          <w:sz w:val="32"/>
          <w:szCs w:val="32"/>
          <w:lang w:bidi="ar"/>
        </w:rPr>
        <w:t>重庆至万州高速铁路丰盛牵220千伏外部供电工程水土保持方案报告书</w:t>
      </w:r>
      <w:r>
        <w:rPr>
          <w:rFonts w:ascii="Times New Roman" w:hAnsi="Times New Roman" w:eastAsia="方正仿宋_GBK" w:cs="Times New Roman"/>
          <w:sz w:val="32"/>
          <w:szCs w:val="32"/>
          <w:lang w:bidi="ar"/>
        </w:rPr>
        <w:t>》（以下简称《水保方案》）专家评审会。</w:t>
      </w:r>
      <w:r>
        <w:rPr>
          <w:rFonts w:hint="eastAsia" w:ascii="Times New Roman" w:hAnsi="Times New Roman" w:eastAsia="方正仿宋_GBK" w:cs="Times New Roman"/>
          <w:sz w:val="32"/>
          <w:szCs w:val="32"/>
          <w:lang w:eastAsia="zh-CN" w:bidi="ar"/>
        </w:rPr>
        <w:t>两江新区城市管理局、渝北区水利局、巴南区水利局、南岸区农业农村委员会、</w:t>
      </w:r>
      <w:r>
        <w:rPr>
          <w:rFonts w:hint="eastAsia" w:ascii="Times New Roman" w:hAnsi="Times New Roman" w:eastAsia="方正仿宋_GBK" w:cs="Times New Roman"/>
          <w:sz w:val="32"/>
          <w:szCs w:val="32"/>
          <w:lang w:bidi="ar"/>
        </w:rPr>
        <w:t>国网重庆市电力公司建设分公司（以下简称项目法人）、重庆信博水利工程设计有限公司（</w:t>
      </w:r>
      <w:r>
        <w:rPr>
          <w:rFonts w:hint="eastAsia" w:ascii="Times New Roman" w:hAnsi="Times New Roman" w:eastAsia="方正仿宋_GBK" w:cs="Times New Roman"/>
          <w:sz w:val="32"/>
          <w:szCs w:val="32"/>
          <w:lang w:eastAsia="zh-CN" w:bidi="ar"/>
        </w:rPr>
        <w:t>以下简称</w:t>
      </w:r>
      <w:r>
        <w:rPr>
          <w:rFonts w:hint="eastAsia" w:ascii="Times New Roman" w:hAnsi="Times New Roman" w:eastAsia="方正仿宋_GBK" w:cs="Times New Roman"/>
          <w:sz w:val="32"/>
          <w:szCs w:val="32"/>
          <w:lang w:bidi="ar"/>
        </w:rPr>
        <w:t>报告编制单位）、重庆电力设计院有限公司（主体设计单位）</w:t>
      </w:r>
      <w:r>
        <w:rPr>
          <w:rFonts w:ascii="Times New Roman" w:hAnsi="Times New Roman" w:eastAsia="方正仿宋_GBK" w:cs="Times New Roman"/>
          <w:sz w:val="32"/>
          <w:szCs w:val="32"/>
          <w:lang w:bidi="ar"/>
        </w:rPr>
        <w:t>的代表</w:t>
      </w:r>
      <w:r>
        <w:rPr>
          <w:rFonts w:hint="eastAsia" w:ascii="Times New Roman" w:hAnsi="Times New Roman" w:eastAsia="方正仿宋_GBK" w:cs="Times New Roman"/>
          <w:sz w:val="32"/>
          <w:szCs w:val="32"/>
          <w:lang w:eastAsia="zh-CN" w:bidi="ar"/>
        </w:rPr>
        <w:t>及特邀专家</w:t>
      </w:r>
      <w:r>
        <w:rPr>
          <w:rFonts w:ascii="Times New Roman" w:hAnsi="Times New Roman" w:eastAsia="方正仿宋_GBK" w:cs="Times New Roman"/>
          <w:sz w:val="32"/>
          <w:szCs w:val="32"/>
          <w:lang w:bidi="ar"/>
        </w:rPr>
        <w:t>参加了会议。会议成立了专家组，专家组成员会前详细审阅了《水保方案》，与会人员会上认真听取了项目法人和报告编制单位的汇报，进行了深入讨论。根据</w:t>
      </w:r>
      <w:r>
        <w:rPr>
          <w:rFonts w:hint="eastAsia" w:ascii="Times New Roman" w:hAnsi="Times New Roman" w:eastAsia="方正仿宋_GBK" w:cs="Times New Roman"/>
          <w:sz w:val="32"/>
          <w:szCs w:val="32"/>
          <w:lang w:bidi="ar"/>
        </w:rPr>
        <w:t>《水利部办公厅关于印发生产建设项目水土保持方案审查要点的通知》（办水保〔2023〕177号）和《重庆市水利局关于进一步加强和规范生产建设项目水土保持方案审批的通知》（渝水〔2018〕267号），</w:t>
      </w:r>
      <w:r>
        <w:rPr>
          <w:rFonts w:ascii="Times New Roman" w:hAnsi="Times New Roman" w:eastAsia="方正仿宋_GBK" w:cs="Times New Roman"/>
          <w:sz w:val="32"/>
          <w:szCs w:val="32"/>
          <w:lang w:bidi="ar"/>
        </w:rPr>
        <w:t>专家组对《水保方案》进行了质量评分，质量评定等级合格。报告编制单位会后对《水保方案》进行了修改</w:t>
      </w:r>
      <w:r>
        <w:rPr>
          <w:rFonts w:hint="eastAsia" w:ascii="Times New Roman" w:hAnsi="Times New Roman" w:eastAsia="方正仿宋_GBK" w:cs="Times New Roman"/>
          <w:sz w:val="32"/>
          <w:szCs w:val="32"/>
          <w:lang w:eastAsia="zh-CN" w:bidi="ar"/>
        </w:rPr>
        <w:t>补充</w:t>
      </w:r>
      <w:r>
        <w:rPr>
          <w:rFonts w:ascii="Times New Roman" w:hAnsi="Times New Roman" w:eastAsia="方正仿宋_GBK" w:cs="Times New Roman"/>
          <w:sz w:val="32"/>
          <w:szCs w:val="32"/>
          <w:lang w:bidi="ar"/>
        </w:rPr>
        <w:t>，</w:t>
      </w:r>
      <w:r>
        <w:rPr>
          <w:rFonts w:ascii="Times New Roman" w:hAnsi="Times New Roman" w:eastAsia="方正仿宋_GBK" w:cs="Times New Roman"/>
          <w:color w:val="auto"/>
          <w:sz w:val="32"/>
          <w:szCs w:val="32"/>
          <w:lang w:bidi="ar"/>
        </w:rPr>
        <w:t>202</w:t>
      </w:r>
      <w:r>
        <w:rPr>
          <w:rFonts w:hint="eastAsia" w:ascii="Times New Roman" w:hAnsi="Times New Roman" w:eastAsia="方正仿宋_GBK" w:cs="Times New Roman"/>
          <w:color w:val="auto"/>
          <w:sz w:val="32"/>
          <w:szCs w:val="32"/>
          <w:lang w:val="en-US" w:eastAsia="zh-CN" w:bidi="ar"/>
        </w:rPr>
        <w:t>5</w:t>
      </w:r>
      <w:r>
        <w:rPr>
          <w:rFonts w:ascii="Times New Roman" w:hAnsi="Times New Roman" w:eastAsia="方正仿宋_GBK" w:cs="Times New Roman"/>
          <w:color w:val="auto"/>
          <w:sz w:val="32"/>
          <w:szCs w:val="32"/>
          <w:lang w:bidi="ar"/>
        </w:rPr>
        <w:t>年</w:t>
      </w:r>
      <w:r>
        <w:rPr>
          <w:rFonts w:hint="eastAsia" w:ascii="Times New Roman" w:hAnsi="Times New Roman" w:eastAsia="方正仿宋_GBK" w:cs="Times New Roman"/>
          <w:color w:val="auto"/>
          <w:sz w:val="32"/>
          <w:szCs w:val="32"/>
          <w:lang w:val="en-US" w:eastAsia="zh-CN" w:bidi="ar"/>
        </w:rPr>
        <w:t>11</w:t>
      </w:r>
      <w:r>
        <w:rPr>
          <w:rFonts w:ascii="Times New Roman" w:hAnsi="Times New Roman" w:eastAsia="方正仿宋_GBK" w:cs="Times New Roman"/>
          <w:color w:val="auto"/>
          <w:sz w:val="32"/>
          <w:szCs w:val="32"/>
          <w:lang w:bidi="ar"/>
        </w:rPr>
        <w:t>月</w:t>
      </w:r>
      <w:r>
        <w:rPr>
          <w:rFonts w:hint="eastAsia" w:ascii="Times New Roman" w:hAnsi="Times New Roman" w:eastAsia="方正仿宋_GBK" w:cs="Times New Roman"/>
          <w:color w:val="auto"/>
          <w:sz w:val="32"/>
          <w:szCs w:val="32"/>
          <w:lang w:val="en-US" w:eastAsia="zh-CN" w:bidi="ar"/>
        </w:rPr>
        <w:t xml:space="preserve">11 </w:t>
      </w:r>
      <w:r>
        <w:rPr>
          <w:rFonts w:ascii="Times New Roman" w:hAnsi="Times New Roman" w:eastAsia="方正仿宋_GBK" w:cs="Times New Roman"/>
          <w:color w:val="auto"/>
          <w:sz w:val="32"/>
          <w:szCs w:val="32"/>
          <w:lang w:bidi="ar"/>
        </w:rPr>
        <w:t>日</w:t>
      </w:r>
      <w:r>
        <w:rPr>
          <w:rFonts w:hint="eastAsia" w:ascii="Times New Roman" w:hAnsi="Times New Roman" w:eastAsia="方正仿宋_GBK" w:cs="Times New Roman"/>
          <w:color w:val="auto"/>
          <w:sz w:val="32"/>
          <w:szCs w:val="32"/>
          <w:lang w:eastAsia="zh-CN" w:bidi="ar"/>
        </w:rPr>
        <w:t>，</w:t>
      </w:r>
      <w:r>
        <w:rPr>
          <w:rFonts w:ascii="Times New Roman" w:hAnsi="Times New Roman" w:eastAsia="方正仿宋_GBK" w:cs="Times New Roman"/>
          <w:sz w:val="32"/>
          <w:szCs w:val="32"/>
          <w:lang w:bidi="ar"/>
        </w:rPr>
        <w:t>项目法人</w:t>
      </w:r>
      <w:r>
        <w:rPr>
          <w:rFonts w:ascii="Times New Roman" w:hAnsi="Times New Roman" w:eastAsia="方正仿宋_GBK" w:cs="Times New Roman"/>
          <w:color w:val="000000"/>
          <w:sz w:val="32"/>
          <w:szCs w:val="32"/>
        </w:rPr>
        <w:t>提交</w:t>
      </w:r>
      <w:r>
        <w:rPr>
          <w:rFonts w:ascii="Times New Roman" w:hAnsi="Times New Roman" w:eastAsia="方正仿宋_GBK" w:cs="Times New Roman"/>
          <w:color w:val="000000"/>
          <w:sz w:val="32"/>
          <w:szCs w:val="32"/>
          <w:lang w:bidi="ar"/>
        </w:rPr>
        <w:t>了</w:t>
      </w:r>
      <w:r>
        <w:rPr>
          <w:rFonts w:hint="eastAsia" w:ascii="Times New Roman" w:hAnsi="Times New Roman" w:eastAsia="方正仿宋_GBK" w:cs="Times New Roman"/>
          <w:color w:val="000000"/>
          <w:sz w:val="32"/>
          <w:szCs w:val="32"/>
          <w:lang w:eastAsia="zh-CN" w:bidi="ar"/>
        </w:rPr>
        <w:t>修改完善后的</w:t>
      </w:r>
      <w:r>
        <w:rPr>
          <w:rFonts w:ascii="Times New Roman" w:hAnsi="Times New Roman" w:eastAsia="方正仿宋_GBK" w:cs="Times New Roman"/>
          <w:bCs/>
          <w:color w:val="000000"/>
          <w:sz w:val="32"/>
          <w:szCs w:val="32"/>
        </w:rPr>
        <w:t>《水保方案》</w:t>
      </w:r>
      <w:r>
        <w:rPr>
          <w:rFonts w:ascii="Times New Roman" w:hAnsi="Times New Roman" w:eastAsia="方正仿宋_GBK" w:cs="Times New Roman"/>
          <w:color w:val="000000"/>
          <w:sz w:val="32"/>
          <w:szCs w:val="32"/>
          <w:lang w:bidi="ar"/>
        </w:rPr>
        <w:t>。经专家组复核，形成</w:t>
      </w:r>
      <w:r>
        <w:rPr>
          <w:rFonts w:ascii="Times New Roman" w:hAnsi="Times New Roman" w:eastAsia="方正仿宋_GBK" w:cs="Times New Roman"/>
          <w:sz w:val="32"/>
          <w:szCs w:val="32"/>
          <w:lang w:bidi="ar"/>
        </w:rPr>
        <w:t>专家评审意见如下：</w:t>
      </w:r>
    </w:p>
    <w:p>
      <w:pPr>
        <w:pStyle w:val="2"/>
        <w:rPr>
          <w:rFonts w:hint="eastAsia"/>
        </w:rPr>
      </w:pP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方正黑体_GBK" w:hAnsi="Calibri" w:eastAsia="方正黑体_GBK" w:cs="Times New Roman"/>
          <w:snapToGrid w:val="0"/>
          <w:kern w:val="0"/>
          <w:sz w:val="32"/>
          <w:szCs w:val="32"/>
        </w:rPr>
      </w:pPr>
      <w:r>
        <w:rPr>
          <w:rFonts w:hint="eastAsia" w:ascii="方正黑体_GBK" w:hAnsi="Calibri" w:eastAsia="方正黑体_GBK" w:cs="Times New Roman"/>
          <w:snapToGrid w:val="0"/>
          <w:kern w:val="0"/>
          <w:sz w:val="32"/>
          <w:szCs w:val="32"/>
        </w:rPr>
        <w:t>一、综合说明</w:t>
      </w:r>
    </w:p>
    <w:p>
      <w:pPr>
        <w:pageBreakBefore w:val="0"/>
        <w:kinsoku/>
        <w:wordWrap/>
        <w:overflowPunct/>
        <w:topLinePunct w:val="0"/>
        <w:bidi w:val="0"/>
        <w:spacing w:line="594" w:lineRule="exact"/>
        <w:ind w:left="0" w:leftChars="0"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（一）方案编制依据的法律法规、部委规章、规范性文件、规范标准和技术文件及资料采用基本正确。</w:t>
      </w:r>
    </w:p>
    <w:p>
      <w:pPr>
        <w:pageBreakBefore w:val="0"/>
        <w:kinsoku/>
        <w:wordWrap/>
        <w:overflowPunct/>
        <w:topLinePunct w:val="0"/>
        <w:bidi w:val="0"/>
        <w:spacing w:line="594" w:lineRule="exact"/>
        <w:ind w:left="0" w:leftChars="0"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（二）同意方案设计水平年为202</w:t>
      </w:r>
      <w:r>
        <w:rPr>
          <w:rFonts w:hint="eastAsia" w:ascii="Times New Roman" w:hAnsi="Times New Roman" w:eastAsia="方正仿宋_GBK" w:cs="Times New Roman"/>
          <w:sz w:val="32"/>
          <w:szCs w:val="32"/>
          <w:lang w:val="en-US" w:eastAsia="zh-CN"/>
        </w:rPr>
        <w:t>6</w:t>
      </w:r>
      <w:r>
        <w:rPr>
          <w:rFonts w:hint="eastAsia" w:ascii="Times New Roman" w:hAnsi="Times New Roman" w:eastAsia="方正仿宋_GBK" w:cs="Times New Roman"/>
          <w:sz w:val="32"/>
          <w:szCs w:val="32"/>
        </w:rPr>
        <w:t>年。</w:t>
      </w:r>
    </w:p>
    <w:p>
      <w:pPr>
        <w:pageBreakBefore w:val="0"/>
        <w:kinsoku/>
        <w:wordWrap/>
        <w:overflowPunct/>
        <w:topLinePunct w:val="0"/>
        <w:bidi w:val="0"/>
        <w:spacing w:line="594" w:lineRule="exact"/>
        <w:ind w:left="0" w:leftChars="0" w:firstLine="640" w:firstLineChars="200"/>
        <w:textAlignment w:val="auto"/>
        <w:rPr>
          <w:rFonts w:hint="eastAsia" w:ascii="Times New Roman" w:hAnsi="Times New Roman" w:eastAsia="方正仿宋_GBK" w:cs="Times New Roman"/>
          <w:sz w:val="32"/>
          <w:szCs w:val="32"/>
          <w:vertAlign w:val="baseline"/>
          <w:lang w:eastAsia="zh-CN"/>
        </w:rPr>
      </w:pPr>
      <w:r>
        <w:rPr>
          <w:rFonts w:hint="eastAsia" w:ascii="Times New Roman" w:hAnsi="Times New Roman" w:eastAsia="方正仿宋_GBK" w:cs="Times New Roman"/>
          <w:sz w:val="32"/>
          <w:szCs w:val="32"/>
        </w:rPr>
        <w:t>（三）同意水土流失防治责任范围界定，水土流失防治责任范围面积为</w:t>
      </w:r>
      <w:r>
        <w:rPr>
          <w:rFonts w:hint="eastAsia" w:ascii="Times New Roman" w:hAnsi="Times New Roman" w:eastAsia="方正仿宋_GBK" w:cs="Times New Roman"/>
          <w:sz w:val="32"/>
          <w:szCs w:val="32"/>
          <w:lang w:val="en-US" w:eastAsia="zh-CN"/>
        </w:rPr>
        <w:t>10.23</w:t>
      </w:r>
      <w:r>
        <w:rPr>
          <w:rFonts w:hint="eastAsia" w:ascii="Times New Roman" w:hAnsi="Times New Roman" w:eastAsia="方正仿宋_GBK" w:cs="Times New Roman"/>
          <w:sz w:val="32"/>
          <w:szCs w:val="32"/>
        </w:rPr>
        <w:t>hm</w:t>
      </w:r>
      <w:r>
        <w:rPr>
          <w:rFonts w:hint="eastAsia" w:ascii="Times New Roman" w:hAnsi="Times New Roman" w:eastAsia="方正仿宋_GBK" w:cs="Times New Roman"/>
          <w:sz w:val="32"/>
          <w:szCs w:val="32"/>
          <w:vertAlign w:val="superscript"/>
        </w:rPr>
        <w:t>2</w:t>
      </w:r>
      <w:r>
        <w:rPr>
          <w:rFonts w:hint="eastAsia" w:ascii="Times New Roman" w:hAnsi="Times New Roman" w:eastAsia="方正仿宋_GB2312" w:cs="Times New Roman"/>
          <w:color w:val="auto"/>
          <w:sz w:val="32"/>
          <w:szCs w:val="32"/>
          <w:lang w:eastAsia="zh-CN"/>
        </w:rPr>
        <w:t>，其中：两江新区</w:t>
      </w:r>
      <w:r>
        <w:rPr>
          <w:rFonts w:hint="eastAsia" w:ascii="Times New Roman" w:hAnsi="Times New Roman" w:eastAsia="方正仿宋_GB2312" w:cs="Times New Roman"/>
          <w:color w:val="auto"/>
          <w:sz w:val="32"/>
          <w:szCs w:val="32"/>
          <w:lang w:val="en-US" w:eastAsia="zh-CN"/>
        </w:rPr>
        <w:t>2.13</w:t>
      </w:r>
      <w:r>
        <w:rPr>
          <w:rFonts w:hint="eastAsia" w:ascii="Times New Roman" w:hAnsi="Times New Roman" w:eastAsia="方正仿宋_GBK" w:cs="Times New Roman"/>
          <w:sz w:val="32"/>
          <w:szCs w:val="32"/>
        </w:rPr>
        <w:t>hm</w:t>
      </w:r>
      <w:r>
        <w:rPr>
          <w:rFonts w:hint="eastAsia" w:ascii="Times New Roman" w:hAnsi="Times New Roman" w:eastAsia="方正仿宋_GBK" w:cs="Times New Roman"/>
          <w:sz w:val="32"/>
          <w:szCs w:val="32"/>
          <w:vertAlign w:val="superscript"/>
        </w:rPr>
        <w:t>2</w:t>
      </w:r>
      <w:r>
        <w:rPr>
          <w:rFonts w:hint="eastAsia" w:ascii="Times New Roman" w:hAnsi="Times New Roman" w:eastAsia="方正仿宋_GBK" w:cs="Times New Roman"/>
          <w:sz w:val="32"/>
          <w:szCs w:val="32"/>
          <w:vertAlign w:val="baseline"/>
          <w:lang w:eastAsia="zh-CN"/>
        </w:rPr>
        <w:t>，巴南区</w:t>
      </w:r>
      <w:r>
        <w:rPr>
          <w:rFonts w:hint="eastAsia" w:ascii="Times New Roman" w:hAnsi="Times New Roman" w:eastAsia="方正仿宋_GBK" w:cs="Times New Roman"/>
          <w:sz w:val="32"/>
          <w:szCs w:val="32"/>
          <w:vertAlign w:val="baseline"/>
          <w:lang w:val="en-US" w:eastAsia="zh-CN"/>
        </w:rPr>
        <w:t>7.23</w:t>
      </w:r>
      <w:r>
        <w:rPr>
          <w:rFonts w:hint="eastAsia" w:ascii="Times New Roman" w:hAnsi="Times New Roman" w:eastAsia="方正仿宋_GBK" w:cs="Times New Roman"/>
          <w:sz w:val="32"/>
          <w:szCs w:val="32"/>
        </w:rPr>
        <w:t>hm</w:t>
      </w:r>
      <w:r>
        <w:rPr>
          <w:rFonts w:hint="eastAsia" w:ascii="Times New Roman" w:hAnsi="Times New Roman" w:eastAsia="方正仿宋_GBK" w:cs="Times New Roman"/>
          <w:sz w:val="32"/>
          <w:szCs w:val="32"/>
          <w:vertAlign w:val="superscript"/>
        </w:rPr>
        <w:t>2</w:t>
      </w:r>
      <w:r>
        <w:rPr>
          <w:rFonts w:hint="eastAsia" w:ascii="Times New Roman" w:hAnsi="Times New Roman" w:eastAsia="方正仿宋_GBK" w:cs="Times New Roman"/>
          <w:sz w:val="32"/>
          <w:szCs w:val="32"/>
          <w:lang w:val="en-US" w:eastAsia="zh-CN"/>
        </w:rPr>
        <w:t>，南岸区0.87</w:t>
      </w:r>
      <w:r>
        <w:rPr>
          <w:rFonts w:hint="eastAsia" w:ascii="Times New Roman" w:hAnsi="Times New Roman" w:eastAsia="方正仿宋_GBK" w:cs="Times New Roman"/>
          <w:sz w:val="32"/>
          <w:szCs w:val="32"/>
        </w:rPr>
        <w:t>hm</w:t>
      </w:r>
      <w:r>
        <w:rPr>
          <w:rFonts w:hint="eastAsia" w:ascii="Times New Roman" w:hAnsi="Times New Roman" w:eastAsia="方正仿宋_GBK" w:cs="Times New Roman"/>
          <w:sz w:val="32"/>
          <w:szCs w:val="32"/>
          <w:vertAlign w:val="superscript"/>
        </w:rPr>
        <w:t>2</w:t>
      </w:r>
      <w:r>
        <w:rPr>
          <w:rFonts w:hint="eastAsia" w:ascii="Times New Roman" w:hAnsi="Times New Roman" w:eastAsia="方正仿宋_GBK" w:cs="Times New Roman"/>
          <w:sz w:val="32"/>
          <w:szCs w:val="32"/>
          <w:vertAlign w:val="baseline"/>
          <w:lang w:eastAsia="zh-CN"/>
        </w:rPr>
        <w:t>。</w:t>
      </w:r>
    </w:p>
    <w:p>
      <w:pPr>
        <w:pageBreakBefore w:val="0"/>
        <w:kinsoku/>
        <w:wordWrap/>
        <w:overflowPunct/>
        <w:topLinePunct w:val="0"/>
        <w:bidi w:val="0"/>
        <w:spacing w:line="594" w:lineRule="exact"/>
        <w:ind w:left="0" w:leftChars="0"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（四）同意项目水土流失防治标准等级执行西南紫色土区建设类项目一级标准。</w:t>
      </w:r>
    </w:p>
    <w:p>
      <w:pPr>
        <w:pageBreakBefore w:val="0"/>
        <w:kinsoku/>
        <w:wordWrap/>
        <w:overflowPunct/>
        <w:topLinePunct w:val="0"/>
        <w:bidi w:val="0"/>
        <w:spacing w:line="594" w:lineRule="exact"/>
        <w:ind w:left="0" w:leftChars="0" w:firstLine="640" w:firstLineChars="200"/>
        <w:textAlignment w:val="auto"/>
        <w:rPr>
          <w:rFonts w:ascii="方正仿宋_GBK" w:hAnsi="Calibri" w:eastAsia="方正仿宋_GBK" w:cs="Times New Roman"/>
          <w:bCs/>
          <w:snapToGrid w:val="0"/>
          <w:kern w:val="0"/>
          <w:sz w:val="32"/>
          <w:szCs w:val="32"/>
        </w:rPr>
      </w:pPr>
      <w:r>
        <w:rPr>
          <w:rFonts w:hint="eastAsia" w:ascii="Times New Roman" w:hAnsi="Times New Roman" w:eastAsia="方正仿宋_GBK" w:cs="Times New Roman"/>
          <w:sz w:val="32"/>
          <w:szCs w:val="32"/>
        </w:rPr>
        <w:t>（五）同意水土流失防治目标。其中：水土流失治理度97%，土壤流失控制比1.0，渣土防护率9</w:t>
      </w:r>
      <w:r>
        <w:rPr>
          <w:rFonts w:hint="eastAsia" w:ascii="Times New Roman" w:hAnsi="Times New Roman" w:eastAsia="方正仿宋_GBK" w:cs="Times New Roman"/>
          <w:sz w:val="32"/>
          <w:szCs w:val="32"/>
          <w:lang w:val="en-US" w:eastAsia="zh-CN"/>
        </w:rPr>
        <w:t>2</w:t>
      </w:r>
      <w:r>
        <w:rPr>
          <w:rFonts w:hint="eastAsia" w:ascii="Times New Roman" w:hAnsi="Times New Roman" w:eastAsia="方正仿宋_GBK" w:cs="Times New Roman"/>
          <w:sz w:val="32"/>
          <w:szCs w:val="32"/>
        </w:rPr>
        <w:t>%，表土保护率92%，林草植被恢复率97%，林草覆盖率2</w:t>
      </w:r>
      <w:r>
        <w:rPr>
          <w:rFonts w:hint="eastAsia" w:ascii="Times New Roman" w:hAnsi="Times New Roman" w:eastAsia="方正仿宋_GBK" w:cs="Times New Roman"/>
          <w:sz w:val="32"/>
          <w:szCs w:val="32"/>
          <w:lang w:val="en-US" w:eastAsia="zh-CN"/>
        </w:rPr>
        <w:t>5</w:t>
      </w:r>
      <w:r>
        <w:rPr>
          <w:rFonts w:hint="eastAsia" w:ascii="Times New Roman" w:hAnsi="Times New Roman" w:eastAsia="方正仿宋_GBK" w:cs="Times New Roman"/>
          <w:sz w:val="32"/>
          <w:szCs w:val="32"/>
        </w:rPr>
        <w:t>%</w:t>
      </w:r>
      <w:r>
        <w:rPr>
          <w:rFonts w:hint="eastAsia" w:ascii="方正仿宋_GBK" w:hAnsi="Calibri" w:eastAsia="方正仿宋_GBK" w:cs="Times New Roman"/>
          <w:bCs/>
          <w:snapToGrid w:val="0"/>
          <w:kern w:val="0"/>
          <w:sz w:val="32"/>
          <w:szCs w:val="32"/>
        </w:rPr>
        <w:t>。</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方正黑体_GBK" w:hAnsi="Calibri" w:eastAsia="方正黑体_GBK" w:cs="Times New Roman"/>
          <w:snapToGrid w:val="0"/>
          <w:kern w:val="0"/>
          <w:sz w:val="32"/>
          <w:szCs w:val="32"/>
        </w:rPr>
      </w:pPr>
      <w:r>
        <w:rPr>
          <w:rFonts w:hint="eastAsia" w:ascii="方正黑体_GBK" w:hAnsi="Calibri" w:eastAsia="方正黑体_GBK" w:cs="Times New Roman"/>
          <w:snapToGrid w:val="0"/>
          <w:kern w:val="0"/>
          <w:sz w:val="32"/>
          <w:szCs w:val="32"/>
        </w:rPr>
        <w:t>二、项目概况</w:t>
      </w:r>
    </w:p>
    <w:p>
      <w:pPr>
        <w:pageBreakBefore w:val="0"/>
        <w:kinsoku/>
        <w:wordWrap/>
        <w:overflowPunct/>
        <w:topLinePunct w:val="0"/>
        <w:bidi w:val="0"/>
        <w:spacing w:line="594" w:lineRule="exact"/>
        <w:ind w:left="0" w:leftChars="0" w:firstLine="640" w:firstLineChars="200"/>
        <w:textAlignment w:val="auto"/>
        <w:rPr>
          <w:rFonts w:hint="default" w:ascii="Times New Roman" w:hAnsi="Times New Roman" w:eastAsia="方正仿宋_GB2312" w:cs="Times New Roman"/>
          <w:color w:val="auto"/>
          <w:sz w:val="32"/>
          <w:szCs w:val="32"/>
          <w:lang w:val="en-US" w:eastAsia="zh-CN"/>
        </w:rPr>
      </w:pPr>
      <w:r>
        <w:rPr>
          <w:rFonts w:hint="eastAsia" w:ascii="Times New Roman" w:hAnsi="Times New Roman" w:eastAsia="方正仿宋_GBK" w:cs="Times New Roman"/>
          <w:sz w:val="32"/>
          <w:szCs w:val="32"/>
        </w:rPr>
        <w:t>（一）项目概况阐述较为清楚</w:t>
      </w:r>
      <w:r>
        <w:rPr>
          <w:rFonts w:hint="eastAsia" w:ascii="Times New Roman" w:hAnsi="Times New Roman" w:eastAsia="方正仿宋_GBK" w:cs="Times New Roman"/>
          <w:sz w:val="32"/>
          <w:szCs w:val="32"/>
          <w:lang w:eastAsia="zh-CN"/>
        </w:rPr>
        <w:t>。</w:t>
      </w:r>
      <w:r>
        <w:rPr>
          <w:rFonts w:hint="default" w:ascii="Times New Roman" w:hAnsi="Times New Roman" w:eastAsia="方正仿宋_GB2312" w:cs="Times New Roman"/>
          <w:color w:val="auto"/>
          <w:sz w:val="32"/>
          <w:szCs w:val="32"/>
          <w:lang w:val="en-US" w:eastAsia="zh-CN"/>
        </w:rPr>
        <w:t>本项目位于重庆市两江新区、巴南区和南岸区，为新建220千伏输变电工程，工程任务是为丰盛牵引站提供电源。本项目主要由线路工程和变电工程两部分组成，其中，线路工程新建220千伏线路总长43.4km/101塔基，包括书房~丰盛牵引站220千伏线路工程（线路长24.5km/58塔基，其中南岸区2.92km/9基、巴南区21.58km/49塔基）和明月山~丰盛牵引站220千伏线路工程（线路长18.9</w:t>
      </w:r>
      <w:r>
        <w:rPr>
          <w:rFonts w:hint="eastAsia" w:ascii="Times New Roman" w:hAnsi="Times New Roman" w:eastAsia="方正仿宋_GB2312" w:cs="Times New Roman"/>
          <w:color w:val="auto"/>
          <w:sz w:val="32"/>
          <w:szCs w:val="32"/>
          <w:lang w:val="en-US" w:eastAsia="zh-CN"/>
        </w:rPr>
        <w:t>0</w:t>
      </w:r>
      <w:r>
        <w:rPr>
          <w:rFonts w:hint="default" w:ascii="Times New Roman" w:hAnsi="Times New Roman" w:eastAsia="方正仿宋_GB2312" w:cs="Times New Roman"/>
          <w:color w:val="auto"/>
          <w:sz w:val="32"/>
          <w:szCs w:val="32"/>
          <w:lang w:val="en-US" w:eastAsia="zh-CN"/>
        </w:rPr>
        <w:t>km/43塔基，其中</w:t>
      </w:r>
      <w:r>
        <w:rPr>
          <w:rFonts w:hint="eastAsia" w:ascii="Times New Roman" w:hAnsi="Times New Roman" w:eastAsia="方正仿宋_GB2312" w:cs="Times New Roman"/>
          <w:color w:val="auto"/>
          <w:sz w:val="32"/>
          <w:szCs w:val="32"/>
          <w:lang w:val="en-US" w:eastAsia="zh-CN"/>
        </w:rPr>
        <w:t>：</w:t>
      </w:r>
      <w:r>
        <w:rPr>
          <w:rFonts w:hint="default" w:ascii="Times New Roman" w:hAnsi="Times New Roman" w:eastAsia="方正仿宋_GB2312" w:cs="Times New Roman"/>
          <w:color w:val="auto"/>
          <w:sz w:val="32"/>
          <w:szCs w:val="32"/>
          <w:lang w:val="en-US" w:eastAsia="zh-CN"/>
        </w:rPr>
        <w:t>两江新区</w:t>
      </w:r>
      <w:r>
        <w:rPr>
          <w:rFonts w:hint="eastAsia" w:ascii="Times New Roman" w:hAnsi="Times New Roman" w:eastAsia="方正仿宋_GB2312" w:cs="Times New Roman"/>
          <w:color w:val="auto"/>
          <w:sz w:val="32"/>
          <w:szCs w:val="32"/>
          <w:lang w:val="en-US" w:eastAsia="zh-CN"/>
        </w:rPr>
        <w:t>6.13</w:t>
      </w:r>
      <w:r>
        <w:rPr>
          <w:rFonts w:hint="default" w:ascii="Times New Roman" w:hAnsi="Times New Roman" w:eastAsia="方正仿宋_GB2312" w:cs="Times New Roman"/>
          <w:color w:val="auto"/>
          <w:sz w:val="32"/>
          <w:szCs w:val="32"/>
          <w:lang w:val="en-US" w:eastAsia="zh-CN"/>
        </w:rPr>
        <w:t>km/</w:t>
      </w:r>
      <w:r>
        <w:rPr>
          <w:rFonts w:hint="eastAsia" w:ascii="Times New Roman" w:hAnsi="Times New Roman" w:eastAsia="方正仿宋_GB2312" w:cs="Times New Roman"/>
          <w:color w:val="auto"/>
          <w:sz w:val="32"/>
          <w:szCs w:val="32"/>
          <w:lang w:val="en-US" w:eastAsia="zh-CN"/>
        </w:rPr>
        <w:t>15</w:t>
      </w:r>
      <w:r>
        <w:rPr>
          <w:rFonts w:hint="default" w:ascii="Times New Roman" w:hAnsi="Times New Roman" w:eastAsia="方正仿宋_GB2312" w:cs="Times New Roman"/>
          <w:color w:val="auto"/>
          <w:sz w:val="32"/>
          <w:szCs w:val="32"/>
          <w:lang w:val="en-US" w:eastAsia="zh-CN"/>
        </w:rPr>
        <w:t>塔基、巴南区12.77km/28塔基）；变电工程由书房变电站220千伏间隔扩建工程（位于南岸区）和明月山500千伏变电站220千伏间隔扩建工程（位于两江新区）组成，因本次变电工程仅涉及已预留间隔空位的间隔扩建，不涉及土建内容，故本项目未计列变电工程的防治责任范围。本项目施工组织设计共布设牵张场15处、跨越施工场地4处、车行施工便道2402m/22条、人抬施工便道7095m/62条。</w:t>
      </w:r>
    </w:p>
    <w:p>
      <w:pPr>
        <w:pageBreakBefore w:val="0"/>
        <w:kinsoku/>
        <w:wordWrap/>
        <w:overflowPunct/>
        <w:topLinePunct w:val="0"/>
        <w:bidi w:val="0"/>
        <w:spacing w:line="594" w:lineRule="exact"/>
        <w:ind w:left="0" w:leftChars="0" w:firstLine="640" w:firstLineChars="200"/>
        <w:textAlignment w:val="auto"/>
        <w:rPr>
          <w:rFonts w:hint="eastAsia" w:ascii="Times New Roman" w:hAnsi="Times New Roman" w:eastAsia="方正仿宋_GBK" w:cs="Times New Roman"/>
          <w:sz w:val="32"/>
          <w:szCs w:val="32"/>
        </w:rPr>
      </w:pPr>
      <w:r>
        <w:rPr>
          <w:rFonts w:hint="default" w:ascii="Times New Roman" w:hAnsi="Times New Roman" w:eastAsia="方正仿宋_GB2312" w:cs="Times New Roman"/>
          <w:color w:val="auto"/>
          <w:sz w:val="32"/>
          <w:szCs w:val="32"/>
          <w:lang w:val="en-US" w:eastAsia="zh-CN"/>
        </w:rPr>
        <w:t>本项目总占地面积10.23hm</w:t>
      </w:r>
      <w:r>
        <w:rPr>
          <w:rFonts w:hint="default" w:ascii="Times New Roman" w:hAnsi="Times New Roman" w:eastAsia="方正仿宋_GB2312" w:cs="Times New Roman"/>
          <w:color w:val="auto"/>
          <w:sz w:val="32"/>
          <w:szCs w:val="32"/>
          <w:vertAlign w:val="superscript"/>
          <w:lang w:val="en-US" w:eastAsia="zh-CN"/>
        </w:rPr>
        <w:t>2</w:t>
      </w:r>
      <w:r>
        <w:rPr>
          <w:rFonts w:hint="default" w:ascii="Times New Roman" w:hAnsi="Times New Roman" w:eastAsia="方正仿宋_GB2312" w:cs="Times New Roman"/>
          <w:color w:val="auto"/>
          <w:sz w:val="32"/>
          <w:szCs w:val="32"/>
          <w:lang w:val="en-US" w:eastAsia="zh-CN"/>
        </w:rPr>
        <w:t>，其中：永久占地2.10hm</w:t>
      </w:r>
      <w:r>
        <w:rPr>
          <w:rFonts w:hint="default" w:ascii="Times New Roman" w:hAnsi="Times New Roman" w:eastAsia="方正仿宋_GB2312" w:cs="Times New Roman"/>
          <w:color w:val="auto"/>
          <w:sz w:val="32"/>
          <w:szCs w:val="32"/>
          <w:vertAlign w:val="superscript"/>
          <w:lang w:val="en-US" w:eastAsia="zh-CN"/>
        </w:rPr>
        <w:t>2</w:t>
      </w:r>
      <w:r>
        <w:rPr>
          <w:rFonts w:hint="default" w:ascii="Times New Roman" w:hAnsi="Times New Roman" w:eastAsia="方正仿宋_GB2312" w:cs="Times New Roman"/>
          <w:color w:val="auto"/>
          <w:sz w:val="32"/>
          <w:szCs w:val="32"/>
          <w:lang w:val="en-US" w:eastAsia="zh-CN"/>
        </w:rPr>
        <w:t>，临时占地8.13hm</w:t>
      </w:r>
      <w:r>
        <w:rPr>
          <w:rFonts w:hint="default" w:ascii="Times New Roman" w:hAnsi="Times New Roman" w:eastAsia="方正仿宋_GB2312" w:cs="Times New Roman"/>
          <w:color w:val="auto"/>
          <w:sz w:val="32"/>
          <w:szCs w:val="32"/>
          <w:vertAlign w:val="superscript"/>
          <w:lang w:val="en-US" w:eastAsia="zh-CN"/>
        </w:rPr>
        <w:t>2</w:t>
      </w:r>
      <w:r>
        <w:rPr>
          <w:rFonts w:hint="default" w:ascii="Times New Roman" w:hAnsi="Times New Roman" w:eastAsia="方正仿宋_GB2312" w:cs="Times New Roman"/>
          <w:color w:val="auto"/>
          <w:sz w:val="32"/>
          <w:szCs w:val="32"/>
          <w:lang w:val="en-US" w:eastAsia="zh-CN"/>
        </w:rPr>
        <w:t>。本项目挖方量1.79万m</w:t>
      </w:r>
      <w:r>
        <w:rPr>
          <w:rFonts w:hint="default" w:ascii="Times New Roman" w:hAnsi="Times New Roman" w:eastAsia="方正仿宋_GB2312" w:cs="Times New Roman"/>
          <w:color w:val="auto"/>
          <w:sz w:val="32"/>
          <w:szCs w:val="32"/>
          <w:vertAlign w:val="superscript"/>
          <w:lang w:val="en-US" w:eastAsia="zh-CN"/>
        </w:rPr>
        <w:t>3</w:t>
      </w:r>
      <w:r>
        <w:rPr>
          <w:rFonts w:hint="default" w:ascii="Times New Roman" w:hAnsi="Times New Roman" w:eastAsia="方正仿宋_GB2312" w:cs="Times New Roman"/>
          <w:color w:val="auto"/>
          <w:sz w:val="32"/>
          <w:szCs w:val="32"/>
          <w:lang w:val="en-US" w:eastAsia="zh-CN"/>
        </w:rPr>
        <w:t>（含剥离表土0.29万m</w:t>
      </w:r>
      <w:r>
        <w:rPr>
          <w:rFonts w:hint="default" w:ascii="Times New Roman" w:hAnsi="Times New Roman" w:eastAsia="方正仿宋_GB2312" w:cs="Times New Roman"/>
          <w:color w:val="auto"/>
          <w:sz w:val="32"/>
          <w:szCs w:val="32"/>
          <w:vertAlign w:val="superscript"/>
          <w:lang w:val="en-US" w:eastAsia="zh-CN"/>
        </w:rPr>
        <w:t>3</w:t>
      </w:r>
      <w:r>
        <w:rPr>
          <w:rFonts w:hint="default" w:ascii="Times New Roman" w:hAnsi="Times New Roman" w:eastAsia="方正仿宋_GB2312" w:cs="Times New Roman"/>
          <w:color w:val="auto"/>
          <w:sz w:val="32"/>
          <w:szCs w:val="32"/>
          <w:lang w:val="en-US" w:eastAsia="zh-CN"/>
        </w:rPr>
        <w:t>），总填方量约1.79万m</w:t>
      </w:r>
      <w:r>
        <w:rPr>
          <w:rFonts w:hint="default" w:ascii="Times New Roman" w:hAnsi="Times New Roman" w:eastAsia="方正仿宋_GB2312" w:cs="Times New Roman"/>
          <w:color w:val="auto"/>
          <w:sz w:val="32"/>
          <w:szCs w:val="32"/>
          <w:vertAlign w:val="superscript"/>
          <w:lang w:val="en-US" w:eastAsia="zh-CN"/>
        </w:rPr>
        <w:t>3</w:t>
      </w:r>
      <w:r>
        <w:rPr>
          <w:rFonts w:hint="default" w:ascii="Times New Roman" w:hAnsi="Times New Roman" w:eastAsia="方正仿宋_GB2312" w:cs="Times New Roman"/>
          <w:color w:val="auto"/>
          <w:sz w:val="32"/>
          <w:szCs w:val="32"/>
          <w:lang w:val="en-US" w:eastAsia="zh-CN"/>
        </w:rPr>
        <w:t>（含回覆表土0.29万m</w:t>
      </w:r>
      <w:r>
        <w:rPr>
          <w:rFonts w:hint="default" w:ascii="Times New Roman" w:hAnsi="Times New Roman" w:eastAsia="方正仿宋_GB2312" w:cs="Times New Roman"/>
          <w:color w:val="auto"/>
          <w:sz w:val="32"/>
          <w:szCs w:val="32"/>
          <w:vertAlign w:val="superscript"/>
          <w:lang w:val="en-US" w:eastAsia="zh-CN"/>
        </w:rPr>
        <w:t>3</w:t>
      </w:r>
      <w:r>
        <w:rPr>
          <w:rFonts w:hint="default" w:ascii="Times New Roman" w:hAnsi="Times New Roman" w:eastAsia="方正仿宋_GB2312" w:cs="Times New Roman"/>
          <w:color w:val="auto"/>
          <w:sz w:val="32"/>
          <w:szCs w:val="32"/>
          <w:lang w:val="en-US" w:eastAsia="zh-CN"/>
        </w:rPr>
        <w:t>），无借方，无余方。本项目计划2025年12月开工，2026年7月完工，总工期8个月。项目总投资13486万元，其中土建投资10788万元，资金来源为自有资金、银行贷款。拆迁安置采取货币一次性补偿</w:t>
      </w:r>
      <w:r>
        <w:rPr>
          <w:rFonts w:hint="eastAsia" w:ascii="Times New Roman" w:hAnsi="Times New Roman" w:eastAsia="方正仿宋_GBK" w:cs="Times New Roman"/>
          <w:sz w:val="32"/>
          <w:szCs w:val="32"/>
        </w:rPr>
        <w:t>。</w:t>
      </w:r>
    </w:p>
    <w:p>
      <w:pPr>
        <w:pageBreakBefore w:val="0"/>
        <w:kinsoku/>
        <w:wordWrap/>
        <w:overflowPunct/>
        <w:topLinePunct w:val="0"/>
        <w:bidi w:val="0"/>
        <w:spacing w:line="594" w:lineRule="exact"/>
        <w:ind w:left="0" w:leftChars="0" w:firstLine="640" w:firstLineChars="200"/>
        <w:textAlignment w:val="auto"/>
        <w:rPr>
          <w:rFonts w:hint="eastAsia" w:ascii="方正仿宋_GBK" w:hAnsi="Calibri" w:eastAsia="方正仿宋_GBK" w:cs="Times New Roman"/>
          <w:bCs/>
          <w:snapToGrid w:val="0"/>
          <w:kern w:val="0"/>
          <w:sz w:val="32"/>
          <w:szCs w:val="32"/>
        </w:rPr>
      </w:pPr>
      <w:r>
        <w:rPr>
          <w:rFonts w:hint="eastAsia" w:ascii="Times New Roman" w:hAnsi="Times New Roman" w:eastAsia="方正仿宋_GBK" w:cs="Times New Roman"/>
          <w:sz w:val="32"/>
          <w:szCs w:val="32"/>
        </w:rPr>
        <w:t>（二）项目区</w:t>
      </w:r>
      <w:r>
        <w:rPr>
          <w:rFonts w:hint="eastAsia" w:ascii="Times New Roman" w:hAnsi="Times New Roman" w:eastAsia="方正仿宋_GBK" w:cs="Times New Roman"/>
          <w:sz w:val="32"/>
          <w:szCs w:val="32"/>
          <w:lang w:eastAsia="zh-CN"/>
        </w:rPr>
        <w:t>自然概况</w:t>
      </w:r>
      <w:r>
        <w:rPr>
          <w:rFonts w:hint="eastAsia" w:ascii="Times New Roman" w:hAnsi="Times New Roman" w:eastAsia="方正仿宋_GBK" w:cs="Times New Roman"/>
          <w:sz w:val="32"/>
          <w:szCs w:val="32"/>
        </w:rPr>
        <w:t>阐述较为清楚</w:t>
      </w:r>
      <w:r>
        <w:rPr>
          <w:rFonts w:ascii="方正仿宋_GBK" w:hAnsi="Calibri" w:eastAsia="方正仿宋_GBK" w:cs="Times New Roman"/>
          <w:bCs/>
          <w:snapToGrid w:val="0"/>
          <w:kern w:val="0"/>
          <w:sz w:val="32"/>
          <w:szCs w:val="32"/>
        </w:rPr>
        <w:t>。</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方正黑体_GBK" w:hAnsi="Calibri" w:eastAsia="方正黑体_GBK" w:cs="Times New Roman"/>
          <w:snapToGrid w:val="0"/>
          <w:kern w:val="0"/>
          <w:sz w:val="32"/>
          <w:szCs w:val="32"/>
        </w:rPr>
      </w:pPr>
      <w:r>
        <w:rPr>
          <w:rFonts w:hint="eastAsia" w:ascii="方正黑体_GBK" w:hAnsi="Calibri" w:eastAsia="方正黑体_GBK" w:cs="Times New Roman"/>
          <w:snapToGrid w:val="0"/>
          <w:kern w:val="0"/>
          <w:sz w:val="32"/>
          <w:szCs w:val="32"/>
        </w:rPr>
        <w:t>三、</w:t>
      </w:r>
      <w:r>
        <w:rPr>
          <w:rFonts w:hint="eastAsia" w:ascii="方正黑体_GBK" w:hAnsi="Calibri" w:eastAsia="方正黑体_GBK" w:cs="Times New Roman"/>
          <w:bCs/>
          <w:snapToGrid w:val="0"/>
          <w:kern w:val="0"/>
          <w:sz w:val="32"/>
          <w:szCs w:val="32"/>
        </w:rPr>
        <w:t>项目水土保持</w:t>
      </w:r>
      <w:r>
        <w:rPr>
          <w:rFonts w:ascii="方正黑体_GBK" w:hAnsi="Calibri" w:eastAsia="方正黑体_GBK" w:cs="Times New Roman"/>
          <w:bCs/>
          <w:snapToGrid w:val="0"/>
          <w:kern w:val="0"/>
          <w:sz w:val="32"/>
          <w:szCs w:val="32"/>
        </w:rPr>
        <w:t>评价</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（一）基本同意对主体工程选址（线）水土保持评价。项目选址（线）涉及三峡库区国家级水土流失重点治理区、重庆市水土流失重点预防区和治理区、</w:t>
      </w:r>
      <w:r>
        <w:rPr>
          <w:rFonts w:hint="eastAsia" w:ascii="Times New Roman" w:hAnsi="Times New Roman" w:eastAsia="方正仿宋_GBK" w:cs="Times New Roman"/>
          <w:sz w:val="32"/>
          <w:szCs w:val="32"/>
          <w:lang w:eastAsia="zh-CN"/>
        </w:rPr>
        <w:t>巴南</w:t>
      </w:r>
      <w:r>
        <w:rPr>
          <w:rFonts w:hint="eastAsia" w:ascii="Times New Roman" w:hAnsi="Times New Roman" w:eastAsia="方正仿宋_GBK" w:cs="Times New Roman"/>
          <w:sz w:val="32"/>
          <w:szCs w:val="32"/>
        </w:rPr>
        <w:t>区水土流失重点预防区且无法避让，已执行水土流失防治最高标准（一级标准），符合法律法规要求。</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（二）基本同意对项目建设方案与布局、工程占地、土石方平衡、施工方法与工艺等的水土保持评价。</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（三）基本同意对主体工程设计中水土保持措施界定。</w:t>
      </w:r>
    </w:p>
    <w:p>
      <w:pPr>
        <w:pStyle w:val="2"/>
        <w:rPr>
          <w:rFonts w:hint="eastAsia"/>
        </w:rPr>
      </w:pPr>
    </w:p>
    <w:p>
      <w:pPr>
        <w:pageBreakBefore w:val="0"/>
        <w:kinsoku/>
        <w:wordWrap/>
        <w:overflowPunct/>
        <w:topLinePunct w:val="0"/>
        <w:bidi w:val="0"/>
        <w:snapToGrid w:val="0"/>
        <w:spacing w:line="594" w:lineRule="exact"/>
        <w:ind w:left="0" w:leftChars="0" w:firstLine="640" w:firstLineChars="200"/>
        <w:jc w:val="left"/>
        <w:textAlignment w:val="auto"/>
        <w:rPr>
          <w:rFonts w:ascii="方正黑体_GBK" w:hAnsi="Calibri" w:eastAsia="方正黑体_GBK" w:cs="Times New Roman"/>
          <w:snapToGrid w:val="0"/>
          <w:kern w:val="0"/>
          <w:sz w:val="32"/>
          <w:szCs w:val="32"/>
        </w:rPr>
      </w:pPr>
      <w:r>
        <w:rPr>
          <w:rFonts w:hint="eastAsia" w:ascii="方正黑体_GBK" w:hAnsi="Calibri" w:eastAsia="方正黑体_GBK" w:cs="Times New Roman"/>
          <w:snapToGrid w:val="0"/>
          <w:kern w:val="0"/>
          <w:sz w:val="32"/>
          <w:szCs w:val="32"/>
        </w:rPr>
        <w:t>四、</w:t>
      </w:r>
      <w:r>
        <w:rPr>
          <w:rFonts w:ascii="方正黑体_GBK" w:hAnsi="Calibri" w:eastAsia="方正黑体_GBK" w:cs="Times New Roman"/>
          <w:bCs/>
          <w:snapToGrid w:val="0"/>
          <w:kern w:val="0"/>
          <w:sz w:val="32"/>
          <w:szCs w:val="32"/>
        </w:rPr>
        <w:t>水土流失</w:t>
      </w:r>
      <w:r>
        <w:rPr>
          <w:rFonts w:hint="eastAsia" w:ascii="方正黑体_GBK" w:hAnsi="Calibri" w:eastAsia="方正黑体_GBK" w:cs="Times New Roman"/>
          <w:bCs/>
          <w:snapToGrid w:val="0"/>
          <w:kern w:val="0"/>
          <w:sz w:val="32"/>
          <w:szCs w:val="32"/>
        </w:rPr>
        <w:t>分析</w:t>
      </w:r>
      <w:r>
        <w:rPr>
          <w:rFonts w:ascii="方正黑体_GBK" w:hAnsi="Calibri" w:eastAsia="方正黑体_GBK" w:cs="Times New Roman"/>
          <w:bCs/>
          <w:snapToGrid w:val="0"/>
          <w:kern w:val="0"/>
          <w:sz w:val="32"/>
          <w:szCs w:val="32"/>
        </w:rPr>
        <w:t>与预测</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（一）基本同意对项目水土流失现状及影响分析。</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rPr>
        <w:t>（二）基本同意项目建设扰动地表面积</w:t>
      </w:r>
      <w:r>
        <w:rPr>
          <w:rFonts w:hint="eastAsia" w:ascii="Times New Roman" w:hAnsi="Times New Roman" w:eastAsia="方正仿宋_GBK" w:cs="Times New Roman"/>
          <w:color w:val="auto"/>
          <w:sz w:val="32"/>
          <w:szCs w:val="32"/>
          <w:lang w:val="en-US" w:eastAsia="zh-CN"/>
        </w:rPr>
        <w:t>10.23</w:t>
      </w:r>
      <w:r>
        <w:rPr>
          <w:rFonts w:hint="eastAsia" w:ascii="Times New Roman" w:hAnsi="Times New Roman" w:eastAsia="方正仿宋_GBK" w:cs="Times New Roman"/>
          <w:sz w:val="32"/>
          <w:szCs w:val="32"/>
          <w:lang w:val="en-US" w:eastAsia="zh-CN"/>
        </w:rPr>
        <w:t>hm</w:t>
      </w:r>
      <w:r>
        <w:rPr>
          <w:rFonts w:hint="eastAsia" w:ascii="Times New Roman" w:hAnsi="Times New Roman" w:eastAsia="方正仿宋_GBK" w:cs="Times New Roman"/>
          <w:sz w:val="32"/>
          <w:szCs w:val="32"/>
          <w:vertAlign w:val="superscript"/>
          <w:lang w:val="en-US" w:eastAsia="zh-CN"/>
        </w:rPr>
        <w:t>2</w:t>
      </w:r>
      <w:r>
        <w:rPr>
          <w:rFonts w:hint="eastAsia" w:ascii="Times New Roman" w:hAnsi="Times New Roman" w:eastAsia="方正仿宋_GBK" w:cs="Times New Roman"/>
          <w:sz w:val="32"/>
          <w:szCs w:val="32"/>
          <w:lang w:eastAsia="zh-CN"/>
        </w:rPr>
        <w:t>，损毁植被面积</w:t>
      </w:r>
      <w:r>
        <w:rPr>
          <w:rFonts w:hint="eastAsia" w:ascii="Times New Roman" w:hAnsi="Times New Roman" w:eastAsia="方正仿宋_GBK" w:cs="Times New Roman"/>
          <w:color w:val="auto"/>
          <w:sz w:val="32"/>
          <w:szCs w:val="32"/>
          <w:lang w:val="en-US" w:eastAsia="zh-CN"/>
        </w:rPr>
        <w:t>8.29</w:t>
      </w:r>
      <w:r>
        <w:rPr>
          <w:rFonts w:hint="eastAsia" w:ascii="Times New Roman" w:hAnsi="Times New Roman" w:eastAsia="方正仿宋_GBK" w:cs="Times New Roman"/>
          <w:sz w:val="32"/>
          <w:szCs w:val="32"/>
          <w:lang w:eastAsia="zh-CN"/>
        </w:rPr>
        <w:t>hm</w:t>
      </w:r>
      <w:r>
        <w:rPr>
          <w:rFonts w:hint="eastAsia" w:ascii="Times New Roman" w:hAnsi="Times New Roman" w:eastAsia="方正仿宋_GBK" w:cs="Times New Roman"/>
          <w:sz w:val="32"/>
          <w:szCs w:val="32"/>
          <w:vertAlign w:val="superscript"/>
          <w:lang w:eastAsia="zh-CN"/>
        </w:rPr>
        <w:t>2</w:t>
      </w:r>
      <w:r>
        <w:rPr>
          <w:rFonts w:hint="eastAsia" w:ascii="Times New Roman" w:hAnsi="Times New Roman" w:eastAsia="方正仿宋_GBK" w:cs="Times New Roman"/>
          <w:sz w:val="32"/>
          <w:szCs w:val="32"/>
          <w:lang w:eastAsia="zh-CN"/>
        </w:rPr>
        <w:t>。</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（三）基本同意土壤流失量预测方法及结果，工程建设可能造成的土壤流失总量为</w:t>
      </w:r>
      <w:r>
        <w:rPr>
          <w:rFonts w:hint="eastAsia" w:ascii="Times New Roman" w:hAnsi="Times New Roman" w:eastAsia="方正仿宋_GBK" w:cs="Times New Roman"/>
          <w:color w:val="auto"/>
          <w:sz w:val="32"/>
          <w:szCs w:val="32"/>
          <w:lang w:val="en-US" w:eastAsia="zh-CN"/>
        </w:rPr>
        <w:t>560t，</w:t>
      </w:r>
      <w:r>
        <w:rPr>
          <w:rFonts w:hint="eastAsia" w:ascii="Times New Roman" w:hAnsi="Times New Roman" w:eastAsia="方正仿宋_GBK" w:cs="Times New Roman"/>
          <w:sz w:val="32"/>
          <w:szCs w:val="32"/>
        </w:rPr>
        <w:t>新增土壤流失量为</w:t>
      </w:r>
      <w:r>
        <w:rPr>
          <w:rFonts w:hint="eastAsia" w:ascii="Times New Roman" w:hAnsi="Times New Roman" w:eastAsia="方正仿宋_GBK" w:cs="Times New Roman"/>
          <w:color w:val="auto"/>
          <w:sz w:val="32"/>
          <w:szCs w:val="32"/>
          <w:lang w:val="en-US" w:eastAsia="zh-CN"/>
        </w:rPr>
        <w:t>297</w:t>
      </w:r>
      <w:r>
        <w:rPr>
          <w:rFonts w:hint="eastAsia" w:ascii="Times New Roman" w:hAnsi="Times New Roman" w:eastAsia="方正仿宋_GBK" w:cs="Times New Roman"/>
          <w:sz w:val="32"/>
          <w:szCs w:val="32"/>
        </w:rPr>
        <w:t>t。</w:t>
      </w:r>
    </w:p>
    <w:p>
      <w:pPr>
        <w:pageBreakBefore w:val="0"/>
        <w:kinsoku/>
        <w:wordWrap/>
        <w:overflowPunct/>
        <w:topLinePunct w:val="0"/>
        <w:bidi w:val="0"/>
        <w:snapToGrid w:val="0"/>
        <w:spacing w:line="594" w:lineRule="exact"/>
        <w:ind w:left="0" w:leftChars="0" w:firstLine="640" w:firstLineChars="200"/>
        <w:jc w:val="left"/>
        <w:textAlignment w:val="auto"/>
        <w:rPr>
          <w:rFonts w:ascii="方正仿宋_GBK" w:hAnsi="Calibri" w:eastAsia="方正仿宋_GBK" w:cs="Times New Roman"/>
          <w:bCs/>
          <w:snapToGrid w:val="0"/>
          <w:kern w:val="0"/>
          <w:sz w:val="32"/>
          <w:szCs w:val="32"/>
        </w:rPr>
      </w:pPr>
      <w:r>
        <w:rPr>
          <w:rFonts w:hint="eastAsia" w:ascii="Times New Roman" w:hAnsi="Times New Roman" w:eastAsia="方正仿宋_GBK" w:cs="Times New Roman"/>
          <w:sz w:val="32"/>
          <w:szCs w:val="32"/>
        </w:rPr>
        <w:t>（四）基本同意水土流失的危害分析和指导性意见</w:t>
      </w:r>
      <w:r>
        <w:rPr>
          <w:rFonts w:ascii="方正仿宋_GBK" w:hAnsi="Calibri" w:eastAsia="方正仿宋_GBK" w:cs="Times New Roman"/>
          <w:bCs/>
          <w:snapToGrid w:val="0"/>
          <w:kern w:val="0"/>
          <w:sz w:val="32"/>
          <w:szCs w:val="32"/>
        </w:rPr>
        <w:t>。</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方正黑体_GBK" w:hAnsi="Calibri" w:eastAsia="方正黑体_GBK" w:cs="Times New Roman"/>
          <w:snapToGrid w:val="0"/>
          <w:kern w:val="0"/>
          <w:sz w:val="32"/>
          <w:szCs w:val="32"/>
        </w:rPr>
      </w:pPr>
      <w:r>
        <w:rPr>
          <w:rFonts w:hint="eastAsia" w:ascii="方正黑体_GBK" w:hAnsi="Calibri" w:eastAsia="方正黑体_GBK" w:cs="Times New Roman"/>
          <w:snapToGrid w:val="0"/>
          <w:kern w:val="0"/>
          <w:sz w:val="32"/>
          <w:szCs w:val="32"/>
        </w:rPr>
        <w:t>五、</w:t>
      </w:r>
      <w:r>
        <w:rPr>
          <w:rFonts w:hint="eastAsia" w:ascii="方正黑体_GBK" w:hAnsi="Calibri" w:eastAsia="方正黑体_GBK" w:cs="Times New Roman"/>
          <w:bCs/>
          <w:snapToGrid w:val="0"/>
          <w:kern w:val="0"/>
          <w:sz w:val="32"/>
          <w:szCs w:val="32"/>
        </w:rPr>
        <w:t>水土保持措施</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（一）基本同意项目水土流失防治分区划分为塔基工程、牵张场、施工便</w:t>
      </w:r>
      <w:r>
        <w:rPr>
          <w:rFonts w:hint="eastAsia" w:ascii="Times New Roman" w:hAnsi="Times New Roman" w:eastAsia="方正仿宋_GBK" w:cs="Times New Roman"/>
          <w:sz w:val="32"/>
          <w:szCs w:val="32"/>
          <w:lang w:eastAsia="zh-CN"/>
        </w:rPr>
        <w:t>道</w:t>
      </w:r>
      <w:r>
        <w:rPr>
          <w:rFonts w:hint="eastAsia" w:ascii="Times New Roman" w:hAnsi="Times New Roman" w:eastAsia="方正仿宋_GBK" w:cs="Times New Roman"/>
          <w:sz w:val="32"/>
          <w:szCs w:val="32"/>
        </w:rPr>
        <w:t>和跨越施工场地道4个防治区。</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（二）由主体工程设计中具有水保功能的措施和方案新增的水土保持措施所组成的水土流失防治体系基本合理。</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（三）基本同意各防治区防治措施布局和新增水土保持措施典型设计。</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1.</w:t>
      </w:r>
      <w:r>
        <w:rPr>
          <w:rFonts w:hint="eastAsia" w:ascii="Times New Roman" w:hAnsi="Times New Roman" w:eastAsia="方正仿宋_GBK" w:cs="Times New Roman"/>
          <w:sz w:val="32"/>
          <w:szCs w:val="32"/>
        </w:rPr>
        <w:t>塔基工程防治区</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施工前，对塔基开挖区内表土进行剥离，优先装袋用作区内临时堆土场拦挡。施工过程中，在有汇水的塔基上边坡修建浆砌石排水沟，并顺接周边自然排水系统；在较陡的塔基下边坡修建浆砌毛石挡土坎；对塔基施工产生的临时堆土采用填土编织袋拦挡</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遇降雨</w:t>
      </w:r>
      <w:r>
        <w:rPr>
          <w:rFonts w:hint="eastAsia" w:ascii="Times New Roman" w:hAnsi="Times New Roman" w:eastAsia="方正仿宋_GBK" w:cs="Times New Roman"/>
          <w:sz w:val="32"/>
          <w:szCs w:val="32"/>
          <w:lang w:eastAsia="zh-CN"/>
        </w:rPr>
        <w:t>时，</w:t>
      </w:r>
      <w:r>
        <w:rPr>
          <w:rFonts w:hint="eastAsia" w:ascii="Times New Roman" w:hAnsi="Times New Roman" w:eastAsia="方正仿宋_GBK" w:cs="Times New Roman"/>
          <w:sz w:val="32"/>
          <w:szCs w:val="32"/>
        </w:rPr>
        <w:t>对区内临时堆土及裸露土质坡面采用无纺布进行</w:t>
      </w:r>
      <w:r>
        <w:rPr>
          <w:rFonts w:hint="eastAsia" w:ascii="Times New Roman" w:hAnsi="Times New Roman" w:eastAsia="方正仿宋_GBK" w:cs="Times New Roman"/>
          <w:sz w:val="32"/>
          <w:szCs w:val="32"/>
          <w:lang w:eastAsia="zh-CN"/>
        </w:rPr>
        <w:t>覆盖</w:t>
      </w:r>
      <w:r>
        <w:rPr>
          <w:rFonts w:hint="eastAsia" w:ascii="Times New Roman" w:hAnsi="Times New Roman" w:eastAsia="方正仿宋_GBK" w:cs="Times New Roman"/>
          <w:sz w:val="32"/>
          <w:szCs w:val="32"/>
        </w:rPr>
        <w:t>。施工后期，对塔基占地进行土地整治及覆土，塔基永久占地采取撒播种草防护，塔基临时占地根据原占地类型恢复耕地或植被。</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2.</w:t>
      </w:r>
      <w:r>
        <w:rPr>
          <w:rFonts w:hint="eastAsia" w:ascii="Times New Roman" w:hAnsi="Times New Roman" w:eastAsia="方正仿宋_GBK" w:cs="Times New Roman"/>
          <w:sz w:val="32"/>
          <w:szCs w:val="32"/>
        </w:rPr>
        <w:t>牵张场防治区</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施工过程中，对牵张场占地采用塑料彩条布铺垫进行防护。施工后期，对牵张场占地进行土地整治，根据原占地类型恢复耕地或植被。</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3.</w:t>
      </w:r>
      <w:r>
        <w:rPr>
          <w:rFonts w:hint="eastAsia" w:ascii="Times New Roman" w:hAnsi="Times New Roman" w:eastAsia="方正仿宋_GBK" w:cs="Times New Roman"/>
          <w:sz w:val="32"/>
          <w:szCs w:val="32"/>
        </w:rPr>
        <w:t>施工便道防治区</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施工前，对车行施工便道区内表土进行剥离，优先装袋用作道路填方边坡临时拦挡</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剥离表土堆放在车行施工便道一侧，并采用无纺布</w:t>
      </w:r>
      <w:r>
        <w:rPr>
          <w:rFonts w:hint="eastAsia" w:ascii="Times New Roman" w:hAnsi="Times New Roman" w:eastAsia="方正仿宋_GBK" w:cs="Times New Roman"/>
          <w:sz w:val="32"/>
          <w:szCs w:val="32"/>
          <w:lang w:eastAsia="zh-CN"/>
        </w:rPr>
        <w:t>覆盖</w:t>
      </w:r>
      <w:r>
        <w:rPr>
          <w:rFonts w:hint="eastAsia" w:ascii="Times New Roman" w:hAnsi="Times New Roman" w:eastAsia="方正仿宋_GBK" w:cs="Times New Roman"/>
          <w:sz w:val="32"/>
          <w:szCs w:val="32"/>
        </w:rPr>
        <w:t>防护。施工过程中，在车行施工便道填方边坡坡脚布设编织土袋挡土墙</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进行临时拦挡</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在车行便道汇水侧布设临时排水沟</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并顺接周边自然排水系统</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遇降雨</w:t>
      </w:r>
      <w:r>
        <w:rPr>
          <w:rFonts w:hint="eastAsia" w:ascii="Times New Roman" w:hAnsi="Times New Roman" w:eastAsia="方正仿宋_GBK" w:cs="Times New Roman"/>
          <w:sz w:val="32"/>
          <w:szCs w:val="32"/>
          <w:lang w:eastAsia="zh-CN"/>
        </w:rPr>
        <w:t>时，</w:t>
      </w:r>
      <w:r>
        <w:rPr>
          <w:rFonts w:hint="eastAsia" w:ascii="Times New Roman" w:hAnsi="Times New Roman" w:eastAsia="方正仿宋_GBK" w:cs="Times New Roman"/>
          <w:sz w:val="32"/>
          <w:szCs w:val="32"/>
        </w:rPr>
        <w:t>对区内临时堆土及裸露土质坡面采用无纺布进行</w:t>
      </w:r>
      <w:r>
        <w:rPr>
          <w:rFonts w:hint="eastAsia" w:ascii="Times New Roman" w:hAnsi="Times New Roman" w:eastAsia="方正仿宋_GBK" w:cs="Times New Roman"/>
          <w:sz w:val="32"/>
          <w:szCs w:val="32"/>
          <w:lang w:eastAsia="zh-CN"/>
        </w:rPr>
        <w:t>覆盖</w:t>
      </w:r>
      <w:r>
        <w:rPr>
          <w:rFonts w:hint="eastAsia" w:ascii="Times New Roman" w:hAnsi="Times New Roman" w:eastAsia="方正仿宋_GBK" w:cs="Times New Roman"/>
          <w:sz w:val="32"/>
          <w:szCs w:val="32"/>
        </w:rPr>
        <w:t>。施工后期，对车行施工便道占地进行土地整治及覆土，并采取植树种草防护</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对人抬施工便道进行土地整治后采取撒播种草防护。</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4.</w:t>
      </w:r>
      <w:r>
        <w:rPr>
          <w:rFonts w:hint="eastAsia" w:ascii="Times New Roman" w:hAnsi="Times New Roman" w:eastAsia="方正仿宋_GBK" w:cs="Times New Roman"/>
          <w:sz w:val="32"/>
          <w:szCs w:val="32"/>
        </w:rPr>
        <w:t>跨越施工场地防治区</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施工过程中，对跨越场地占地采用塑料彩条布铺垫进行防护。施工后期，对跨越施工场地占地进行土地整治，根据原占地类型恢复耕地或植被。</w:t>
      </w:r>
    </w:p>
    <w:p>
      <w:pPr>
        <w:pageBreakBefore w:val="0"/>
        <w:kinsoku/>
        <w:wordWrap/>
        <w:overflowPunct/>
        <w:topLinePunct w:val="0"/>
        <w:bidi w:val="0"/>
        <w:snapToGrid w:val="0"/>
        <w:spacing w:line="594" w:lineRule="exact"/>
        <w:ind w:left="0" w:leftChars="0" w:firstLine="640" w:firstLineChars="200"/>
        <w:jc w:val="left"/>
        <w:textAlignment w:val="auto"/>
        <w:rPr>
          <w:rFonts w:ascii="方正仿宋_GBK" w:hAnsi="Times New Roman" w:eastAsia="方正仿宋_GBK" w:cs="Times New Roman"/>
          <w:bCs/>
          <w:snapToGrid w:val="0"/>
          <w:kern w:val="0"/>
          <w:sz w:val="32"/>
          <w:szCs w:val="32"/>
        </w:rPr>
      </w:pPr>
      <w:r>
        <w:rPr>
          <w:rFonts w:hint="eastAsia" w:ascii="Times New Roman" w:hAnsi="Times New Roman" w:eastAsia="方正仿宋_GBK" w:cs="Times New Roman"/>
          <w:sz w:val="32"/>
          <w:szCs w:val="32"/>
        </w:rPr>
        <w:t>（四）水土保持施工组织设计基本可行</w:t>
      </w:r>
      <w:r>
        <w:rPr>
          <w:rFonts w:ascii="方正仿宋_GBK" w:hAnsi="Times New Roman" w:eastAsia="方正仿宋_GBK" w:cs="Times New Roman"/>
          <w:bCs/>
          <w:snapToGrid w:val="0"/>
          <w:kern w:val="0"/>
          <w:sz w:val="32"/>
          <w:szCs w:val="32"/>
        </w:rPr>
        <w:t>。</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方正黑体_GBK" w:hAnsi="Calibri" w:eastAsia="方正黑体_GBK" w:cs="Times New Roman"/>
          <w:bCs/>
          <w:snapToGrid w:val="0"/>
          <w:kern w:val="0"/>
          <w:sz w:val="32"/>
          <w:szCs w:val="32"/>
        </w:rPr>
      </w:pPr>
      <w:r>
        <w:rPr>
          <w:rFonts w:hint="eastAsia" w:ascii="方正黑体_GBK" w:hAnsi="Calibri" w:eastAsia="方正黑体_GBK" w:cs="Times New Roman"/>
          <w:bCs/>
          <w:snapToGrid w:val="0"/>
          <w:kern w:val="0"/>
          <w:sz w:val="32"/>
          <w:szCs w:val="32"/>
        </w:rPr>
        <w:t>六</w:t>
      </w:r>
      <w:r>
        <w:rPr>
          <w:rFonts w:ascii="方正黑体_GBK" w:hAnsi="Calibri" w:eastAsia="方正黑体_GBK" w:cs="Times New Roman"/>
          <w:bCs/>
          <w:snapToGrid w:val="0"/>
          <w:kern w:val="0"/>
          <w:sz w:val="32"/>
          <w:szCs w:val="32"/>
        </w:rPr>
        <w:t>、</w:t>
      </w:r>
      <w:r>
        <w:rPr>
          <w:rFonts w:hint="eastAsia" w:ascii="方正黑体_GBK" w:hAnsi="Calibri" w:eastAsia="方正黑体_GBK" w:cs="Times New Roman"/>
          <w:bCs/>
          <w:snapToGrid w:val="0"/>
          <w:kern w:val="0"/>
          <w:sz w:val="32"/>
          <w:szCs w:val="32"/>
        </w:rPr>
        <w:t>水土保持监测</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方正仿宋_GBK" w:hAnsi="Calibri" w:eastAsia="方正仿宋_GBK" w:cs="Times New Roman"/>
          <w:bCs/>
          <w:snapToGrid w:val="0"/>
          <w:color w:val="000000"/>
          <w:kern w:val="0"/>
          <w:sz w:val="32"/>
          <w:szCs w:val="32"/>
        </w:rPr>
      </w:pPr>
      <w:r>
        <w:rPr>
          <w:rFonts w:ascii="方正仿宋_GBK" w:hAnsi="Calibri" w:eastAsia="方正仿宋_GBK" w:cs="Times New Roman"/>
          <w:bCs/>
          <w:snapToGrid w:val="0"/>
          <w:color w:val="000000"/>
          <w:kern w:val="0"/>
          <w:sz w:val="32"/>
          <w:szCs w:val="32"/>
        </w:rPr>
        <w:t>基本同意水土保持监测方案。</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方正黑体_GBK" w:hAnsi="Calibri" w:eastAsia="方正黑体_GBK" w:cs="Times New Roman"/>
          <w:bCs/>
          <w:snapToGrid w:val="0"/>
          <w:kern w:val="0"/>
          <w:sz w:val="32"/>
          <w:szCs w:val="32"/>
        </w:rPr>
      </w:pPr>
      <w:r>
        <w:rPr>
          <w:rFonts w:hint="eastAsia" w:ascii="方正黑体_GBK" w:hAnsi="Calibri" w:eastAsia="方正黑体_GBK" w:cs="Times New Roman"/>
          <w:bCs/>
          <w:snapToGrid w:val="0"/>
          <w:kern w:val="0"/>
          <w:sz w:val="32"/>
          <w:szCs w:val="32"/>
        </w:rPr>
        <w:t>七、水土保持投资</w:t>
      </w:r>
      <w:r>
        <w:rPr>
          <w:rFonts w:ascii="方正黑体_GBK" w:hAnsi="Calibri" w:eastAsia="方正黑体_GBK" w:cs="Times New Roman"/>
          <w:bCs/>
          <w:snapToGrid w:val="0"/>
          <w:kern w:val="0"/>
          <w:sz w:val="32"/>
          <w:szCs w:val="32"/>
        </w:rPr>
        <w:t>估算及效益分析</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方正仿宋_GBK" w:hAnsi="Calibri" w:eastAsia="方正仿宋_GBK" w:cs="Times New Roman"/>
          <w:bCs/>
          <w:snapToGrid w:val="0"/>
          <w:color w:val="000000"/>
          <w:kern w:val="0"/>
          <w:sz w:val="32"/>
          <w:szCs w:val="32"/>
        </w:rPr>
      </w:pPr>
      <w:r>
        <w:rPr>
          <w:rFonts w:hint="eastAsia" w:ascii="方正仿宋_GBK" w:hAnsi="Calibri" w:eastAsia="方正仿宋_GBK" w:cs="Times New Roman"/>
          <w:bCs/>
          <w:snapToGrid w:val="0"/>
          <w:color w:val="000000"/>
          <w:kern w:val="0"/>
          <w:sz w:val="32"/>
          <w:szCs w:val="32"/>
        </w:rPr>
        <w:t>（一）投资估算编制依据正确，费用及定额选择基本合理，编制深度基本满足规范要求。</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方正仿宋_GBK" w:hAnsi="Calibri" w:eastAsia="方正仿宋_GBK" w:cs="Times New Roman"/>
          <w:bCs/>
          <w:snapToGrid w:val="0"/>
          <w:color w:val="000000"/>
          <w:kern w:val="0"/>
          <w:sz w:val="32"/>
          <w:szCs w:val="32"/>
        </w:rPr>
      </w:pPr>
      <w:r>
        <w:rPr>
          <w:rFonts w:hint="eastAsia" w:ascii="方正仿宋_GBK" w:hAnsi="Calibri" w:eastAsia="方正仿宋_GBK" w:cs="Times New Roman"/>
          <w:bCs/>
          <w:snapToGrid w:val="0"/>
          <w:color w:val="000000"/>
          <w:kern w:val="0"/>
          <w:sz w:val="32"/>
          <w:szCs w:val="32"/>
        </w:rPr>
        <w:t>（二）</w:t>
      </w:r>
      <w:r>
        <w:rPr>
          <w:rFonts w:ascii="方正仿宋_GBK" w:hAnsi="Calibri" w:eastAsia="方正仿宋_GBK" w:cs="Times New Roman"/>
          <w:bCs/>
          <w:snapToGrid w:val="0"/>
          <w:color w:val="000000"/>
          <w:kern w:val="0"/>
          <w:sz w:val="32"/>
          <w:szCs w:val="32"/>
        </w:rPr>
        <w:t>经审核，</w:t>
      </w:r>
      <w:r>
        <w:rPr>
          <w:rFonts w:hint="eastAsia" w:ascii="Times New Roman" w:hAnsi="Times New Roman" w:eastAsia="方正仿宋_GBK" w:cs="Times New Roman"/>
          <w:sz w:val="32"/>
          <w:szCs w:val="32"/>
        </w:rPr>
        <w:t>水土保持方案工程静态总投资251.98万元，其中：主体已列110.61万元，方案新增141.37万元（其中：监测措施9.96万元，</w:t>
      </w:r>
      <w:r>
        <w:rPr>
          <w:rFonts w:hint="eastAsia" w:ascii="Times New Roman" w:hAnsi="Times New Roman" w:eastAsia="方正仿宋_GBK" w:cs="Times New Roman"/>
          <w:sz w:val="32"/>
          <w:szCs w:val="32"/>
          <w:lang w:eastAsia="zh-CN"/>
        </w:rPr>
        <w:t>施工</w:t>
      </w:r>
      <w:r>
        <w:rPr>
          <w:rFonts w:hint="eastAsia" w:ascii="Times New Roman" w:hAnsi="Times New Roman" w:eastAsia="方正仿宋_GBK" w:cs="Times New Roman"/>
          <w:sz w:val="32"/>
          <w:szCs w:val="32"/>
        </w:rPr>
        <w:t>临时措施80.39万元，独立费用29.51万元，基本预备费7.19万元，水土保持补偿费14.322万元）</w:t>
      </w:r>
      <w:r>
        <w:rPr>
          <w:rFonts w:hint="eastAsia" w:ascii="方正仿宋_GBK" w:hAnsi="Calibri" w:eastAsia="方正仿宋_GBK" w:cs="Times New Roman"/>
          <w:bCs/>
          <w:snapToGrid w:val="0"/>
          <w:color w:val="000000"/>
          <w:kern w:val="0"/>
          <w:sz w:val="32"/>
          <w:szCs w:val="32"/>
        </w:rPr>
        <w:t>。</w:t>
      </w:r>
    </w:p>
    <w:p>
      <w:pPr>
        <w:pageBreakBefore w:val="0"/>
        <w:kinsoku/>
        <w:wordWrap/>
        <w:overflowPunct/>
        <w:topLinePunct w:val="0"/>
        <w:bidi w:val="0"/>
        <w:snapToGrid w:val="0"/>
        <w:spacing w:line="594" w:lineRule="exact"/>
        <w:ind w:left="0" w:leftChars="0" w:firstLine="640" w:firstLineChars="200"/>
        <w:jc w:val="left"/>
        <w:textAlignment w:val="auto"/>
        <w:rPr>
          <w:rFonts w:ascii="方正仿宋_GBK" w:hAnsi="Calibri" w:eastAsia="方正仿宋_GBK" w:cs="Times New Roman"/>
          <w:bCs/>
          <w:snapToGrid w:val="0"/>
          <w:color w:val="000000"/>
          <w:kern w:val="0"/>
          <w:sz w:val="32"/>
          <w:szCs w:val="32"/>
        </w:rPr>
      </w:pPr>
      <w:r>
        <w:rPr>
          <w:rFonts w:ascii="方正仿宋_GBK" w:hAnsi="Calibri" w:eastAsia="方正仿宋_GBK" w:cs="Times New Roman"/>
          <w:bCs/>
          <w:snapToGrid w:val="0"/>
          <w:color w:val="000000"/>
          <w:kern w:val="0"/>
          <w:sz w:val="32"/>
          <w:szCs w:val="32"/>
        </w:rPr>
        <w:t>（三）效益分析方法正确，分析结果基本合理。</w:t>
      </w:r>
    </w:p>
    <w:p>
      <w:pPr>
        <w:pageBreakBefore w:val="0"/>
        <w:kinsoku/>
        <w:wordWrap/>
        <w:overflowPunct/>
        <w:topLinePunct w:val="0"/>
        <w:bidi w:val="0"/>
        <w:snapToGrid w:val="0"/>
        <w:spacing w:line="594" w:lineRule="exact"/>
        <w:ind w:left="0" w:leftChars="0" w:firstLine="640" w:firstLineChars="200"/>
        <w:jc w:val="left"/>
        <w:textAlignment w:val="auto"/>
        <w:rPr>
          <w:rFonts w:hint="eastAsia" w:ascii="方正黑体_GBK" w:hAnsi="Calibri" w:eastAsia="方正黑体_GBK" w:cs="Times New Roman"/>
          <w:bCs/>
          <w:snapToGrid w:val="0"/>
          <w:kern w:val="0"/>
          <w:sz w:val="32"/>
          <w:szCs w:val="32"/>
        </w:rPr>
      </w:pPr>
      <w:r>
        <w:rPr>
          <w:rFonts w:hint="eastAsia" w:ascii="方正黑体_GBK" w:hAnsi="Calibri" w:eastAsia="方正黑体_GBK" w:cs="Times New Roman"/>
          <w:bCs/>
          <w:snapToGrid w:val="0"/>
          <w:kern w:val="0"/>
          <w:sz w:val="32"/>
          <w:szCs w:val="32"/>
        </w:rPr>
        <w:t>八</w:t>
      </w:r>
      <w:r>
        <w:rPr>
          <w:rFonts w:ascii="方正黑体_GBK" w:hAnsi="Calibri" w:eastAsia="方正黑体_GBK" w:cs="Times New Roman"/>
          <w:bCs/>
          <w:snapToGrid w:val="0"/>
          <w:kern w:val="0"/>
          <w:sz w:val="32"/>
          <w:szCs w:val="32"/>
        </w:rPr>
        <w:t>、水土保持管理</w:t>
      </w:r>
    </w:p>
    <w:p>
      <w:pPr>
        <w:pStyle w:val="13"/>
        <w:spacing w:line="594" w:lineRule="exact"/>
        <w:ind w:firstLine="640" w:firstLineChars="200"/>
        <w:rPr>
          <w:rFonts w:hint="eastAsia"/>
        </w:rPr>
      </w:pPr>
      <w:r>
        <w:rPr>
          <w:rFonts w:hint="eastAsia" w:ascii="方正仿宋_GBK" w:hAnsi="Calibri" w:eastAsia="方正仿宋_GBK" w:cs="Times New Roman"/>
          <w:bCs/>
          <w:snapToGrid w:val="0"/>
          <w:color w:val="000000"/>
          <w:kern w:val="0"/>
          <w:sz w:val="32"/>
          <w:szCs w:val="32"/>
        </w:rPr>
        <w:t>基本同意方案中提出的组织管理、水土保持监测、水土保持监理、水土保持施工、水土保持设施验收等水土保持管理要求。</w:t>
      </w:r>
    </w:p>
    <w:p>
      <w:pPr>
        <w:pStyle w:val="14"/>
        <w:spacing w:line="594" w:lineRule="exact"/>
        <w:rPr>
          <w:rFonts w:hint="eastAsia"/>
        </w:rPr>
      </w:pPr>
    </w:p>
    <w:p>
      <w:pPr>
        <w:keepNext w:val="0"/>
        <w:keepLines w:val="0"/>
        <w:pageBreakBefore w:val="0"/>
        <w:widowControl/>
        <w:kinsoku/>
        <w:wordWrap/>
        <w:overflowPunct/>
        <w:topLinePunct w:val="0"/>
        <w:autoSpaceDE/>
        <w:autoSpaceDN/>
        <w:bidi w:val="0"/>
        <w:adjustRightInd/>
        <w:snapToGrid/>
        <w:spacing w:line="594" w:lineRule="exact"/>
        <w:ind w:left="960" w:leftChars="0" w:hanging="960" w:hangingChars="300"/>
        <w:textAlignment w:val="auto"/>
        <w:rPr>
          <w:rFonts w:hint="eastAsia" w:ascii="方正黑体_GBK" w:hAnsi="Times New Roman" w:eastAsia="方正黑体_GBK"/>
          <w:sz w:val="24"/>
          <w:szCs w:val="24"/>
        </w:rPr>
      </w:pPr>
      <w:r>
        <w:rPr>
          <w:rFonts w:ascii="Times New Roman" w:hAnsi="Times New Roman" w:eastAsia="方正仿宋_GBK"/>
          <w:sz w:val="32"/>
          <w:szCs w:val="32"/>
        </w:rPr>
        <w:t>附</w:t>
      </w:r>
      <w:r>
        <w:rPr>
          <w:rFonts w:hint="eastAsia" w:ascii="Times New Roman" w:hAnsi="Times New Roman" w:eastAsia="方正仿宋_GBK"/>
          <w:sz w:val="32"/>
          <w:szCs w:val="32"/>
        </w:rPr>
        <w:t>件</w:t>
      </w:r>
      <w:r>
        <w:rPr>
          <w:rFonts w:ascii="Times New Roman" w:hAnsi="Times New Roman" w:eastAsia="方正仿宋_GBK"/>
          <w:sz w:val="32"/>
          <w:szCs w:val="32"/>
        </w:rPr>
        <w:t>：</w:t>
      </w:r>
      <w:r>
        <w:rPr>
          <w:rFonts w:hint="eastAsia" w:ascii="Times New Roman" w:hAnsi="Times New Roman" w:eastAsia="方正仿宋_GBK"/>
          <w:bCs/>
          <w:sz w:val="32"/>
          <w:szCs w:val="32"/>
        </w:rPr>
        <w:t>重庆至万州高速铁路丰盛牵220千伏外部供电工程水土保持方案投资估算</w:t>
      </w:r>
      <w:r>
        <w:rPr>
          <w:rFonts w:hint="eastAsia" w:ascii="Times New Roman" w:hAnsi="Times New Roman" w:eastAsia="方正仿宋_GBK"/>
          <w:sz w:val="32"/>
          <w:szCs w:val="32"/>
        </w:rPr>
        <w:t>审核表</w:t>
      </w:r>
    </w:p>
    <w:p>
      <w:pPr>
        <w:widowControl/>
        <w:spacing w:line="600" w:lineRule="exact"/>
        <w:ind w:left="1380" w:leftChars="200" w:hanging="960" w:hangingChars="300"/>
        <w:rPr>
          <w:rFonts w:ascii="Times New Roman" w:hAnsi="Times New Roman" w:eastAsia="方正仿宋_GBK"/>
          <w:sz w:val="32"/>
          <w:szCs w:val="32"/>
        </w:rPr>
      </w:pPr>
      <w:r>
        <w:rPr>
          <w:rFonts w:hint="eastAsia" w:ascii="Times New Roman" w:hAnsi="Times New Roman" w:eastAsia="方正仿宋_GBK"/>
          <w:color w:val="auto"/>
          <w:kern w:val="2"/>
          <w:sz w:val="32"/>
          <w:szCs w:val="32"/>
          <w:lang w:val="en-US" w:eastAsia="zh-CN"/>
        </w:rPr>
        <w:t xml:space="preserve">                        </w:t>
      </w:r>
      <w:r>
        <w:rPr>
          <w:rFonts w:ascii="Times New Roman" w:hAnsi="Times New Roman" w:eastAsia="方正仿宋_GBK"/>
          <w:sz w:val="32"/>
          <w:szCs w:val="32"/>
        </w:rPr>
        <w:t xml:space="preserve"> </w:t>
      </w:r>
    </w:p>
    <w:p>
      <w:pPr>
        <w:widowControl/>
        <w:spacing w:line="600" w:lineRule="exact"/>
        <w:ind w:left="1378" w:leftChars="656" w:firstLine="3570" w:firstLineChars="1700"/>
        <w:rPr>
          <w:rFonts w:hint="eastAsia" w:ascii="Times New Roman" w:hAnsi="Times New Roman" w:eastAsia="方正仿宋_GBK"/>
          <w:sz w:val="32"/>
          <w:szCs w:val="32"/>
          <w:lang w:eastAsia="zh-CN"/>
        </w:rPr>
      </w:pPr>
      <w:r>
        <w:drawing>
          <wp:anchor distT="0" distB="0" distL="114300" distR="114300" simplePos="0" relativeHeight="251659264" behindDoc="0" locked="0" layoutInCell="1" allowOverlap="1">
            <wp:simplePos x="0" y="0"/>
            <wp:positionH relativeFrom="column">
              <wp:posOffset>4413885</wp:posOffset>
            </wp:positionH>
            <wp:positionV relativeFrom="paragraph">
              <wp:posOffset>43815</wp:posOffset>
            </wp:positionV>
            <wp:extent cx="993775" cy="381000"/>
            <wp:effectExtent l="0" t="0" r="15875" b="0"/>
            <wp:wrapNone/>
            <wp:docPr id="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pic:cNvPicPr>
                      <a:picLocks noChangeAspect="1"/>
                    </pic:cNvPicPr>
                  </pic:nvPicPr>
                  <pic:blipFill>
                    <a:blip r:embed="rId8"/>
                    <a:stretch>
                      <a:fillRect/>
                    </a:stretch>
                  </pic:blipFill>
                  <pic:spPr>
                    <a:xfrm>
                      <a:off x="0" y="0"/>
                      <a:ext cx="993775" cy="381000"/>
                    </a:xfrm>
                    <a:prstGeom prst="rect">
                      <a:avLst/>
                    </a:prstGeom>
                    <a:noFill/>
                    <a:ln>
                      <a:noFill/>
                    </a:ln>
                  </pic:spPr>
                </pic:pic>
              </a:graphicData>
            </a:graphic>
          </wp:anchor>
        </w:drawing>
      </w:r>
      <w:r>
        <w:rPr>
          <w:rFonts w:ascii="Times New Roman" w:hAnsi="Times New Roman" w:eastAsia="方正仿宋_GBK"/>
          <w:sz w:val="32"/>
          <w:szCs w:val="32"/>
        </w:rPr>
        <w:t>专家组组长</w:t>
      </w:r>
      <w:r>
        <w:rPr>
          <w:rFonts w:hint="eastAsia" w:ascii="Times New Roman" w:hAnsi="Times New Roman" w:eastAsia="方正仿宋_GBK"/>
          <w:sz w:val="32"/>
          <w:szCs w:val="32"/>
          <w:lang w:eastAsia="zh-CN"/>
        </w:rPr>
        <w:t>：</w:t>
      </w:r>
    </w:p>
    <w:p>
      <w:pPr>
        <w:widowControl/>
        <w:spacing w:line="600" w:lineRule="exact"/>
        <w:ind w:left="1378" w:leftChars="656" w:firstLine="4160" w:firstLineChars="1300"/>
        <w:rPr>
          <w:rFonts w:hint="eastAsia"/>
        </w:rPr>
        <w:sectPr>
          <w:footerReference r:id="rId3" w:type="default"/>
          <w:footerReference r:id="rId4" w:type="even"/>
          <w:pgSz w:w="11906" w:h="16838"/>
          <w:pgMar w:top="1985" w:right="1446" w:bottom="1684" w:left="1446" w:header="851" w:footer="1361" w:gutter="0"/>
          <w:pgNumType w:fmt="decimal"/>
          <w:cols w:space="720" w:num="1"/>
          <w:docGrid w:linePitch="381" w:charSpace="0"/>
        </w:sectPr>
      </w:pPr>
      <w:r>
        <w:rPr>
          <w:rFonts w:ascii="Times New Roman" w:hAnsi="Times New Roman" w:eastAsia="方正仿宋_GBK"/>
          <w:sz w:val="32"/>
          <w:szCs w:val="32"/>
        </w:rPr>
        <w:t>202</w:t>
      </w:r>
      <w:r>
        <w:rPr>
          <w:rFonts w:hint="default" w:ascii="Times New Roman" w:hAnsi="Times New Roman" w:eastAsia="方正仿宋_GBK"/>
          <w:sz w:val="32"/>
          <w:szCs w:val="32"/>
          <w:lang w:val="en" w:eastAsia="zh-CN"/>
        </w:rPr>
        <w:t>5</w:t>
      </w:r>
      <w:r>
        <w:rPr>
          <w:rFonts w:ascii="Times New Roman" w:hAnsi="Times New Roman" w:eastAsia="方正仿宋_GBK"/>
          <w:sz w:val="32"/>
          <w:szCs w:val="32"/>
        </w:rPr>
        <w:t>年</w:t>
      </w:r>
      <w:r>
        <w:rPr>
          <w:rFonts w:hint="eastAsia" w:ascii="Times New Roman" w:hAnsi="Times New Roman" w:eastAsia="方正仿宋_GBK"/>
          <w:sz w:val="32"/>
          <w:szCs w:val="32"/>
          <w:lang w:val="en-US" w:eastAsia="zh-CN"/>
        </w:rPr>
        <w:t>11</w:t>
      </w:r>
      <w:r>
        <w:rPr>
          <w:rFonts w:ascii="Times New Roman" w:hAnsi="Times New Roman" w:eastAsia="方正仿宋_GBK"/>
          <w:sz w:val="32"/>
          <w:szCs w:val="32"/>
        </w:rPr>
        <w:t>月</w:t>
      </w:r>
      <w:r>
        <w:rPr>
          <w:rFonts w:hint="eastAsia" w:ascii="Times New Roman" w:hAnsi="Times New Roman" w:eastAsia="方正仿宋_GBK"/>
          <w:sz w:val="32"/>
          <w:szCs w:val="32"/>
          <w:lang w:val="en-US" w:eastAsia="zh-CN"/>
        </w:rPr>
        <w:t>12</w:t>
      </w:r>
      <w:r>
        <w:rPr>
          <w:rFonts w:ascii="Times New Roman" w:hAnsi="Times New Roman" w:eastAsia="方正仿宋_GBK"/>
          <w:sz w:val="32"/>
          <w:szCs w:val="32"/>
        </w:rPr>
        <w:t>日</w:t>
      </w:r>
    </w:p>
    <w:p>
      <w:pPr>
        <w:spacing w:line="400" w:lineRule="exact"/>
        <w:rPr>
          <w:rFonts w:hint="eastAsia" w:ascii="方正黑体简体" w:hAnsi="方正黑体简体" w:eastAsia="方正黑体简体" w:cs="方正黑体简体"/>
          <w:kern w:val="0"/>
          <w:sz w:val="32"/>
          <w:szCs w:val="32"/>
          <w:lang w:bidi="ar"/>
        </w:rPr>
      </w:pPr>
      <w:r>
        <w:rPr>
          <w:rFonts w:hint="eastAsia" w:ascii="方正黑体简体" w:hAnsi="方正黑体简体" w:eastAsia="方正黑体简体" w:cs="方正黑体简体"/>
          <w:sz w:val="32"/>
          <w:szCs w:val="32"/>
        </w:rPr>
        <w:t>附件</w:t>
      </w:r>
    </w:p>
    <w:p>
      <w:pPr>
        <w:spacing w:line="400" w:lineRule="exact"/>
        <w:jc w:val="center"/>
        <w:rPr>
          <w:rFonts w:hint="default" w:ascii="Times New Roman" w:hAnsi="Times New Roman" w:eastAsia="方正小标宋_GBK" w:cs="Times New Roman"/>
          <w:bCs/>
          <w:sz w:val="36"/>
          <w:szCs w:val="36"/>
        </w:rPr>
      </w:pPr>
    </w:p>
    <w:p>
      <w:pPr>
        <w:spacing w:line="400" w:lineRule="exact"/>
        <w:jc w:val="center"/>
        <w:rPr>
          <w:rFonts w:hint="default" w:ascii="Times New Roman" w:hAnsi="Times New Roman" w:eastAsia="方正小标宋_GBK" w:cs="Times New Roman"/>
          <w:bCs/>
          <w:sz w:val="36"/>
          <w:szCs w:val="36"/>
        </w:rPr>
      </w:pPr>
      <w:r>
        <w:rPr>
          <w:rFonts w:hint="default" w:ascii="Times New Roman" w:hAnsi="Times New Roman" w:eastAsia="方正小标宋_GBK" w:cs="Times New Roman"/>
          <w:bCs/>
          <w:sz w:val="36"/>
          <w:szCs w:val="36"/>
        </w:rPr>
        <w:t>重庆至万州高速铁路丰盛牵220千伏外部供电工程</w:t>
      </w:r>
    </w:p>
    <w:p>
      <w:pPr>
        <w:spacing w:line="400" w:lineRule="exact"/>
        <w:jc w:val="center"/>
        <w:rPr>
          <w:rFonts w:hint="default" w:ascii="Times New Roman" w:hAnsi="Times New Roman" w:eastAsia="方正黑体_GBK" w:cs="Times New Roman"/>
          <w:kern w:val="0"/>
          <w:sz w:val="32"/>
          <w:szCs w:val="32"/>
        </w:rPr>
      </w:pPr>
      <w:r>
        <w:rPr>
          <w:rFonts w:hint="default" w:ascii="Times New Roman" w:hAnsi="Times New Roman" w:eastAsia="方正小标宋_GBK" w:cs="Times New Roman"/>
          <w:bCs/>
          <w:sz w:val="36"/>
          <w:szCs w:val="36"/>
        </w:rPr>
        <w:t>水土保持方案投资估算审核表</w:t>
      </w:r>
    </w:p>
    <w:p>
      <w:pPr>
        <w:spacing w:line="400" w:lineRule="exact"/>
        <w:jc w:val="center"/>
        <w:rPr>
          <w:rFonts w:ascii="Times New Roman" w:hAnsi="Times New Roman" w:eastAsia="宋体" w:cs="Times New Roman"/>
          <w:kern w:val="0"/>
          <w:sz w:val="20"/>
          <w:szCs w:val="20"/>
          <w:lang w:bidi="ar"/>
        </w:rPr>
      </w:pPr>
      <w:r>
        <w:rPr>
          <w:rFonts w:hint="eastAsia" w:ascii="Times New Roman" w:hAnsi="Times New Roman" w:eastAsia="宋体" w:cs="Times New Roman"/>
          <w:kern w:val="0"/>
          <w:sz w:val="20"/>
          <w:szCs w:val="20"/>
          <w:lang w:val="en-US" w:eastAsia="zh-CN" w:bidi="ar"/>
        </w:rPr>
        <w:t xml:space="preserve">                                                                       </w:t>
      </w:r>
      <w:r>
        <w:rPr>
          <w:rFonts w:hint="default" w:ascii="Times New Roman" w:hAnsi="Times New Roman" w:eastAsia="宋体" w:cs="Times New Roman"/>
          <w:kern w:val="0"/>
          <w:sz w:val="20"/>
          <w:szCs w:val="20"/>
          <w:lang w:val="en" w:eastAsia="zh-CN" w:bidi="ar"/>
        </w:rPr>
        <w:t xml:space="preserve">        </w:t>
      </w:r>
      <w:r>
        <w:rPr>
          <w:rFonts w:hint="eastAsia" w:ascii="Times New Roman" w:hAnsi="Times New Roman" w:eastAsia="宋体" w:cs="Times New Roman"/>
          <w:kern w:val="0"/>
          <w:sz w:val="20"/>
          <w:szCs w:val="20"/>
          <w:lang w:bidi="ar"/>
        </w:rPr>
        <w:t>单位</w:t>
      </w:r>
      <w:r>
        <w:rPr>
          <w:rFonts w:ascii="Times New Roman" w:hAnsi="Times New Roman" w:eastAsia="宋体" w:cs="Times New Roman"/>
          <w:kern w:val="0"/>
          <w:sz w:val="20"/>
          <w:szCs w:val="20"/>
          <w:lang w:bidi="ar"/>
        </w:rPr>
        <w:t>：万元</w:t>
      </w:r>
    </w:p>
    <w:tbl>
      <w:tblPr>
        <w:tblStyle w:val="9"/>
        <w:tblW w:w="4999" w:type="pct"/>
        <w:jc w:val="center"/>
        <w:tblLayout w:type="autofit"/>
        <w:tblCellMar>
          <w:top w:w="0" w:type="dxa"/>
          <w:left w:w="0" w:type="dxa"/>
          <w:bottom w:w="0" w:type="dxa"/>
          <w:right w:w="0" w:type="dxa"/>
        </w:tblCellMar>
      </w:tblPr>
      <w:tblGrid>
        <w:gridCol w:w="465"/>
        <w:gridCol w:w="2986"/>
        <w:gridCol w:w="1352"/>
        <w:gridCol w:w="1457"/>
        <w:gridCol w:w="1311"/>
        <w:gridCol w:w="1451"/>
      </w:tblGrid>
      <w:tr>
        <w:tblPrEx>
          <w:tblCellMar>
            <w:top w:w="0" w:type="dxa"/>
            <w:left w:w="0" w:type="dxa"/>
            <w:bottom w:w="0" w:type="dxa"/>
            <w:right w:w="0" w:type="dxa"/>
          </w:tblCellMar>
        </w:tblPrEx>
        <w:trPr>
          <w:trHeight w:val="421" w:hRule="exact"/>
          <w:tblHeader/>
          <w:jc w:val="center"/>
        </w:trPr>
        <w:tc>
          <w:tcPr>
            <w:tcW w:w="258" w:type="pct"/>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序号</w:t>
            </w:r>
          </w:p>
        </w:tc>
        <w:tc>
          <w:tcPr>
            <w:tcW w:w="1654" w:type="pct"/>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工程或费用名称</w:t>
            </w:r>
          </w:p>
        </w:tc>
        <w:tc>
          <w:tcPr>
            <w:tcW w:w="2282" w:type="pct"/>
            <w:gridSpan w:val="3"/>
            <w:tcBorders>
              <w:top w:val="single" w:color="auto" w:sz="4" w:space="0"/>
              <w:left w:val="nil"/>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审核投资</w:t>
            </w:r>
          </w:p>
        </w:tc>
        <w:tc>
          <w:tcPr>
            <w:tcW w:w="804" w:type="pct"/>
            <w:vMerge w:val="restart"/>
            <w:tcBorders>
              <w:top w:val="single" w:color="auto" w:sz="4" w:space="0"/>
              <w:left w:val="single" w:color="auto" w:sz="4" w:space="0"/>
              <w:bottom w:val="single" w:color="auto" w:sz="4" w:space="0"/>
              <w:right w:val="single" w:color="auto" w:sz="4" w:space="0"/>
            </w:tcBorders>
            <w:noWrap/>
            <w:vAlign w:val="center"/>
          </w:tcPr>
          <w:p>
            <w:pPr>
              <w:widowControl/>
              <w:spacing w:line="400" w:lineRule="exact"/>
              <w:jc w:val="center"/>
              <w:rPr>
                <w:rFonts w:hint="default" w:ascii="Times New Roman" w:hAnsi="Times New Roman" w:eastAsia="宋体" w:cs="Times New Roman"/>
                <w:color w:val="000000"/>
                <w:kern w:val="0"/>
                <w:sz w:val="21"/>
                <w:szCs w:val="21"/>
                <w:lang w:eastAsia="zh-CN"/>
              </w:rPr>
            </w:pPr>
            <w:r>
              <w:rPr>
                <w:rFonts w:hint="default" w:ascii="Times New Roman" w:hAnsi="Times New Roman" w:eastAsia="宋体" w:cs="Times New Roman"/>
                <w:color w:val="000000"/>
                <w:kern w:val="0"/>
                <w:sz w:val="21"/>
                <w:szCs w:val="21"/>
                <w:lang w:eastAsia="zh-CN"/>
              </w:rPr>
              <w:t>备注</w:t>
            </w:r>
          </w:p>
        </w:tc>
      </w:tr>
      <w:tr>
        <w:tblPrEx>
          <w:tblCellMar>
            <w:top w:w="0" w:type="dxa"/>
            <w:left w:w="0" w:type="dxa"/>
            <w:bottom w:w="0" w:type="dxa"/>
            <w:right w:w="0" w:type="dxa"/>
          </w:tblCellMar>
        </w:tblPrEx>
        <w:trPr>
          <w:trHeight w:val="629" w:hRule="exact"/>
          <w:tblHeader/>
          <w:jc w:val="center"/>
        </w:trPr>
        <w:tc>
          <w:tcPr>
            <w:tcW w:w="258"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宋体" w:cs="Times New Roman"/>
                <w:color w:val="000000"/>
                <w:kern w:val="0"/>
                <w:sz w:val="21"/>
                <w:szCs w:val="21"/>
              </w:rPr>
            </w:pPr>
          </w:p>
        </w:tc>
        <w:tc>
          <w:tcPr>
            <w:tcW w:w="1654"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宋体" w:cs="Times New Roman"/>
                <w:color w:val="000000"/>
                <w:kern w:val="0"/>
                <w:sz w:val="21"/>
                <w:szCs w:val="21"/>
              </w:rPr>
            </w:pPr>
          </w:p>
        </w:tc>
        <w:tc>
          <w:tcPr>
            <w:tcW w:w="749" w:type="pct"/>
            <w:tcBorders>
              <w:top w:val="nil"/>
              <w:left w:val="nil"/>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宋体" w:cs="Times New Roman"/>
                <w:color w:val="000000"/>
                <w:kern w:val="0"/>
                <w:sz w:val="21"/>
                <w:szCs w:val="21"/>
                <w:lang w:eastAsia="zh-CN"/>
              </w:rPr>
            </w:pPr>
            <w:r>
              <w:rPr>
                <w:rFonts w:hint="default" w:ascii="Times New Roman" w:hAnsi="Times New Roman" w:eastAsia="宋体" w:cs="Times New Roman"/>
                <w:color w:val="000000"/>
                <w:kern w:val="0"/>
                <w:sz w:val="21"/>
                <w:szCs w:val="21"/>
              </w:rPr>
              <w:t>新增</w:t>
            </w:r>
            <w:r>
              <w:rPr>
                <w:rFonts w:hint="default" w:ascii="Times New Roman" w:hAnsi="Times New Roman" w:eastAsia="宋体" w:cs="Times New Roman"/>
                <w:color w:val="000000"/>
                <w:kern w:val="0"/>
                <w:sz w:val="21"/>
                <w:szCs w:val="21"/>
                <w:lang w:eastAsia="zh-CN"/>
              </w:rPr>
              <w:t>投资</w:t>
            </w:r>
          </w:p>
        </w:tc>
        <w:tc>
          <w:tcPr>
            <w:tcW w:w="807" w:type="pct"/>
            <w:tcBorders>
              <w:top w:val="nil"/>
              <w:left w:val="nil"/>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主体</w:t>
            </w:r>
            <w:r>
              <w:rPr>
                <w:rFonts w:hint="default" w:ascii="Times New Roman" w:hAnsi="Times New Roman" w:eastAsia="宋体" w:cs="Times New Roman"/>
                <w:color w:val="000000"/>
                <w:kern w:val="0"/>
                <w:sz w:val="21"/>
                <w:szCs w:val="21"/>
                <w:lang w:eastAsia="zh-CN"/>
              </w:rPr>
              <w:t>已列</w:t>
            </w:r>
          </w:p>
        </w:tc>
        <w:tc>
          <w:tcPr>
            <w:tcW w:w="726" w:type="pct"/>
            <w:tcBorders>
              <w:top w:val="nil"/>
              <w:left w:val="nil"/>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合计</w:t>
            </w:r>
          </w:p>
        </w:tc>
        <w:tc>
          <w:tcPr>
            <w:tcW w:w="804" w:type="pct"/>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宋体" w:cs="Times New Roman"/>
                <w:color w:val="000000"/>
                <w:kern w:val="0"/>
                <w:sz w:val="21"/>
                <w:szCs w:val="21"/>
              </w:rPr>
            </w:pPr>
          </w:p>
        </w:tc>
      </w:tr>
      <w:tr>
        <w:tblPrEx>
          <w:tblCellMar>
            <w:top w:w="0" w:type="dxa"/>
            <w:left w:w="0" w:type="dxa"/>
            <w:bottom w:w="0" w:type="dxa"/>
            <w:right w:w="0" w:type="dxa"/>
          </w:tblCellMar>
        </w:tblPrEx>
        <w:trPr>
          <w:jc w:val="center"/>
        </w:trPr>
        <w:tc>
          <w:tcPr>
            <w:tcW w:w="258" w:type="pct"/>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宋体" w:cs="Times New Roman"/>
                <w:b/>
                <w:bCs/>
                <w:kern w:val="0"/>
                <w:sz w:val="21"/>
                <w:szCs w:val="21"/>
              </w:rPr>
            </w:pPr>
          </w:p>
        </w:tc>
        <w:tc>
          <w:tcPr>
            <w:tcW w:w="1654" w:type="pct"/>
            <w:tcBorders>
              <w:top w:val="nil"/>
              <w:left w:val="nil"/>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宋体" w:cs="Times New Roman"/>
                <w:b/>
                <w:bCs/>
                <w:kern w:val="0"/>
                <w:sz w:val="21"/>
                <w:szCs w:val="21"/>
              </w:rPr>
            </w:pPr>
            <w:r>
              <w:rPr>
                <w:rFonts w:hint="default" w:ascii="Times New Roman" w:hAnsi="Times New Roman" w:eastAsia="宋体" w:cs="Times New Roman"/>
                <w:b/>
                <w:bCs/>
                <w:kern w:val="0"/>
                <w:sz w:val="21"/>
                <w:szCs w:val="21"/>
              </w:rPr>
              <w:t>第一部分：工程措施</w:t>
            </w:r>
          </w:p>
        </w:tc>
        <w:tc>
          <w:tcPr>
            <w:tcW w:w="749" w:type="pct"/>
            <w:tcBorders>
              <w:top w:val="nil"/>
              <w:left w:val="nil"/>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宋体" w:cs="Times New Roman"/>
                <w:b/>
                <w:bCs/>
                <w:kern w:val="0"/>
                <w:sz w:val="21"/>
                <w:szCs w:val="21"/>
              </w:rPr>
            </w:pPr>
          </w:p>
        </w:tc>
        <w:tc>
          <w:tcPr>
            <w:tcW w:w="807" w:type="pct"/>
            <w:tcBorders>
              <w:top w:val="nil"/>
              <w:left w:val="nil"/>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宋体" w:cs="Times New Roman"/>
                <w:b/>
                <w:bCs/>
                <w:kern w:val="0"/>
                <w:sz w:val="21"/>
                <w:szCs w:val="21"/>
              </w:rPr>
            </w:pPr>
            <w:r>
              <w:rPr>
                <w:rFonts w:hint="default" w:ascii="Times New Roman" w:hAnsi="Times New Roman" w:eastAsia="宋体" w:cs="Times New Roman"/>
                <w:b/>
                <w:bCs/>
                <w:kern w:val="0"/>
                <w:sz w:val="21"/>
                <w:szCs w:val="21"/>
              </w:rPr>
              <w:t xml:space="preserve">74.53 </w:t>
            </w:r>
          </w:p>
        </w:tc>
        <w:tc>
          <w:tcPr>
            <w:tcW w:w="726" w:type="pct"/>
            <w:tcBorders>
              <w:top w:val="nil"/>
              <w:left w:val="nil"/>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宋体" w:cs="Times New Roman"/>
                <w:b/>
                <w:bCs/>
                <w:kern w:val="0"/>
                <w:sz w:val="21"/>
                <w:szCs w:val="21"/>
              </w:rPr>
            </w:pPr>
            <w:r>
              <w:rPr>
                <w:rFonts w:hint="default" w:ascii="Times New Roman" w:hAnsi="Times New Roman" w:eastAsia="宋体" w:cs="Times New Roman"/>
                <w:b/>
                <w:bCs/>
                <w:kern w:val="0"/>
                <w:sz w:val="21"/>
                <w:szCs w:val="21"/>
              </w:rPr>
              <w:t xml:space="preserve">74.53 </w:t>
            </w:r>
          </w:p>
        </w:tc>
        <w:tc>
          <w:tcPr>
            <w:tcW w:w="804" w:type="pct"/>
            <w:tcBorders>
              <w:top w:val="nil"/>
              <w:left w:val="nil"/>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宋体" w:cs="Times New Roman"/>
                <w:b/>
                <w:bCs/>
                <w:kern w:val="0"/>
                <w:sz w:val="21"/>
                <w:szCs w:val="21"/>
              </w:rPr>
            </w:pPr>
          </w:p>
        </w:tc>
      </w:tr>
      <w:tr>
        <w:tblPrEx>
          <w:tblCellMar>
            <w:top w:w="0" w:type="dxa"/>
            <w:left w:w="0" w:type="dxa"/>
            <w:bottom w:w="0" w:type="dxa"/>
            <w:right w:w="0" w:type="dxa"/>
          </w:tblCellMar>
        </w:tblPrEx>
        <w:trPr>
          <w:jc w:val="center"/>
        </w:trPr>
        <w:tc>
          <w:tcPr>
            <w:tcW w:w="258" w:type="pct"/>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一</w:t>
            </w:r>
          </w:p>
        </w:tc>
        <w:tc>
          <w:tcPr>
            <w:tcW w:w="1654" w:type="pct"/>
            <w:tcBorders>
              <w:top w:val="nil"/>
              <w:left w:val="nil"/>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塔基工程防区</w:t>
            </w:r>
          </w:p>
        </w:tc>
        <w:tc>
          <w:tcPr>
            <w:tcW w:w="749" w:type="pct"/>
            <w:tcBorders>
              <w:top w:val="nil"/>
              <w:left w:val="nil"/>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宋体" w:cs="Times New Roman"/>
                <w:kern w:val="0"/>
                <w:sz w:val="21"/>
                <w:szCs w:val="21"/>
              </w:rPr>
            </w:pPr>
          </w:p>
        </w:tc>
        <w:tc>
          <w:tcPr>
            <w:tcW w:w="807" w:type="pct"/>
            <w:tcBorders>
              <w:top w:val="nil"/>
              <w:left w:val="nil"/>
              <w:bottom w:val="single" w:color="auto" w:sz="4" w:space="0"/>
              <w:right w:val="single" w:color="auto" w:sz="4" w:space="0"/>
            </w:tcBorders>
            <w:noWrap w:val="0"/>
            <w:vAlign w:val="center"/>
          </w:tcPr>
          <w:p>
            <w:pPr>
              <w:widowControl w:val="0"/>
              <w:spacing w:line="240" w:lineRule="auto"/>
              <w:ind w:firstLine="0" w:firstLineChars="0"/>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2"/>
                <w:sz w:val="21"/>
                <w:szCs w:val="24"/>
                <w:lang w:val="en-US" w:eastAsia="zh-CN" w:bidi="ar-SA"/>
              </w:rPr>
              <w:t>44.37</w:t>
            </w:r>
          </w:p>
        </w:tc>
        <w:tc>
          <w:tcPr>
            <w:tcW w:w="726" w:type="pct"/>
            <w:tcBorders>
              <w:top w:val="nil"/>
              <w:left w:val="nil"/>
              <w:bottom w:val="single" w:color="auto" w:sz="4" w:space="0"/>
              <w:right w:val="single" w:color="auto" w:sz="4" w:space="0"/>
            </w:tcBorders>
            <w:noWrap w:val="0"/>
            <w:vAlign w:val="center"/>
          </w:tcPr>
          <w:p>
            <w:pPr>
              <w:widowControl w:val="0"/>
              <w:spacing w:line="240" w:lineRule="auto"/>
              <w:ind w:firstLine="0" w:firstLineChars="0"/>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2"/>
                <w:sz w:val="21"/>
                <w:szCs w:val="24"/>
                <w:lang w:val="en-US" w:eastAsia="zh-CN" w:bidi="ar-SA"/>
              </w:rPr>
              <w:t>44.37</w:t>
            </w:r>
          </w:p>
        </w:tc>
        <w:tc>
          <w:tcPr>
            <w:tcW w:w="804" w:type="pct"/>
            <w:tcBorders>
              <w:top w:val="nil"/>
              <w:left w:val="nil"/>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宋体" w:cs="Times New Roman"/>
                <w:kern w:val="0"/>
                <w:sz w:val="21"/>
                <w:szCs w:val="21"/>
              </w:rPr>
            </w:pPr>
          </w:p>
        </w:tc>
      </w:tr>
      <w:tr>
        <w:tblPrEx>
          <w:tblCellMar>
            <w:top w:w="0" w:type="dxa"/>
            <w:left w:w="0" w:type="dxa"/>
            <w:bottom w:w="0" w:type="dxa"/>
            <w:right w:w="0" w:type="dxa"/>
          </w:tblCellMar>
        </w:tblPrEx>
        <w:trPr>
          <w:jc w:val="center"/>
        </w:trPr>
        <w:tc>
          <w:tcPr>
            <w:tcW w:w="258" w:type="pct"/>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二</w:t>
            </w:r>
          </w:p>
        </w:tc>
        <w:tc>
          <w:tcPr>
            <w:tcW w:w="1654" w:type="pct"/>
            <w:tcBorders>
              <w:top w:val="nil"/>
              <w:left w:val="nil"/>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牵张场防治区</w:t>
            </w:r>
          </w:p>
        </w:tc>
        <w:tc>
          <w:tcPr>
            <w:tcW w:w="749" w:type="pct"/>
            <w:tcBorders>
              <w:top w:val="nil"/>
              <w:left w:val="nil"/>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宋体" w:cs="Times New Roman"/>
                <w:kern w:val="0"/>
                <w:sz w:val="21"/>
                <w:szCs w:val="21"/>
              </w:rPr>
            </w:pPr>
          </w:p>
        </w:tc>
        <w:tc>
          <w:tcPr>
            <w:tcW w:w="807" w:type="pct"/>
            <w:tcBorders>
              <w:top w:val="nil"/>
              <w:left w:val="nil"/>
              <w:bottom w:val="single" w:color="auto" w:sz="4" w:space="0"/>
              <w:right w:val="single" w:color="auto" w:sz="4" w:space="0"/>
            </w:tcBorders>
            <w:noWrap w:val="0"/>
            <w:vAlign w:val="center"/>
          </w:tcPr>
          <w:p>
            <w:pPr>
              <w:widowControl w:val="0"/>
              <w:spacing w:line="240" w:lineRule="auto"/>
              <w:ind w:firstLine="0" w:firstLineChars="0"/>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2"/>
                <w:sz w:val="21"/>
                <w:szCs w:val="24"/>
                <w:lang w:val="en-US" w:eastAsia="zh-CN" w:bidi="ar-SA"/>
              </w:rPr>
              <w:t>3.15</w:t>
            </w:r>
          </w:p>
        </w:tc>
        <w:tc>
          <w:tcPr>
            <w:tcW w:w="726" w:type="pct"/>
            <w:tcBorders>
              <w:top w:val="nil"/>
              <w:left w:val="nil"/>
              <w:bottom w:val="single" w:color="auto" w:sz="4" w:space="0"/>
              <w:right w:val="single" w:color="auto" w:sz="4" w:space="0"/>
            </w:tcBorders>
            <w:noWrap w:val="0"/>
            <w:vAlign w:val="center"/>
          </w:tcPr>
          <w:p>
            <w:pPr>
              <w:widowControl w:val="0"/>
              <w:spacing w:line="240" w:lineRule="auto"/>
              <w:ind w:firstLine="0" w:firstLineChars="0"/>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2"/>
                <w:sz w:val="21"/>
                <w:szCs w:val="24"/>
                <w:lang w:val="en-US" w:eastAsia="zh-CN" w:bidi="ar-SA"/>
              </w:rPr>
              <w:t>3.15</w:t>
            </w:r>
          </w:p>
        </w:tc>
        <w:tc>
          <w:tcPr>
            <w:tcW w:w="804" w:type="pct"/>
            <w:tcBorders>
              <w:top w:val="nil"/>
              <w:left w:val="nil"/>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宋体" w:cs="Times New Roman"/>
                <w:kern w:val="0"/>
                <w:sz w:val="21"/>
                <w:szCs w:val="21"/>
              </w:rPr>
            </w:pPr>
          </w:p>
        </w:tc>
      </w:tr>
      <w:tr>
        <w:tblPrEx>
          <w:tblCellMar>
            <w:top w:w="0" w:type="dxa"/>
            <w:left w:w="0" w:type="dxa"/>
            <w:bottom w:w="0" w:type="dxa"/>
            <w:right w:w="0" w:type="dxa"/>
          </w:tblCellMar>
        </w:tblPrEx>
        <w:trPr>
          <w:jc w:val="center"/>
        </w:trPr>
        <w:tc>
          <w:tcPr>
            <w:tcW w:w="258" w:type="pct"/>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三</w:t>
            </w:r>
          </w:p>
        </w:tc>
        <w:tc>
          <w:tcPr>
            <w:tcW w:w="1654" w:type="pct"/>
            <w:tcBorders>
              <w:top w:val="nil"/>
              <w:left w:val="nil"/>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施工便道防治区</w:t>
            </w:r>
          </w:p>
        </w:tc>
        <w:tc>
          <w:tcPr>
            <w:tcW w:w="749" w:type="pct"/>
            <w:tcBorders>
              <w:top w:val="nil"/>
              <w:left w:val="nil"/>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宋体" w:cs="Times New Roman"/>
                <w:kern w:val="0"/>
                <w:sz w:val="21"/>
                <w:szCs w:val="21"/>
              </w:rPr>
            </w:pPr>
          </w:p>
        </w:tc>
        <w:tc>
          <w:tcPr>
            <w:tcW w:w="807" w:type="pct"/>
            <w:tcBorders>
              <w:top w:val="nil"/>
              <w:left w:val="nil"/>
              <w:bottom w:val="single" w:color="auto" w:sz="4" w:space="0"/>
              <w:right w:val="single" w:color="auto" w:sz="4" w:space="0"/>
            </w:tcBorders>
            <w:noWrap w:val="0"/>
            <w:vAlign w:val="center"/>
          </w:tcPr>
          <w:p>
            <w:pPr>
              <w:widowControl w:val="0"/>
              <w:spacing w:line="240" w:lineRule="auto"/>
              <w:ind w:firstLine="0" w:firstLineChars="0"/>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2"/>
                <w:sz w:val="21"/>
                <w:szCs w:val="24"/>
                <w:lang w:val="en-US" w:eastAsia="zh-CN" w:bidi="ar-SA"/>
              </w:rPr>
              <w:t>26.28</w:t>
            </w:r>
          </w:p>
        </w:tc>
        <w:tc>
          <w:tcPr>
            <w:tcW w:w="726" w:type="pct"/>
            <w:tcBorders>
              <w:top w:val="nil"/>
              <w:left w:val="nil"/>
              <w:bottom w:val="single" w:color="auto" w:sz="4" w:space="0"/>
              <w:right w:val="single" w:color="auto" w:sz="4" w:space="0"/>
            </w:tcBorders>
            <w:noWrap w:val="0"/>
            <w:vAlign w:val="center"/>
          </w:tcPr>
          <w:p>
            <w:pPr>
              <w:widowControl w:val="0"/>
              <w:spacing w:line="240" w:lineRule="auto"/>
              <w:ind w:firstLine="0" w:firstLineChars="0"/>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2"/>
                <w:sz w:val="21"/>
                <w:szCs w:val="24"/>
                <w:lang w:val="en-US" w:eastAsia="zh-CN" w:bidi="ar-SA"/>
              </w:rPr>
              <w:t>26.28</w:t>
            </w:r>
          </w:p>
        </w:tc>
        <w:tc>
          <w:tcPr>
            <w:tcW w:w="804" w:type="pct"/>
            <w:tcBorders>
              <w:top w:val="nil"/>
              <w:left w:val="nil"/>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宋体" w:cs="Times New Roman"/>
                <w:kern w:val="0"/>
                <w:sz w:val="21"/>
                <w:szCs w:val="21"/>
              </w:rPr>
            </w:pPr>
          </w:p>
        </w:tc>
      </w:tr>
      <w:tr>
        <w:tblPrEx>
          <w:tblCellMar>
            <w:top w:w="0" w:type="dxa"/>
            <w:left w:w="0" w:type="dxa"/>
            <w:bottom w:w="0" w:type="dxa"/>
            <w:right w:w="0" w:type="dxa"/>
          </w:tblCellMar>
        </w:tblPrEx>
        <w:trPr>
          <w:jc w:val="center"/>
        </w:trPr>
        <w:tc>
          <w:tcPr>
            <w:tcW w:w="258" w:type="pct"/>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四</w:t>
            </w:r>
          </w:p>
        </w:tc>
        <w:tc>
          <w:tcPr>
            <w:tcW w:w="1654" w:type="pct"/>
            <w:tcBorders>
              <w:top w:val="nil"/>
              <w:left w:val="nil"/>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跨越施工场地防治区</w:t>
            </w:r>
          </w:p>
        </w:tc>
        <w:tc>
          <w:tcPr>
            <w:tcW w:w="749" w:type="pct"/>
            <w:tcBorders>
              <w:top w:val="nil"/>
              <w:left w:val="nil"/>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宋体" w:cs="Times New Roman"/>
                <w:kern w:val="0"/>
                <w:sz w:val="21"/>
                <w:szCs w:val="21"/>
              </w:rPr>
            </w:pPr>
          </w:p>
        </w:tc>
        <w:tc>
          <w:tcPr>
            <w:tcW w:w="807" w:type="pct"/>
            <w:tcBorders>
              <w:top w:val="nil"/>
              <w:left w:val="nil"/>
              <w:bottom w:val="single" w:color="auto" w:sz="4" w:space="0"/>
              <w:right w:val="single" w:color="auto" w:sz="4" w:space="0"/>
            </w:tcBorders>
            <w:noWrap w:val="0"/>
            <w:vAlign w:val="center"/>
          </w:tcPr>
          <w:p>
            <w:pPr>
              <w:widowControl w:val="0"/>
              <w:spacing w:line="240" w:lineRule="auto"/>
              <w:ind w:firstLine="0" w:firstLineChars="0"/>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2"/>
                <w:sz w:val="21"/>
                <w:szCs w:val="24"/>
                <w:lang w:val="en-US" w:eastAsia="zh-CN" w:bidi="ar-SA"/>
              </w:rPr>
              <w:t>0.73</w:t>
            </w:r>
          </w:p>
        </w:tc>
        <w:tc>
          <w:tcPr>
            <w:tcW w:w="726" w:type="pct"/>
            <w:tcBorders>
              <w:top w:val="nil"/>
              <w:left w:val="nil"/>
              <w:bottom w:val="single" w:color="auto" w:sz="4" w:space="0"/>
              <w:right w:val="single" w:color="auto" w:sz="4" w:space="0"/>
            </w:tcBorders>
            <w:noWrap w:val="0"/>
            <w:vAlign w:val="center"/>
          </w:tcPr>
          <w:p>
            <w:pPr>
              <w:widowControl w:val="0"/>
              <w:spacing w:line="240" w:lineRule="auto"/>
              <w:ind w:firstLine="0" w:firstLineChars="0"/>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2"/>
                <w:sz w:val="21"/>
                <w:szCs w:val="24"/>
                <w:lang w:val="en-US" w:eastAsia="zh-CN" w:bidi="ar-SA"/>
              </w:rPr>
              <w:t>0.73</w:t>
            </w:r>
          </w:p>
        </w:tc>
        <w:tc>
          <w:tcPr>
            <w:tcW w:w="804" w:type="pct"/>
            <w:tcBorders>
              <w:top w:val="nil"/>
              <w:left w:val="nil"/>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宋体" w:cs="Times New Roman"/>
                <w:kern w:val="0"/>
                <w:sz w:val="21"/>
                <w:szCs w:val="21"/>
              </w:rPr>
            </w:pPr>
          </w:p>
        </w:tc>
      </w:tr>
      <w:tr>
        <w:tblPrEx>
          <w:tblCellMar>
            <w:top w:w="0" w:type="dxa"/>
            <w:left w:w="0" w:type="dxa"/>
            <w:bottom w:w="0" w:type="dxa"/>
            <w:right w:w="0" w:type="dxa"/>
          </w:tblCellMar>
        </w:tblPrEx>
        <w:trPr>
          <w:jc w:val="center"/>
        </w:trPr>
        <w:tc>
          <w:tcPr>
            <w:tcW w:w="258" w:type="pct"/>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宋体" w:cs="Times New Roman"/>
                <w:b/>
                <w:bCs/>
                <w:kern w:val="0"/>
                <w:sz w:val="21"/>
                <w:szCs w:val="21"/>
              </w:rPr>
            </w:pPr>
          </w:p>
        </w:tc>
        <w:tc>
          <w:tcPr>
            <w:tcW w:w="1654" w:type="pct"/>
            <w:tcBorders>
              <w:top w:val="nil"/>
              <w:left w:val="nil"/>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宋体" w:cs="Times New Roman"/>
                <w:b/>
                <w:bCs/>
                <w:kern w:val="0"/>
                <w:sz w:val="21"/>
                <w:szCs w:val="21"/>
              </w:rPr>
            </w:pPr>
            <w:r>
              <w:rPr>
                <w:rFonts w:hint="default" w:ascii="Times New Roman" w:hAnsi="Times New Roman" w:eastAsia="宋体" w:cs="Times New Roman"/>
                <w:b/>
                <w:bCs/>
                <w:kern w:val="0"/>
                <w:sz w:val="21"/>
                <w:szCs w:val="21"/>
              </w:rPr>
              <w:t>第二部分：植物措施</w:t>
            </w:r>
          </w:p>
        </w:tc>
        <w:tc>
          <w:tcPr>
            <w:tcW w:w="749" w:type="pct"/>
            <w:tcBorders>
              <w:top w:val="nil"/>
              <w:left w:val="nil"/>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宋体" w:cs="Times New Roman"/>
                <w:b/>
                <w:bCs/>
                <w:kern w:val="0"/>
                <w:sz w:val="21"/>
                <w:szCs w:val="21"/>
              </w:rPr>
            </w:pPr>
          </w:p>
        </w:tc>
        <w:tc>
          <w:tcPr>
            <w:tcW w:w="807" w:type="pct"/>
            <w:tcBorders>
              <w:top w:val="nil"/>
              <w:left w:val="nil"/>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宋体" w:cs="Times New Roman"/>
                <w:b/>
                <w:bCs/>
                <w:kern w:val="0"/>
                <w:sz w:val="21"/>
                <w:szCs w:val="21"/>
              </w:rPr>
            </w:pPr>
            <w:r>
              <w:rPr>
                <w:rFonts w:hint="default" w:ascii="Times New Roman" w:hAnsi="Times New Roman" w:eastAsia="宋体" w:cs="Times New Roman"/>
                <w:b/>
                <w:bCs/>
                <w:kern w:val="0"/>
                <w:sz w:val="21"/>
                <w:szCs w:val="21"/>
              </w:rPr>
              <w:t>36.08</w:t>
            </w:r>
          </w:p>
        </w:tc>
        <w:tc>
          <w:tcPr>
            <w:tcW w:w="726" w:type="pct"/>
            <w:tcBorders>
              <w:top w:val="nil"/>
              <w:left w:val="nil"/>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宋体" w:cs="Times New Roman"/>
                <w:b/>
                <w:bCs/>
                <w:kern w:val="0"/>
                <w:sz w:val="21"/>
                <w:szCs w:val="21"/>
              </w:rPr>
            </w:pPr>
            <w:r>
              <w:rPr>
                <w:rFonts w:hint="default" w:ascii="Times New Roman" w:hAnsi="Times New Roman" w:eastAsia="宋体" w:cs="Times New Roman"/>
                <w:b/>
                <w:bCs/>
                <w:kern w:val="0"/>
                <w:sz w:val="21"/>
                <w:szCs w:val="21"/>
              </w:rPr>
              <w:t>36.08</w:t>
            </w:r>
          </w:p>
        </w:tc>
        <w:tc>
          <w:tcPr>
            <w:tcW w:w="804" w:type="pct"/>
            <w:tcBorders>
              <w:top w:val="nil"/>
              <w:left w:val="nil"/>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宋体" w:cs="Times New Roman"/>
                <w:b/>
                <w:bCs/>
                <w:kern w:val="0"/>
                <w:sz w:val="21"/>
                <w:szCs w:val="21"/>
              </w:rPr>
            </w:pPr>
          </w:p>
        </w:tc>
      </w:tr>
      <w:tr>
        <w:tblPrEx>
          <w:tblCellMar>
            <w:top w:w="0" w:type="dxa"/>
            <w:left w:w="0" w:type="dxa"/>
            <w:bottom w:w="0" w:type="dxa"/>
            <w:right w:w="0" w:type="dxa"/>
          </w:tblCellMar>
        </w:tblPrEx>
        <w:trPr>
          <w:jc w:val="center"/>
        </w:trPr>
        <w:tc>
          <w:tcPr>
            <w:tcW w:w="258" w:type="pct"/>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一</w:t>
            </w:r>
          </w:p>
        </w:tc>
        <w:tc>
          <w:tcPr>
            <w:tcW w:w="1654" w:type="pct"/>
            <w:tcBorders>
              <w:top w:val="nil"/>
              <w:left w:val="nil"/>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塔基工程防区</w:t>
            </w:r>
          </w:p>
        </w:tc>
        <w:tc>
          <w:tcPr>
            <w:tcW w:w="749" w:type="pct"/>
            <w:tcBorders>
              <w:top w:val="nil"/>
              <w:left w:val="nil"/>
              <w:bottom w:val="single" w:color="auto" w:sz="4" w:space="0"/>
              <w:right w:val="single" w:color="auto" w:sz="4" w:space="0"/>
            </w:tcBorders>
            <w:noWrap w:val="0"/>
            <w:vAlign w:val="center"/>
          </w:tcPr>
          <w:p>
            <w:pPr>
              <w:widowControl/>
              <w:spacing w:line="400" w:lineRule="exact"/>
              <w:jc w:val="center"/>
              <w:textAlignment w:val="center"/>
              <w:rPr>
                <w:rFonts w:hint="default" w:ascii="Times New Roman" w:hAnsi="Times New Roman" w:eastAsia="宋体" w:cs="Times New Roman"/>
                <w:kern w:val="0"/>
                <w:sz w:val="21"/>
                <w:szCs w:val="21"/>
              </w:rPr>
            </w:pPr>
          </w:p>
        </w:tc>
        <w:tc>
          <w:tcPr>
            <w:tcW w:w="807" w:type="pct"/>
            <w:tcBorders>
              <w:top w:val="nil"/>
              <w:left w:val="nil"/>
              <w:bottom w:val="single" w:color="auto" w:sz="4" w:space="0"/>
              <w:right w:val="single" w:color="auto" w:sz="4" w:space="0"/>
            </w:tcBorders>
            <w:noWrap w:val="0"/>
            <w:vAlign w:val="center"/>
          </w:tcPr>
          <w:p>
            <w:pPr>
              <w:widowControl w:val="0"/>
              <w:spacing w:line="240" w:lineRule="auto"/>
              <w:ind w:firstLine="0" w:firstLineChars="0"/>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2"/>
                <w:sz w:val="21"/>
                <w:szCs w:val="24"/>
                <w:lang w:val="en-US" w:eastAsia="zh-CN" w:bidi="ar-SA"/>
              </w:rPr>
              <w:t>4.11</w:t>
            </w:r>
          </w:p>
        </w:tc>
        <w:tc>
          <w:tcPr>
            <w:tcW w:w="726" w:type="pct"/>
            <w:tcBorders>
              <w:top w:val="nil"/>
              <w:left w:val="nil"/>
              <w:bottom w:val="single" w:color="auto" w:sz="4" w:space="0"/>
              <w:right w:val="single" w:color="auto" w:sz="4" w:space="0"/>
            </w:tcBorders>
            <w:noWrap w:val="0"/>
            <w:vAlign w:val="center"/>
          </w:tcPr>
          <w:p>
            <w:pPr>
              <w:widowControl w:val="0"/>
              <w:spacing w:line="240" w:lineRule="auto"/>
              <w:ind w:firstLine="0" w:firstLineChars="0"/>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2"/>
                <w:sz w:val="21"/>
                <w:szCs w:val="24"/>
                <w:lang w:val="en-US" w:eastAsia="zh-CN" w:bidi="ar-SA"/>
              </w:rPr>
              <w:t>4.11</w:t>
            </w:r>
          </w:p>
        </w:tc>
        <w:tc>
          <w:tcPr>
            <w:tcW w:w="804" w:type="pct"/>
            <w:tcBorders>
              <w:top w:val="nil"/>
              <w:left w:val="nil"/>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宋体" w:cs="Times New Roman"/>
                <w:kern w:val="0"/>
                <w:sz w:val="21"/>
                <w:szCs w:val="21"/>
              </w:rPr>
            </w:pPr>
          </w:p>
        </w:tc>
      </w:tr>
      <w:tr>
        <w:tblPrEx>
          <w:tblCellMar>
            <w:top w:w="0" w:type="dxa"/>
            <w:left w:w="0" w:type="dxa"/>
            <w:bottom w:w="0" w:type="dxa"/>
            <w:right w:w="0" w:type="dxa"/>
          </w:tblCellMar>
        </w:tblPrEx>
        <w:trPr>
          <w:jc w:val="center"/>
        </w:trPr>
        <w:tc>
          <w:tcPr>
            <w:tcW w:w="258" w:type="pct"/>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二</w:t>
            </w:r>
          </w:p>
        </w:tc>
        <w:tc>
          <w:tcPr>
            <w:tcW w:w="1654" w:type="pct"/>
            <w:tcBorders>
              <w:top w:val="nil"/>
              <w:left w:val="nil"/>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牵张场防治区</w:t>
            </w:r>
          </w:p>
        </w:tc>
        <w:tc>
          <w:tcPr>
            <w:tcW w:w="749" w:type="pct"/>
            <w:tcBorders>
              <w:top w:val="nil"/>
              <w:left w:val="nil"/>
              <w:bottom w:val="single" w:color="auto" w:sz="4" w:space="0"/>
              <w:right w:val="single" w:color="auto" w:sz="4" w:space="0"/>
            </w:tcBorders>
            <w:noWrap w:val="0"/>
            <w:vAlign w:val="center"/>
          </w:tcPr>
          <w:p>
            <w:pPr>
              <w:widowControl/>
              <w:spacing w:line="400" w:lineRule="exact"/>
              <w:jc w:val="center"/>
              <w:textAlignment w:val="center"/>
              <w:rPr>
                <w:rFonts w:hint="default" w:ascii="Times New Roman" w:hAnsi="Times New Roman" w:eastAsia="宋体" w:cs="Times New Roman"/>
                <w:kern w:val="0"/>
                <w:sz w:val="21"/>
                <w:szCs w:val="21"/>
              </w:rPr>
            </w:pPr>
          </w:p>
        </w:tc>
        <w:tc>
          <w:tcPr>
            <w:tcW w:w="807" w:type="pct"/>
            <w:tcBorders>
              <w:top w:val="nil"/>
              <w:left w:val="nil"/>
              <w:bottom w:val="single" w:color="auto" w:sz="4" w:space="0"/>
              <w:right w:val="single" w:color="auto" w:sz="4" w:space="0"/>
            </w:tcBorders>
            <w:noWrap w:val="0"/>
            <w:vAlign w:val="center"/>
          </w:tcPr>
          <w:p>
            <w:pPr>
              <w:widowControl w:val="0"/>
              <w:spacing w:line="240" w:lineRule="auto"/>
              <w:ind w:firstLine="0" w:firstLineChars="0"/>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2"/>
                <w:sz w:val="21"/>
                <w:szCs w:val="24"/>
                <w:lang w:val="en-US" w:eastAsia="zh-CN" w:bidi="ar-SA"/>
              </w:rPr>
              <w:t>0.83</w:t>
            </w:r>
          </w:p>
        </w:tc>
        <w:tc>
          <w:tcPr>
            <w:tcW w:w="726" w:type="pct"/>
            <w:tcBorders>
              <w:top w:val="nil"/>
              <w:left w:val="nil"/>
              <w:bottom w:val="single" w:color="auto" w:sz="4" w:space="0"/>
              <w:right w:val="single" w:color="auto" w:sz="4" w:space="0"/>
            </w:tcBorders>
            <w:noWrap w:val="0"/>
            <w:vAlign w:val="center"/>
          </w:tcPr>
          <w:p>
            <w:pPr>
              <w:widowControl w:val="0"/>
              <w:spacing w:line="240" w:lineRule="auto"/>
              <w:ind w:firstLine="0" w:firstLineChars="0"/>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2"/>
                <w:sz w:val="21"/>
                <w:szCs w:val="24"/>
                <w:lang w:val="en-US" w:eastAsia="zh-CN" w:bidi="ar-SA"/>
              </w:rPr>
              <w:t>0.83</w:t>
            </w:r>
          </w:p>
        </w:tc>
        <w:tc>
          <w:tcPr>
            <w:tcW w:w="804" w:type="pct"/>
            <w:tcBorders>
              <w:top w:val="nil"/>
              <w:left w:val="nil"/>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宋体" w:cs="Times New Roman"/>
                <w:kern w:val="0"/>
                <w:sz w:val="21"/>
                <w:szCs w:val="21"/>
              </w:rPr>
            </w:pPr>
          </w:p>
        </w:tc>
      </w:tr>
      <w:tr>
        <w:tblPrEx>
          <w:tblCellMar>
            <w:top w:w="0" w:type="dxa"/>
            <w:left w:w="0" w:type="dxa"/>
            <w:bottom w:w="0" w:type="dxa"/>
            <w:right w:w="0" w:type="dxa"/>
          </w:tblCellMar>
        </w:tblPrEx>
        <w:trPr>
          <w:jc w:val="center"/>
        </w:trPr>
        <w:tc>
          <w:tcPr>
            <w:tcW w:w="258" w:type="pct"/>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三</w:t>
            </w:r>
          </w:p>
        </w:tc>
        <w:tc>
          <w:tcPr>
            <w:tcW w:w="1654" w:type="pct"/>
            <w:tcBorders>
              <w:top w:val="nil"/>
              <w:left w:val="nil"/>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施工便道防治区</w:t>
            </w:r>
          </w:p>
        </w:tc>
        <w:tc>
          <w:tcPr>
            <w:tcW w:w="749" w:type="pct"/>
            <w:tcBorders>
              <w:top w:val="nil"/>
              <w:left w:val="nil"/>
              <w:bottom w:val="single" w:color="auto" w:sz="4" w:space="0"/>
              <w:right w:val="single" w:color="auto" w:sz="4" w:space="0"/>
            </w:tcBorders>
            <w:noWrap w:val="0"/>
            <w:vAlign w:val="center"/>
          </w:tcPr>
          <w:p>
            <w:pPr>
              <w:widowControl/>
              <w:spacing w:line="400" w:lineRule="exact"/>
              <w:jc w:val="center"/>
              <w:textAlignment w:val="center"/>
              <w:rPr>
                <w:rFonts w:hint="default" w:ascii="Times New Roman" w:hAnsi="Times New Roman" w:eastAsia="宋体" w:cs="Times New Roman"/>
                <w:kern w:val="0"/>
                <w:sz w:val="21"/>
                <w:szCs w:val="21"/>
              </w:rPr>
            </w:pPr>
          </w:p>
        </w:tc>
        <w:tc>
          <w:tcPr>
            <w:tcW w:w="807" w:type="pct"/>
            <w:tcBorders>
              <w:top w:val="nil"/>
              <w:left w:val="nil"/>
              <w:bottom w:val="single" w:color="auto" w:sz="4" w:space="0"/>
              <w:right w:val="single" w:color="auto" w:sz="4" w:space="0"/>
            </w:tcBorders>
            <w:noWrap w:val="0"/>
            <w:vAlign w:val="center"/>
          </w:tcPr>
          <w:p>
            <w:pPr>
              <w:widowControl w:val="0"/>
              <w:spacing w:line="240" w:lineRule="auto"/>
              <w:ind w:firstLine="0" w:firstLineChars="0"/>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2"/>
                <w:sz w:val="21"/>
                <w:szCs w:val="24"/>
                <w:lang w:val="en-US" w:eastAsia="zh-CN" w:bidi="ar-SA"/>
              </w:rPr>
              <w:t>30.78</w:t>
            </w:r>
          </w:p>
        </w:tc>
        <w:tc>
          <w:tcPr>
            <w:tcW w:w="726" w:type="pct"/>
            <w:tcBorders>
              <w:top w:val="nil"/>
              <w:left w:val="nil"/>
              <w:bottom w:val="single" w:color="auto" w:sz="4" w:space="0"/>
              <w:right w:val="single" w:color="auto" w:sz="4" w:space="0"/>
            </w:tcBorders>
            <w:noWrap w:val="0"/>
            <w:vAlign w:val="center"/>
          </w:tcPr>
          <w:p>
            <w:pPr>
              <w:widowControl w:val="0"/>
              <w:spacing w:line="240" w:lineRule="auto"/>
              <w:ind w:firstLine="0" w:firstLineChars="0"/>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2"/>
                <w:sz w:val="21"/>
                <w:szCs w:val="24"/>
                <w:lang w:val="en-US" w:eastAsia="zh-CN" w:bidi="ar-SA"/>
              </w:rPr>
              <w:t>30.78</w:t>
            </w:r>
          </w:p>
        </w:tc>
        <w:tc>
          <w:tcPr>
            <w:tcW w:w="804" w:type="pct"/>
            <w:tcBorders>
              <w:top w:val="nil"/>
              <w:left w:val="nil"/>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宋体" w:cs="Times New Roman"/>
                <w:kern w:val="0"/>
                <w:sz w:val="21"/>
                <w:szCs w:val="21"/>
              </w:rPr>
            </w:pPr>
          </w:p>
        </w:tc>
      </w:tr>
      <w:tr>
        <w:tblPrEx>
          <w:tblCellMar>
            <w:top w:w="0" w:type="dxa"/>
            <w:left w:w="0" w:type="dxa"/>
            <w:bottom w:w="0" w:type="dxa"/>
            <w:right w:w="0" w:type="dxa"/>
          </w:tblCellMar>
        </w:tblPrEx>
        <w:trPr>
          <w:jc w:val="center"/>
        </w:trPr>
        <w:tc>
          <w:tcPr>
            <w:tcW w:w="258" w:type="pct"/>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四</w:t>
            </w:r>
          </w:p>
        </w:tc>
        <w:tc>
          <w:tcPr>
            <w:tcW w:w="1654" w:type="pct"/>
            <w:tcBorders>
              <w:top w:val="nil"/>
              <w:left w:val="nil"/>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跨越施工场地防治区</w:t>
            </w:r>
          </w:p>
        </w:tc>
        <w:tc>
          <w:tcPr>
            <w:tcW w:w="749" w:type="pct"/>
            <w:tcBorders>
              <w:top w:val="nil"/>
              <w:left w:val="nil"/>
              <w:bottom w:val="single" w:color="auto" w:sz="4" w:space="0"/>
              <w:right w:val="single" w:color="auto" w:sz="4" w:space="0"/>
            </w:tcBorders>
            <w:noWrap w:val="0"/>
            <w:vAlign w:val="center"/>
          </w:tcPr>
          <w:p>
            <w:pPr>
              <w:widowControl/>
              <w:spacing w:line="400" w:lineRule="exact"/>
              <w:jc w:val="center"/>
              <w:textAlignment w:val="center"/>
              <w:rPr>
                <w:rFonts w:hint="default" w:ascii="Times New Roman" w:hAnsi="Times New Roman" w:eastAsia="宋体" w:cs="Times New Roman"/>
                <w:kern w:val="0"/>
                <w:sz w:val="21"/>
                <w:szCs w:val="21"/>
              </w:rPr>
            </w:pPr>
          </w:p>
        </w:tc>
        <w:tc>
          <w:tcPr>
            <w:tcW w:w="807" w:type="pct"/>
            <w:tcBorders>
              <w:top w:val="nil"/>
              <w:left w:val="nil"/>
              <w:bottom w:val="single" w:color="auto" w:sz="4" w:space="0"/>
              <w:right w:val="single" w:color="auto" w:sz="4" w:space="0"/>
            </w:tcBorders>
            <w:noWrap w:val="0"/>
            <w:vAlign w:val="center"/>
          </w:tcPr>
          <w:p>
            <w:pPr>
              <w:widowControl w:val="0"/>
              <w:spacing w:line="240" w:lineRule="auto"/>
              <w:ind w:firstLine="0" w:firstLineChars="0"/>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2"/>
                <w:sz w:val="21"/>
                <w:szCs w:val="24"/>
                <w:lang w:val="en-US" w:eastAsia="zh-CN" w:bidi="ar-SA"/>
              </w:rPr>
              <w:t>0.36</w:t>
            </w:r>
          </w:p>
        </w:tc>
        <w:tc>
          <w:tcPr>
            <w:tcW w:w="726" w:type="pct"/>
            <w:tcBorders>
              <w:top w:val="nil"/>
              <w:left w:val="nil"/>
              <w:bottom w:val="single" w:color="auto" w:sz="4" w:space="0"/>
              <w:right w:val="single" w:color="auto" w:sz="4" w:space="0"/>
            </w:tcBorders>
            <w:noWrap w:val="0"/>
            <w:vAlign w:val="center"/>
          </w:tcPr>
          <w:p>
            <w:pPr>
              <w:widowControl w:val="0"/>
              <w:spacing w:line="240" w:lineRule="auto"/>
              <w:ind w:firstLine="0" w:firstLineChars="0"/>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2"/>
                <w:sz w:val="21"/>
                <w:szCs w:val="24"/>
                <w:lang w:val="en-US" w:eastAsia="zh-CN" w:bidi="ar-SA"/>
              </w:rPr>
              <w:t>0.36</w:t>
            </w:r>
          </w:p>
        </w:tc>
        <w:tc>
          <w:tcPr>
            <w:tcW w:w="804" w:type="pct"/>
            <w:tcBorders>
              <w:top w:val="nil"/>
              <w:left w:val="nil"/>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宋体" w:cs="Times New Roman"/>
                <w:kern w:val="0"/>
                <w:sz w:val="21"/>
                <w:szCs w:val="21"/>
              </w:rPr>
            </w:pPr>
          </w:p>
        </w:tc>
      </w:tr>
      <w:tr>
        <w:tblPrEx>
          <w:tblCellMar>
            <w:top w:w="0" w:type="dxa"/>
            <w:left w:w="0" w:type="dxa"/>
            <w:bottom w:w="0" w:type="dxa"/>
            <w:right w:w="0" w:type="dxa"/>
          </w:tblCellMar>
        </w:tblPrEx>
        <w:trPr>
          <w:jc w:val="center"/>
        </w:trPr>
        <w:tc>
          <w:tcPr>
            <w:tcW w:w="258" w:type="pct"/>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宋体" w:cs="Times New Roman"/>
                <w:b/>
                <w:bCs/>
                <w:kern w:val="0"/>
                <w:sz w:val="21"/>
                <w:szCs w:val="21"/>
              </w:rPr>
            </w:pPr>
          </w:p>
        </w:tc>
        <w:tc>
          <w:tcPr>
            <w:tcW w:w="1654" w:type="pct"/>
            <w:tcBorders>
              <w:top w:val="nil"/>
              <w:left w:val="nil"/>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宋体" w:cs="Times New Roman"/>
                <w:b/>
                <w:bCs/>
                <w:kern w:val="0"/>
                <w:sz w:val="21"/>
                <w:szCs w:val="21"/>
              </w:rPr>
            </w:pPr>
            <w:r>
              <w:rPr>
                <w:rFonts w:hint="default" w:ascii="Times New Roman" w:hAnsi="Times New Roman" w:eastAsia="宋体" w:cs="Times New Roman"/>
                <w:b/>
                <w:bCs/>
                <w:kern w:val="0"/>
                <w:sz w:val="21"/>
                <w:szCs w:val="21"/>
              </w:rPr>
              <w:t>第三部分：监测措施</w:t>
            </w:r>
          </w:p>
        </w:tc>
        <w:tc>
          <w:tcPr>
            <w:tcW w:w="749" w:type="pct"/>
            <w:tcBorders>
              <w:top w:val="nil"/>
              <w:left w:val="nil"/>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宋体" w:cs="Times New Roman"/>
                <w:b/>
                <w:bCs/>
                <w:kern w:val="0"/>
                <w:sz w:val="21"/>
                <w:szCs w:val="21"/>
              </w:rPr>
            </w:pPr>
            <w:r>
              <w:rPr>
                <w:rFonts w:hint="default" w:ascii="Times New Roman" w:hAnsi="Times New Roman" w:eastAsia="宋体" w:cs="Times New Roman"/>
                <w:b/>
                <w:bCs/>
                <w:kern w:val="0"/>
                <w:sz w:val="21"/>
                <w:szCs w:val="21"/>
              </w:rPr>
              <w:t>9.96</w:t>
            </w:r>
          </w:p>
        </w:tc>
        <w:tc>
          <w:tcPr>
            <w:tcW w:w="807" w:type="pct"/>
            <w:tcBorders>
              <w:top w:val="nil"/>
              <w:left w:val="nil"/>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宋体" w:cs="Times New Roman"/>
                <w:b/>
                <w:bCs/>
                <w:kern w:val="0"/>
                <w:sz w:val="21"/>
                <w:szCs w:val="21"/>
              </w:rPr>
            </w:pPr>
          </w:p>
        </w:tc>
        <w:tc>
          <w:tcPr>
            <w:tcW w:w="726" w:type="pct"/>
            <w:tcBorders>
              <w:top w:val="nil"/>
              <w:left w:val="nil"/>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宋体" w:cs="Times New Roman"/>
                <w:b/>
                <w:bCs/>
                <w:kern w:val="0"/>
                <w:sz w:val="21"/>
                <w:szCs w:val="21"/>
              </w:rPr>
            </w:pPr>
            <w:r>
              <w:rPr>
                <w:rFonts w:hint="default" w:ascii="Times New Roman" w:hAnsi="Times New Roman" w:eastAsia="宋体" w:cs="Times New Roman"/>
                <w:b/>
                <w:bCs/>
                <w:kern w:val="0"/>
                <w:sz w:val="21"/>
                <w:szCs w:val="21"/>
              </w:rPr>
              <w:t>9.96</w:t>
            </w:r>
          </w:p>
        </w:tc>
        <w:tc>
          <w:tcPr>
            <w:tcW w:w="804" w:type="pct"/>
            <w:tcBorders>
              <w:top w:val="nil"/>
              <w:left w:val="nil"/>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宋体" w:cs="Times New Roman"/>
                <w:b/>
                <w:bCs/>
                <w:kern w:val="0"/>
                <w:sz w:val="21"/>
                <w:szCs w:val="21"/>
              </w:rPr>
            </w:pPr>
          </w:p>
        </w:tc>
      </w:tr>
      <w:tr>
        <w:tblPrEx>
          <w:tblCellMar>
            <w:top w:w="0" w:type="dxa"/>
            <w:left w:w="0" w:type="dxa"/>
            <w:bottom w:w="0" w:type="dxa"/>
            <w:right w:w="0" w:type="dxa"/>
          </w:tblCellMar>
        </w:tblPrEx>
        <w:trPr>
          <w:jc w:val="center"/>
        </w:trPr>
        <w:tc>
          <w:tcPr>
            <w:tcW w:w="258" w:type="pct"/>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一</w:t>
            </w:r>
          </w:p>
        </w:tc>
        <w:tc>
          <w:tcPr>
            <w:tcW w:w="1654" w:type="pct"/>
            <w:tcBorders>
              <w:top w:val="nil"/>
              <w:left w:val="nil"/>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设备费</w:t>
            </w:r>
          </w:p>
        </w:tc>
        <w:tc>
          <w:tcPr>
            <w:tcW w:w="749" w:type="pct"/>
            <w:tcBorders>
              <w:top w:val="nil"/>
              <w:left w:val="nil"/>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2.67</w:t>
            </w:r>
          </w:p>
        </w:tc>
        <w:tc>
          <w:tcPr>
            <w:tcW w:w="807" w:type="pct"/>
            <w:tcBorders>
              <w:top w:val="nil"/>
              <w:left w:val="nil"/>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宋体" w:cs="Times New Roman"/>
                <w:kern w:val="0"/>
                <w:sz w:val="21"/>
                <w:szCs w:val="21"/>
              </w:rPr>
            </w:pPr>
          </w:p>
        </w:tc>
        <w:tc>
          <w:tcPr>
            <w:tcW w:w="726" w:type="pct"/>
            <w:tcBorders>
              <w:top w:val="nil"/>
              <w:left w:val="nil"/>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2.67</w:t>
            </w:r>
          </w:p>
        </w:tc>
        <w:tc>
          <w:tcPr>
            <w:tcW w:w="804" w:type="pct"/>
            <w:tcBorders>
              <w:top w:val="nil"/>
              <w:left w:val="nil"/>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宋体" w:cs="Times New Roman"/>
                <w:kern w:val="0"/>
                <w:sz w:val="21"/>
                <w:szCs w:val="21"/>
              </w:rPr>
            </w:pPr>
          </w:p>
        </w:tc>
      </w:tr>
      <w:tr>
        <w:tblPrEx>
          <w:tblCellMar>
            <w:top w:w="0" w:type="dxa"/>
            <w:left w:w="0" w:type="dxa"/>
            <w:bottom w:w="0" w:type="dxa"/>
            <w:right w:w="0" w:type="dxa"/>
          </w:tblCellMar>
        </w:tblPrEx>
        <w:trPr>
          <w:jc w:val="center"/>
        </w:trPr>
        <w:tc>
          <w:tcPr>
            <w:tcW w:w="258" w:type="pct"/>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二</w:t>
            </w:r>
          </w:p>
        </w:tc>
        <w:tc>
          <w:tcPr>
            <w:tcW w:w="1654" w:type="pct"/>
            <w:tcBorders>
              <w:top w:val="nil"/>
              <w:left w:val="nil"/>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监测运行费</w:t>
            </w:r>
          </w:p>
        </w:tc>
        <w:tc>
          <w:tcPr>
            <w:tcW w:w="749" w:type="pct"/>
            <w:tcBorders>
              <w:top w:val="nil"/>
              <w:left w:val="nil"/>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7.29</w:t>
            </w:r>
          </w:p>
        </w:tc>
        <w:tc>
          <w:tcPr>
            <w:tcW w:w="807" w:type="pct"/>
            <w:tcBorders>
              <w:top w:val="nil"/>
              <w:left w:val="nil"/>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宋体" w:cs="Times New Roman"/>
                <w:kern w:val="0"/>
                <w:sz w:val="21"/>
                <w:szCs w:val="21"/>
              </w:rPr>
            </w:pPr>
          </w:p>
        </w:tc>
        <w:tc>
          <w:tcPr>
            <w:tcW w:w="726" w:type="pct"/>
            <w:tcBorders>
              <w:top w:val="nil"/>
              <w:left w:val="nil"/>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7.29</w:t>
            </w:r>
          </w:p>
        </w:tc>
        <w:tc>
          <w:tcPr>
            <w:tcW w:w="804" w:type="pct"/>
            <w:tcBorders>
              <w:top w:val="nil"/>
              <w:left w:val="nil"/>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宋体" w:cs="Times New Roman"/>
                <w:kern w:val="0"/>
                <w:sz w:val="21"/>
                <w:szCs w:val="21"/>
              </w:rPr>
            </w:pPr>
          </w:p>
        </w:tc>
      </w:tr>
      <w:tr>
        <w:tblPrEx>
          <w:tblCellMar>
            <w:top w:w="0" w:type="dxa"/>
            <w:left w:w="0" w:type="dxa"/>
            <w:bottom w:w="0" w:type="dxa"/>
            <w:right w:w="0" w:type="dxa"/>
          </w:tblCellMar>
        </w:tblPrEx>
        <w:trPr>
          <w:trHeight w:val="356" w:hRule="atLeast"/>
          <w:jc w:val="center"/>
        </w:trPr>
        <w:tc>
          <w:tcPr>
            <w:tcW w:w="258" w:type="pct"/>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宋体" w:cs="Times New Roman"/>
                <w:b/>
                <w:bCs/>
                <w:kern w:val="0"/>
                <w:sz w:val="21"/>
                <w:szCs w:val="21"/>
              </w:rPr>
            </w:pPr>
          </w:p>
        </w:tc>
        <w:tc>
          <w:tcPr>
            <w:tcW w:w="1654" w:type="pct"/>
            <w:tcBorders>
              <w:top w:val="nil"/>
              <w:left w:val="nil"/>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宋体" w:cs="Times New Roman"/>
                <w:b/>
                <w:bCs/>
                <w:kern w:val="0"/>
                <w:sz w:val="21"/>
                <w:szCs w:val="21"/>
              </w:rPr>
            </w:pPr>
            <w:r>
              <w:rPr>
                <w:rFonts w:hint="default" w:ascii="Times New Roman" w:hAnsi="Times New Roman" w:eastAsia="宋体" w:cs="Times New Roman"/>
                <w:b/>
                <w:bCs/>
                <w:kern w:val="0"/>
                <w:sz w:val="21"/>
                <w:szCs w:val="21"/>
              </w:rPr>
              <w:t>第四部分：施工临时措施</w:t>
            </w:r>
          </w:p>
        </w:tc>
        <w:tc>
          <w:tcPr>
            <w:tcW w:w="749" w:type="pct"/>
            <w:tcBorders>
              <w:top w:val="nil"/>
              <w:left w:val="nil"/>
              <w:bottom w:val="single" w:color="auto" w:sz="4" w:space="0"/>
              <w:right w:val="single" w:color="auto" w:sz="4" w:space="0"/>
            </w:tcBorders>
            <w:noWrap w:val="0"/>
            <w:vAlign w:val="top"/>
          </w:tcPr>
          <w:p>
            <w:pPr>
              <w:widowControl/>
              <w:spacing w:line="400" w:lineRule="exact"/>
              <w:jc w:val="center"/>
              <w:rPr>
                <w:rFonts w:hint="default" w:ascii="Times New Roman" w:hAnsi="Times New Roman" w:eastAsia="宋体" w:cs="Times New Roman"/>
                <w:b/>
                <w:bCs/>
                <w:kern w:val="0"/>
                <w:sz w:val="21"/>
                <w:szCs w:val="21"/>
              </w:rPr>
            </w:pPr>
            <w:r>
              <w:rPr>
                <w:rFonts w:hint="default" w:ascii="Times New Roman" w:hAnsi="Times New Roman" w:eastAsia="宋体" w:cs="Times New Roman"/>
                <w:b/>
                <w:bCs/>
                <w:kern w:val="0"/>
                <w:sz w:val="21"/>
                <w:szCs w:val="21"/>
              </w:rPr>
              <w:t xml:space="preserve">80.39 </w:t>
            </w:r>
          </w:p>
        </w:tc>
        <w:tc>
          <w:tcPr>
            <w:tcW w:w="807" w:type="pct"/>
            <w:tcBorders>
              <w:top w:val="nil"/>
              <w:left w:val="nil"/>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宋体" w:cs="Times New Roman"/>
                <w:b/>
                <w:bCs/>
                <w:kern w:val="0"/>
                <w:sz w:val="21"/>
                <w:szCs w:val="21"/>
              </w:rPr>
            </w:pPr>
          </w:p>
        </w:tc>
        <w:tc>
          <w:tcPr>
            <w:tcW w:w="726" w:type="pct"/>
            <w:tcBorders>
              <w:top w:val="nil"/>
              <w:left w:val="nil"/>
              <w:bottom w:val="single" w:color="auto" w:sz="4" w:space="0"/>
              <w:right w:val="single" w:color="auto" w:sz="4" w:space="0"/>
            </w:tcBorders>
            <w:noWrap w:val="0"/>
            <w:vAlign w:val="top"/>
          </w:tcPr>
          <w:p>
            <w:pPr>
              <w:widowControl/>
              <w:spacing w:line="400" w:lineRule="exact"/>
              <w:jc w:val="center"/>
              <w:rPr>
                <w:rFonts w:hint="default" w:ascii="Times New Roman" w:hAnsi="Times New Roman" w:eastAsia="宋体" w:cs="Times New Roman"/>
                <w:b/>
                <w:bCs/>
                <w:kern w:val="0"/>
                <w:sz w:val="21"/>
                <w:szCs w:val="21"/>
              </w:rPr>
            </w:pPr>
            <w:r>
              <w:rPr>
                <w:rFonts w:hint="default" w:ascii="Times New Roman" w:hAnsi="Times New Roman" w:eastAsia="宋体" w:cs="Times New Roman"/>
                <w:b/>
                <w:bCs/>
                <w:kern w:val="0"/>
                <w:sz w:val="21"/>
                <w:szCs w:val="21"/>
              </w:rPr>
              <w:t xml:space="preserve">80.39 </w:t>
            </w:r>
          </w:p>
        </w:tc>
        <w:tc>
          <w:tcPr>
            <w:tcW w:w="804" w:type="pct"/>
            <w:tcBorders>
              <w:top w:val="nil"/>
              <w:left w:val="nil"/>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宋体" w:cs="Times New Roman"/>
                <w:b/>
                <w:bCs/>
                <w:kern w:val="0"/>
                <w:sz w:val="21"/>
                <w:szCs w:val="21"/>
              </w:rPr>
            </w:pPr>
          </w:p>
        </w:tc>
      </w:tr>
      <w:tr>
        <w:tblPrEx>
          <w:tblCellMar>
            <w:top w:w="0" w:type="dxa"/>
            <w:left w:w="0" w:type="dxa"/>
            <w:bottom w:w="0" w:type="dxa"/>
            <w:right w:w="0" w:type="dxa"/>
          </w:tblCellMar>
        </w:tblPrEx>
        <w:trPr>
          <w:jc w:val="center"/>
        </w:trPr>
        <w:tc>
          <w:tcPr>
            <w:tcW w:w="258" w:type="pct"/>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一</w:t>
            </w:r>
          </w:p>
        </w:tc>
        <w:tc>
          <w:tcPr>
            <w:tcW w:w="1654" w:type="pct"/>
            <w:tcBorders>
              <w:top w:val="nil"/>
              <w:left w:val="nil"/>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塔基工程防区</w:t>
            </w:r>
          </w:p>
        </w:tc>
        <w:tc>
          <w:tcPr>
            <w:tcW w:w="749" w:type="pct"/>
            <w:tcBorders>
              <w:top w:val="nil"/>
              <w:left w:val="nil"/>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 xml:space="preserve">13.55 </w:t>
            </w:r>
          </w:p>
        </w:tc>
        <w:tc>
          <w:tcPr>
            <w:tcW w:w="807" w:type="pct"/>
            <w:tcBorders>
              <w:top w:val="nil"/>
              <w:left w:val="nil"/>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宋体" w:cs="Times New Roman"/>
                <w:kern w:val="0"/>
                <w:sz w:val="21"/>
                <w:szCs w:val="21"/>
              </w:rPr>
            </w:pPr>
          </w:p>
        </w:tc>
        <w:tc>
          <w:tcPr>
            <w:tcW w:w="726" w:type="pct"/>
            <w:tcBorders>
              <w:top w:val="nil"/>
              <w:left w:val="nil"/>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 xml:space="preserve">13.55 </w:t>
            </w:r>
          </w:p>
        </w:tc>
        <w:tc>
          <w:tcPr>
            <w:tcW w:w="804" w:type="pct"/>
            <w:tcBorders>
              <w:top w:val="nil"/>
              <w:left w:val="nil"/>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宋体" w:cs="Times New Roman"/>
                <w:kern w:val="0"/>
                <w:sz w:val="21"/>
                <w:szCs w:val="21"/>
              </w:rPr>
            </w:pPr>
          </w:p>
        </w:tc>
      </w:tr>
      <w:tr>
        <w:tblPrEx>
          <w:tblCellMar>
            <w:top w:w="0" w:type="dxa"/>
            <w:left w:w="0" w:type="dxa"/>
            <w:bottom w:w="0" w:type="dxa"/>
            <w:right w:w="0" w:type="dxa"/>
          </w:tblCellMar>
        </w:tblPrEx>
        <w:trPr>
          <w:jc w:val="center"/>
        </w:trPr>
        <w:tc>
          <w:tcPr>
            <w:tcW w:w="258" w:type="pct"/>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二</w:t>
            </w:r>
          </w:p>
        </w:tc>
        <w:tc>
          <w:tcPr>
            <w:tcW w:w="1654" w:type="pct"/>
            <w:tcBorders>
              <w:top w:val="nil"/>
              <w:left w:val="nil"/>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牵张场防治区</w:t>
            </w:r>
          </w:p>
        </w:tc>
        <w:tc>
          <w:tcPr>
            <w:tcW w:w="749" w:type="pct"/>
            <w:tcBorders>
              <w:top w:val="nil"/>
              <w:left w:val="nil"/>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 xml:space="preserve">1.06 </w:t>
            </w:r>
          </w:p>
        </w:tc>
        <w:tc>
          <w:tcPr>
            <w:tcW w:w="807" w:type="pct"/>
            <w:tcBorders>
              <w:top w:val="nil"/>
              <w:left w:val="nil"/>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宋体" w:cs="Times New Roman"/>
                <w:kern w:val="0"/>
                <w:sz w:val="21"/>
                <w:szCs w:val="21"/>
              </w:rPr>
            </w:pPr>
          </w:p>
        </w:tc>
        <w:tc>
          <w:tcPr>
            <w:tcW w:w="726" w:type="pct"/>
            <w:tcBorders>
              <w:top w:val="nil"/>
              <w:left w:val="nil"/>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 xml:space="preserve">1.06 </w:t>
            </w:r>
          </w:p>
        </w:tc>
        <w:tc>
          <w:tcPr>
            <w:tcW w:w="804" w:type="pct"/>
            <w:tcBorders>
              <w:top w:val="nil"/>
              <w:left w:val="nil"/>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宋体" w:cs="Times New Roman"/>
                <w:kern w:val="0"/>
                <w:sz w:val="21"/>
                <w:szCs w:val="21"/>
              </w:rPr>
            </w:pPr>
          </w:p>
        </w:tc>
      </w:tr>
      <w:tr>
        <w:tblPrEx>
          <w:tblCellMar>
            <w:top w:w="0" w:type="dxa"/>
            <w:left w:w="0" w:type="dxa"/>
            <w:bottom w:w="0" w:type="dxa"/>
            <w:right w:w="0" w:type="dxa"/>
          </w:tblCellMar>
        </w:tblPrEx>
        <w:trPr>
          <w:jc w:val="center"/>
        </w:trPr>
        <w:tc>
          <w:tcPr>
            <w:tcW w:w="258" w:type="pct"/>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三</w:t>
            </w:r>
          </w:p>
        </w:tc>
        <w:tc>
          <w:tcPr>
            <w:tcW w:w="1654" w:type="pct"/>
            <w:tcBorders>
              <w:top w:val="nil"/>
              <w:left w:val="nil"/>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施工便道防治区</w:t>
            </w:r>
          </w:p>
        </w:tc>
        <w:tc>
          <w:tcPr>
            <w:tcW w:w="749" w:type="pct"/>
            <w:tcBorders>
              <w:top w:val="nil"/>
              <w:left w:val="nil"/>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65.50</w:t>
            </w:r>
          </w:p>
        </w:tc>
        <w:tc>
          <w:tcPr>
            <w:tcW w:w="807" w:type="pct"/>
            <w:tcBorders>
              <w:top w:val="nil"/>
              <w:left w:val="nil"/>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宋体" w:cs="Times New Roman"/>
                <w:kern w:val="0"/>
                <w:sz w:val="21"/>
                <w:szCs w:val="21"/>
              </w:rPr>
            </w:pPr>
          </w:p>
        </w:tc>
        <w:tc>
          <w:tcPr>
            <w:tcW w:w="726" w:type="pct"/>
            <w:tcBorders>
              <w:top w:val="nil"/>
              <w:left w:val="nil"/>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 xml:space="preserve">65.50 </w:t>
            </w:r>
          </w:p>
        </w:tc>
        <w:tc>
          <w:tcPr>
            <w:tcW w:w="804" w:type="pct"/>
            <w:tcBorders>
              <w:top w:val="nil"/>
              <w:left w:val="nil"/>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宋体" w:cs="Times New Roman"/>
                <w:kern w:val="0"/>
                <w:sz w:val="21"/>
                <w:szCs w:val="21"/>
              </w:rPr>
            </w:pPr>
          </w:p>
        </w:tc>
      </w:tr>
      <w:tr>
        <w:tblPrEx>
          <w:tblCellMar>
            <w:top w:w="0" w:type="dxa"/>
            <w:left w:w="0" w:type="dxa"/>
            <w:bottom w:w="0" w:type="dxa"/>
            <w:right w:w="0" w:type="dxa"/>
          </w:tblCellMar>
        </w:tblPrEx>
        <w:trPr>
          <w:jc w:val="center"/>
        </w:trPr>
        <w:tc>
          <w:tcPr>
            <w:tcW w:w="258" w:type="pct"/>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四</w:t>
            </w:r>
          </w:p>
        </w:tc>
        <w:tc>
          <w:tcPr>
            <w:tcW w:w="1654" w:type="pct"/>
            <w:tcBorders>
              <w:top w:val="nil"/>
              <w:left w:val="nil"/>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跨越施工场地防治区</w:t>
            </w:r>
          </w:p>
        </w:tc>
        <w:tc>
          <w:tcPr>
            <w:tcW w:w="749" w:type="pct"/>
            <w:tcBorders>
              <w:top w:val="nil"/>
              <w:left w:val="nil"/>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0.28</w:t>
            </w:r>
          </w:p>
        </w:tc>
        <w:tc>
          <w:tcPr>
            <w:tcW w:w="807" w:type="pct"/>
            <w:tcBorders>
              <w:top w:val="nil"/>
              <w:left w:val="nil"/>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宋体" w:cs="Times New Roman"/>
                <w:kern w:val="0"/>
                <w:sz w:val="21"/>
                <w:szCs w:val="21"/>
              </w:rPr>
            </w:pPr>
          </w:p>
        </w:tc>
        <w:tc>
          <w:tcPr>
            <w:tcW w:w="726" w:type="pct"/>
            <w:tcBorders>
              <w:top w:val="nil"/>
              <w:left w:val="nil"/>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0.28</w:t>
            </w:r>
          </w:p>
        </w:tc>
        <w:tc>
          <w:tcPr>
            <w:tcW w:w="804" w:type="pct"/>
            <w:tcBorders>
              <w:top w:val="nil"/>
              <w:left w:val="nil"/>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宋体" w:cs="Times New Roman"/>
                <w:kern w:val="0"/>
                <w:sz w:val="21"/>
                <w:szCs w:val="21"/>
              </w:rPr>
            </w:pPr>
          </w:p>
        </w:tc>
      </w:tr>
      <w:tr>
        <w:tblPrEx>
          <w:tblCellMar>
            <w:top w:w="0" w:type="dxa"/>
            <w:left w:w="0" w:type="dxa"/>
            <w:bottom w:w="0" w:type="dxa"/>
            <w:right w:w="0" w:type="dxa"/>
          </w:tblCellMar>
        </w:tblPrEx>
        <w:trPr>
          <w:jc w:val="center"/>
        </w:trPr>
        <w:tc>
          <w:tcPr>
            <w:tcW w:w="258" w:type="pct"/>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宋体" w:cs="Times New Roman"/>
                <w:kern w:val="0"/>
                <w:sz w:val="21"/>
                <w:szCs w:val="21"/>
              </w:rPr>
            </w:pPr>
          </w:p>
        </w:tc>
        <w:tc>
          <w:tcPr>
            <w:tcW w:w="1654" w:type="pct"/>
            <w:tcBorders>
              <w:top w:val="nil"/>
              <w:left w:val="nil"/>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宋体" w:cs="Times New Roman"/>
                <w:b/>
                <w:bCs/>
                <w:kern w:val="0"/>
                <w:sz w:val="21"/>
                <w:szCs w:val="21"/>
              </w:rPr>
            </w:pPr>
            <w:r>
              <w:rPr>
                <w:rFonts w:hint="default" w:ascii="Times New Roman" w:hAnsi="Times New Roman" w:eastAsia="宋体" w:cs="Times New Roman"/>
                <w:b/>
                <w:bCs/>
                <w:kern w:val="0"/>
                <w:sz w:val="21"/>
                <w:szCs w:val="21"/>
              </w:rPr>
              <w:t>第五部分：独立费用</w:t>
            </w:r>
          </w:p>
        </w:tc>
        <w:tc>
          <w:tcPr>
            <w:tcW w:w="749" w:type="pct"/>
            <w:tcBorders>
              <w:top w:val="nil"/>
              <w:left w:val="nil"/>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宋体" w:cs="Times New Roman"/>
                <w:b/>
                <w:bCs/>
                <w:kern w:val="0"/>
                <w:sz w:val="21"/>
                <w:szCs w:val="21"/>
              </w:rPr>
            </w:pPr>
            <w:r>
              <w:rPr>
                <w:rFonts w:hint="default" w:ascii="Times New Roman" w:hAnsi="Times New Roman" w:eastAsia="宋体" w:cs="Times New Roman"/>
                <w:b/>
                <w:bCs/>
                <w:kern w:val="0"/>
                <w:sz w:val="21"/>
                <w:szCs w:val="21"/>
              </w:rPr>
              <w:t>29.51</w:t>
            </w:r>
          </w:p>
        </w:tc>
        <w:tc>
          <w:tcPr>
            <w:tcW w:w="807" w:type="pct"/>
            <w:tcBorders>
              <w:top w:val="nil"/>
              <w:left w:val="nil"/>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宋体" w:cs="Times New Roman"/>
                <w:b/>
                <w:bCs/>
                <w:kern w:val="0"/>
                <w:sz w:val="21"/>
                <w:szCs w:val="21"/>
              </w:rPr>
            </w:pPr>
          </w:p>
        </w:tc>
        <w:tc>
          <w:tcPr>
            <w:tcW w:w="726" w:type="pct"/>
            <w:tcBorders>
              <w:top w:val="nil"/>
              <w:left w:val="nil"/>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宋体" w:cs="Times New Roman"/>
                <w:b/>
                <w:bCs/>
                <w:kern w:val="0"/>
                <w:sz w:val="21"/>
                <w:szCs w:val="21"/>
              </w:rPr>
            </w:pPr>
            <w:r>
              <w:rPr>
                <w:rFonts w:hint="default" w:ascii="Times New Roman" w:hAnsi="Times New Roman" w:eastAsia="宋体" w:cs="Times New Roman"/>
                <w:b/>
                <w:bCs/>
                <w:kern w:val="0"/>
                <w:sz w:val="21"/>
                <w:szCs w:val="21"/>
              </w:rPr>
              <w:t>29.51</w:t>
            </w:r>
          </w:p>
        </w:tc>
        <w:tc>
          <w:tcPr>
            <w:tcW w:w="804" w:type="pct"/>
            <w:tcBorders>
              <w:top w:val="nil"/>
              <w:left w:val="nil"/>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宋体" w:cs="Times New Roman"/>
                <w:b/>
                <w:bCs/>
                <w:kern w:val="0"/>
                <w:sz w:val="21"/>
                <w:szCs w:val="21"/>
              </w:rPr>
            </w:pPr>
          </w:p>
        </w:tc>
      </w:tr>
      <w:tr>
        <w:tblPrEx>
          <w:tblCellMar>
            <w:top w:w="0" w:type="dxa"/>
            <w:left w:w="0" w:type="dxa"/>
            <w:bottom w:w="0" w:type="dxa"/>
            <w:right w:w="0" w:type="dxa"/>
          </w:tblCellMar>
        </w:tblPrEx>
        <w:trPr>
          <w:jc w:val="center"/>
        </w:trPr>
        <w:tc>
          <w:tcPr>
            <w:tcW w:w="258" w:type="pct"/>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一</w:t>
            </w:r>
          </w:p>
        </w:tc>
        <w:tc>
          <w:tcPr>
            <w:tcW w:w="1654" w:type="pct"/>
            <w:tcBorders>
              <w:top w:val="nil"/>
              <w:left w:val="nil"/>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技术咨询费</w:t>
            </w:r>
          </w:p>
        </w:tc>
        <w:tc>
          <w:tcPr>
            <w:tcW w:w="749" w:type="pct"/>
            <w:tcBorders>
              <w:top w:val="nil"/>
              <w:left w:val="nil"/>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23.34</w:t>
            </w:r>
          </w:p>
        </w:tc>
        <w:tc>
          <w:tcPr>
            <w:tcW w:w="807" w:type="pct"/>
            <w:tcBorders>
              <w:top w:val="nil"/>
              <w:left w:val="nil"/>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宋体" w:cs="Times New Roman"/>
                <w:kern w:val="0"/>
                <w:sz w:val="21"/>
                <w:szCs w:val="21"/>
              </w:rPr>
            </w:pPr>
          </w:p>
        </w:tc>
        <w:tc>
          <w:tcPr>
            <w:tcW w:w="726" w:type="pct"/>
            <w:tcBorders>
              <w:top w:val="nil"/>
              <w:left w:val="nil"/>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23.34</w:t>
            </w:r>
          </w:p>
        </w:tc>
        <w:tc>
          <w:tcPr>
            <w:tcW w:w="804" w:type="pct"/>
            <w:tcBorders>
              <w:top w:val="nil"/>
              <w:left w:val="nil"/>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宋体" w:cs="Times New Roman"/>
                <w:kern w:val="0"/>
                <w:sz w:val="21"/>
                <w:szCs w:val="21"/>
              </w:rPr>
            </w:pPr>
          </w:p>
        </w:tc>
      </w:tr>
      <w:tr>
        <w:tblPrEx>
          <w:tblCellMar>
            <w:top w:w="0" w:type="dxa"/>
            <w:left w:w="0" w:type="dxa"/>
            <w:bottom w:w="0" w:type="dxa"/>
            <w:right w:w="0" w:type="dxa"/>
          </w:tblCellMar>
        </w:tblPrEx>
        <w:trPr>
          <w:jc w:val="center"/>
        </w:trPr>
        <w:tc>
          <w:tcPr>
            <w:tcW w:w="258" w:type="pct"/>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宋体" w:cs="Times New Roman"/>
                <w:kern w:val="0"/>
                <w:sz w:val="21"/>
                <w:szCs w:val="21"/>
              </w:rPr>
            </w:pPr>
          </w:p>
        </w:tc>
        <w:tc>
          <w:tcPr>
            <w:tcW w:w="1654" w:type="pct"/>
            <w:tcBorders>
              <w:top w:val="nil"/>
              <w:left w:val="nil"/>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水土保持方案编制费</w:t>
            </w:r>
          </w:p>
        </w:tc>
        <w:tc>
          <w:tcPr>
            <w:tcW w:w="749" w:type="pct"/>
            <w:tcBorders>
              <w:top w:val="nil"/>
              <w:left w:val="nil"/>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9.75</w:t>
            </w:r>
          </w:p>
        </w:tc>
        <w:tc>
          <w:tcPr>
            <w:tcW w:w="807" w:type="pct"/>
            <w:tcBorders>
              <w:top w:val="nil"/>
              <w:left w:val="nil"/>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宋体" w:cs="Times New Roman"/>
                <w:kern w:val="0"/>
                <w:sz w:val="21"/>
                <w:szCs w:val="21"/>
              </w:rPr>
            </w:pPr>
          </w:p>
        </w:tc>
        <w:tc>
          <w:tcPr>
            <w:tcW w:w="726" w:type="pct"/>
            <w:tcBorders>
              <w:top w:val="nil"/>
              <w:left w:val="nil"/>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9.75</w:t>
            </w:r>
          </w:p>
        </w:tc>
        <w:tc>
          <w:tcPr>
            <w:tcW w:w="804" w:type="pct"/>
            <w:tcBorders>
              <w:top w:val="nil"/>
              <w:left w:val="nil"/>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宋体" w:cs="Times New Roman"/>
                <w:kern w:val="0"/>
                <w:sz w:val="21"/>
                <w:szCs w:val="21"/>
              </w:rPr>
            </w:pPr>
          </w:p>
        </w:tc>
      </w:tr>
      <w:tr>
        <w:tblPrEx>
          <w:tblCellMar>
            <w:top w:w="0" w:type="dxa"/>
            <w:left w:w="0" w:type="dxa"/>
            <w:bottom w:w="0" w:type="dxa"/>
            <w:right w:w="0" w:type="dxa"/>
          </w:tblCellMar>
        </w:tblPrEx>
        <w:trPr>
          <w:jc w:val="center"/>
        </w:trPr>
        <w:tc>
          <w:tcPr>
            <w:tcW w:w="258" w:type="pct"/>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宋体" w:cs="Times New Roman"/>
                <w:kern w:val="0"/>
                <w:sz w:val="21"/>
                <w:szCs w:val="21"/>
              </w:rPr>
            </w:pPr>
          </w:p>
        </w:tc>
        <w:tc>
          <w:tcPr>
            <w:tcW w:w="1654" w:type="pct"/>
            <w:tcBorders>
              <w:top w:val="nil"/>
              <w:left w:val="nil"/>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科研勘测设计费</w:t>
            </w:r>
          </w:p>
        </w:tc>
        <w:tc>
          <w:tcPr>
            <w:tcW w:w="749" w:type="pct"/>
            <w:tcBorders>
              <w:top w:val="nil"/>
              <w:left w:val="nil"/>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 xml:space="preserve">4.58 </w:t>
            </w:r>
          </w:p>
        </w:tc>
        <w:tc>
          <w:tcPr>
            <w:tcW w:w="807" w:type="pct"/>
            <w:tcBorders>
              <w:top w:val="nil"/>
              <w:left w:val="nil"/>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宋体" w:cs="Times New Roman"/>
                <w:kern w:val="0"/>
                <w:sz w:val="21"/>
                <w:szCs w:val="21"/>
              </w:rPr>
            </w:pPr>
          </w:p>
        </w:tc>
        <w:tc>
          <w:tcPr>
            <w:tcW w:w="726" w:type="pct"/>
            <w:tcBorders>
              <w:top w:val="nil"/>
              <w:left w:val="nil"/>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 xml:space="preserve">4.58 </w:t>
            </w:r>
          </w:p>
        </w:tc>
        <w:tc>
          <w:tcPr>
            <w:tcW w:w="804" w:type="pct"/>
            <w:tcBorders>
              <w:top w:val="nil"/>
              <w:left w:val="nil"/>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宋体" w:cs="Times New Roman"/>
                <w:kern w:val="0"/>
                <w:sz w:val="21"/>
                <w:szCs w:val="21"/>
              </w:rPr>
            </w:pPr>
          </w:p>
        </w:tc>
      </w:tr>
      <w:tr>
        <w:tblPrEx>
          <w:tblCellMar>
            <w:top w:w="0" w:type="dxa"/>
            <w:left w:w="0" w:type="dxa"/>
            <w:bottom w:w="0" w:type="dxa"/>
            <w:right w:w="0" w:type="dxa"/>
          </w:tblCellMar>
        </w:tblPrEx>
        <w:trPr>
          <w:jc w:val="center"/>
        </w:trPr>
        <w:tc>
          <w:tcPr>
            <w:tcW w:w="258" w:type="pct"/>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宋体" w:cs="Times New Roman"/>
                <w:kern w:val="0"/>
                <w:sz w:val="21"/>
                <w:szCs w:val="21"/>
              </w:rPr>
            </w:pPr>
          </w:p>
        </w:tc>
        <w:tc>
          <w:tcPr>
            <w:tcW w:w="1654" w:type="pct"/>
            <w:tcBorders>
              <w:top w:val="nil"/>
              <w:left w:val="nil"/>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水土保持设施验收费</w:t>
            </w:r>
          </w:p>
        </w:tc>
        <w:tc>
          <w:tcPr>
            <w:tcW w:w="749" w:type="pct"/>
            <w:tcBorders>
              <w:top w:val="nil"/>
              <w:left w:val="nil"/>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9.01</w:t>
            </w:r>
          </w:p>
        </w:tc>
        <w:tc>
          <w:tcPr>
            <w:tcW w:w="807" w:type="pct"/>
            <w:tcBorders>
              <w:top w:val="nil"/>
              <w:left w:val="nil"/>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宋体" w:cs="Times New Roman"/>
                <w:kern w:val="0"/>
                <w:sz w:val="21"/>
                <w:szCs w:val="21"/>
              </w:rPr>
            </w:pPr>
          </w:p>
        </w:tc>
        <w:tc>
          <w:tcPr>
            <w:tcW w:w="726" w:type="pct"/>
            <w:tcBorders>
              <w:top w:val="nil"/>
              <w:left w:val="nil"/>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9.01</w:t>
            </w:r>
          </w:p>
        </w:tc>
        <w:tc>
          <w:tcPr>
            <w:tcW w:w="804" w:type="pct"/>
            <w:tcBorders>
              <w:top w:val="nil"/>
              <w:left w:val="nil"/>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宋体" w:cs="Times New Roman"/>
                <w:kern w:val="0"/>
                <w:sz w:val="21"/>
                <w:szCs w:val="21"/>
              </w:rPr>
            </w:pPr>
          </w:p>
        </w:tc>
      </w:tr>
      <w:tr>
        <w:tblPrEx>
          <w:tblCellMar>
            <w:top w:w="0" w:type="dxa"/>
            <w:left w:w="0" w:type="dxa"/>
            <w:bottom w:w="0" w:type="dxa"/>
            <w:right w:w="0" w:type="dxa"/>
          </w:tblCellMar>
        </w:tblPrEx>
        <w:trPr>
          <w:jc w:val="center"/>
        </w:trPr>
        <w:tc>
          <w:tcPr>
            <w:tcW w:w="258" w:type="pct"/>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二</w:t>
            </w:r>
          </w:p>
        </w:tc>
        <w:tc>
          <w:tcPr>
            <w:tcW w:w="1654" w:type="pct"/>
            <w:tcBorders>
              <w:top w:val="nil"/>
              <w:left w:val="nil"/>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工程管理费</w:t>
            </w:r>
          </w:p>
        </w:tc>
        <w:tc>
          <w:tcPr>
            <w:tcW w:w="749" w:type="pct"/>
            <w:tcBorders>
              <w:top w:val="nil"/>
              <w:left w:val="nil"/>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6.17</w:t>
            </w:r>
          </w:p>
        </w:tc>
        <w:tc>
          <w:tcPr>
            <w:tcW w:w="807" w:type="pct"/>
            <w:tcBorders>
              <w:top w:val="nil"/>
              <w:left w:val="nil"/>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宋体" w:cs="Times New Roman"/>
                <w:kern w:val="0"/>
                <w:sz w:val="21"/>
                <w:szCs w:val="21"/>
              </w:rPr>
            </w:pPr>
          </w:p>
        </w:tc>
        <w:tc>
          <w:tcPr>
            <w:tcW w:w="726" w:type="pct"/>
            <w:tcBorders>
              <w:top w:val="nil"/>
              <w:left w:val="nil"/>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6.17</w:t>
            </w:r>
          </w:p>
        </w:tc>
        <w:tc>
          <w:tcPr>
            <w:tcW w:w="804" w:type="pct"/>
            <w:tcBorders>
              <w:top w:val="nil"/>
              <w:left w:val="nil"/>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宋体" w:cs="Times New Roman"/>
                <w:kern w:val="0"/>
                <w:sz w:val="21"/>
                <w:szCs w:val="21"/>
              </w:rPr>
            </w:pPr>
          </w:p>
        </w:tc>
      </w:tr>
      <w:tr>
        <w:tblPrEx>
          <w:tblCellMar>
            <w:top w:w="0" w:type="dxa"/>
            <w:left w:w="0" w:type="dxa"/>
            <w:bottom w:w="0" w:type="dxa"/>
            <w:right w:w="0" w:type="dxa"/>
          </w:tblCellMar>
        </w:tblPrEx>
        <w:trPr>
          <w:jc w:val="center"/>
        </w:trPr>
        <w:tc>
          <w:tcPr>
            <w:tcW w:w="258" w:type="pct"/>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宋体" w:cs="Times New Roman"/>
                <w:kern w:val="0"/>
                <w:sz w:val="21"/>
                <w:szCs w:val="21"/>
              </w:rPr>
            </w:pPr>
          </w:p>
        </w:tc>
        <w:tc>
          <w:tcPr>
            <w:tcW w:w="1654" w:type="pct"/>
            <w:tcBorders>
              <w:top w:val="nil"/>
              <w:left w:val="nil"/>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建设管理费</w:t>
            </w:r>
          </w:p>
        </w:tc>
        <w:tc>
          <w:tcPr>
            <w:tcW w:w="749" w:type="pct"/>
            <w:tcBorders>
              <w:top w:val="nil"/>
              <w:left w:val="nil"/>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1.81</w:t>
            </w:r>
          </w:p>
        </w:tc>
        <w:tc>
          <w:tcPr>
            <w:tcW w:w="807" w:type="pct"/>
            <w:tcBorders>
              <w:top w:val="nil"/>
              <w:left w:val="nil"/>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宋体" w:cs="Times New Roman"/>
                <w:kern w:val="0"/>
                <w:sz w:val="21"/>
                <w:szCs w:val="21"/>
              </w:rPr>
            </w:pPr>
          </w:p>
        </w:tc>
        <w:tc>
          <w:tcPr>
            <w:tcW w:w="726" w:type="pct"/>
            <w:tcBorders>
              <w:top w:val="nil"/>
              <w:left w:val="nil"/>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1.81</w:t>
            </w:r>
          </w:p>
        </w:tc>
        <w:tc>
          <w:tcPr>
            <w:tcW w:w="804" w:type="pct"/>
            <w:tcBorders>
              <w:top w:val="nil"/>
              <w:left w:val="nil"/>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宋体" w:cs="Times New Roman"/>
                <w:kern w:val="0"/>
                <w:sz w:val="21"/>
                <w:szCs w:val="21"/>
              </w:rPr>
            </w:pPr>
          </w:p>
        </w:tc>
      </w:tr>
      <w:tr>
        <w:tblPrEx>
          <w:tblCellMar>
            <w:top w:w="0" w:type="dxa"/>
            <w:left w:w="0" w:type="dxa"/>
            <w:bottom w:w="0" w:type="dxa"/>
            <w:right w:w="0" w:type="dxa"/>
          </w:tblCellMar>
        </w:tblPrEx>
        <w:trPr>
          <w:jc w:val="center"/>
        </w:trPr>
        <w:tc>
          <w:tcPr>
            <w:tcW w:w="258" w:type="pct"/>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宋体" w:cs="Times New Roman"/>
                <w:b/>
                <w:bCs/>
                <w:kern w:val="0"/>
                <w:sz w:val="21"/>
                <w:szCs w:val="21"/>
              </w:rPr>
            </w:pPr>
          </w:p>
        </w:tc>
        <w:tc>
          <w:tcPr>
            <w:tcW w:w="1654" w:type="pct"/>
            <w:tcBorders>
              <w:top w:val="nil"/>
              <w:left w:val="nil"/>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宋体" w:cs="Times New Roman"/>
                <w:b/>
                <w:bCs/>
                <w:kern w:val="0"/>
                <w:sz w:val="21"/>
                <w:szCs w:val="21"/>
              </w:rPr>
            </w:pPr>
            <w:r>
              <w:rPr>
                <w:rFonts w:hint="default" w:ascii="Times New Roman" w:hAnsi="Times New Roman" w:eastAsia="宋体" w:cs="Times New Roman"/>
                <w:kern w:val="0"/>
                <w:sz w:val="21"/>
                <w:szCs w:val="21"/>
              </w:rPr>
              <w:t>工程建设监理费</w:t>
            </w:r>
          </w:p>
        </w:tc>
        <w:tc>
          <w:tcPr>
            <w:tcW w:w="749" w:type="pct"/>
            <w:tcBorders>
              <w:top w:val="nil"/>
              <w:left w:val="nil"/>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3.43</w:t>
            </w:r>
          </w:p>
        </w:tc>
        <w:tc>
          <w:tcPr>
            <w:tcW w:w="807" w:type="pct"/>
            <w:tcBorders>
              <w:top w:val="nil"/>
              <w:left w:val="nil"/>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宋体" w:cs="Times New Roman"/>
                <w:b/>
                <w:bCs/>
                <w:kern w:val="0"/>
                <w:sz w:val="21"/>
                <w:szCs w:val="21"/>
              </w:rPr>
            </w:pPr>
          </w:p>
        </w:tc>
        <w:tc>
          <w:tcPr>
            <w:tcW w:w="726" w:type="pct"/>
            <w:tcBorders>
              <w:top w:val="nil"/>
              <w:left w:val="nil"/>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3.43</w:t>
            </w:r>
          </w:p>
        </w:tc>
        <w:tc>
          <w:tcPr>
            <w:tcW w:w="804" w:type="pct"/>
            <w:tcBorders>
              <w:top w:val="nil"/>
              <w:left w:val="nil"/>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宋体" w:cs="Times New Roman"/>
                <w:b/>
                <w:bCs/>
                <w:kern w:val="0"/>
                <w:sz w:val="21"/>
                <w:szCs w:val="21"/>
              </w:rPr>
            </w:pPr>
          </w:p>
        </w:tc>
      </w:tr>
      <w:tr>
        <w:tblPrEx>
          <w:tblCellMar>
            <w:top w:w="0" w:type="dxa"/>
            <w:left w:w="0" w:type="dxa"/>
            <w:bottom w:w="0" w:type="dxa"/>
            <w:right w:w="0" w:type="dxa"/>
          </w:tblCellMar>
        </w:tblPrEx>
        <w:trPr>
          <w:jc w:val="center"/>
        </w:trPr>
        <w:tc>
          <w:tcPr>
            <w:tcW w:w="258" w:type="pct"/>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宋体" w:cs="Times New Roman"/>
                <w:b/>
                <w:bCs/>
                <w:kern w:val="0"/>
                <w:sz w:val="21"/>
                <w:szCs w:val="21"/>
              </w:rPr>
            </w:pPr>
          </w:p>
        </w:tc>
        <w:tc>
          <w:tcPr>
            <w:tcW w:w="1654" w:type="pct"/>
            <w:tcBorders>
              <w:top w:val="nil"/>
              <w:left w:val="nil"/>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宋体" w:cs="Times New Roman"/>
                <w:b/>
                <w:bCs/>
                <w:kern w:val="0"/>
                <w:sz w:val="21"/>
                <w:szCs w:val="21"/>
              </w:rPr>
            </w:pPr>
            <w:r>
              <w:rPr>
                <w:rFonts w:hint="default" w:ascii="Times New Roman" w:hAnsi="Times New Roman" w:eastAsia="宋体" w:cs="Times New Roman"/>
                <w:kern w:val="0"/>
                <w:sz w:val="21"/>
                <w:szCs w:val="21"/>
              </w:rPr>
              <w:t>招标代理服务费</w:t>
            </w:r>
          </w:p>
        </w:tc>
        <w:tc>
          <w:tcPr>
            <w:tcW w:w="749" w:type="pct"/>
            <w:tcBorders>
              <w:top w:val="nil"/>
              <w:left w:val="nil"/>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0.93</w:t>
            </w:r>
          </w:p>
        </w:tc>
        <w:tc>
          <w:tcPr>
            <w:tcW w:w="807" w:type="pct"/>
            <w:tcBorders>
              <w:top w:val="nil"/>
              <w:left w:val="nil"/>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宋体" w:cs="Times New Roman"/>
                <w:b/>
                <w:bCs/>
                <w:kern w:val="0"/>
                <w:sz w:val="21"/>
                <w:szCs w:val="21"/>
              </w:rPr>
            </w:pPr>
          </w:p>
        </w:tc>
        <w:tc>
          <w:tcPr>
            <w:tcW w:w="726" w:type="pct"/>
            <w:tcBorders>
              <w:top w:val="nil"/>
              <w:left w:val="nil"/>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0.93</w:t>
            </w:r>
          </w:p>
        </w:tc>
        <w:tc>
          <w:tcPr>
            <w:tcW w:w="804" w:type="pct"/>
            <w:tcBorders>
              <w:top w:val="nil"/>
              <w:left w:val="nil"/>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宋体" w:cs="Times New Roman"/>
                <w:b/>
                <w:bCs/>
                <w:kern w:val="0"/>
                <w:sz w:val="21"/>
                <w:szCs w:val="21"/>
              </w:rPr>
            </w:pPr>
          </w:p>
        </w:tc>
      </w:tr>
      <w:tr>
        <w:tblPrEx>
          <w:tblCellMar>
            <w:top w:w="0" w:type="dxa"/>
            <w:left w:w="0" w:type="dxa"/>
            <w:bottom w:w="0" w:type="dxa"/>
            <w:right w:w="0" w:type="dxa"/>
          </w:tblCellMar>
        </w:tblPrEx>
        <w:trPr>
          <w:jc w:val="center"/>
        </w:trPr>
        <w:tc>
          <w:tcPr>
            <w:tcW w:w="258" w:type="pct"/>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宋体" w:cs="Times New Roman"/>
                <w:b/>
                <w:bCs/>
                <w:kern w:val="0"/>
                <w:sz w:val="21"/>
                <w:szCs w:val="21"/>
              </w:rPr>
            </w:pPr>
            <w:r>
              <w:rPr>
                <w:rFonts w:hint="default" w:ascii="Times New Roman" w:hAnsi="Times New Roman" w:eastAsia="宋体" w:cs="Times New Roman"/>
                <w:b/>
                <w:bCs/>
                <w:kern w:val="0"/>
                <w:sz w:val="21"/>
                <w:szCs w:val="21"/>
              </w:rPr>
              <w:t>Ⅰ</w:t>
            </w:r>
          </w:p>
        </w:tc>
        <w:tc>
          <w:tcPr>
            <w:tcW w:w="1654" w:type="pct"/>
            <w:tcBorders>
              <w:top w:val="nil"/>
              <w:left w:val="nil"/>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宋体" w:cs="Times New Roman"/>
                <w:b/>
                <w:bCs/>
                <w:kern w:val="0"/>
                <w:sz w:val="21"/>
                <w:szCs w:val="21"/>
              </w:rPr>
            </w:pPr>
            <w:r>
              <w:rPr>
                <w:rFonts w:hint="default" w:ascii="Times New Roman" w:hAnsi="Times New Roman" w:eastAsia="宋体" w:cs="Times New Roman"/>
                <w:b/>
                <w:bCs/>
                <w:kern w:val="0"/>
                <w:sz w:val="21"/>
                <w:szCs w:val="21"/>
              </w:rPr>
              <w:t>第一至五部分合计</w:t>
            </w:r>
          </w:p>
        </w:tc>
        <w:tc>
          <w:tcPr>
            <w:tcW w:w="749" w:type="pct"/>
            <w:tcBorders>
              <w:top w:val="nil"/>
              <w:left w:val="nil"/>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宋体" w:cs="Times New Roman"/>
                <w:b/>
                <w:bCs/>
                <w:kern w:val="0"/>
                <w:sz w:val="21"/>
                <w:szCs w:val="21"/>
              </w:rPr>
            </w:pPr>
            <w:r>
              <w:rPr>
                <w:rFonts w:hint="default" w:ascii="Times New Roman" w:hAnsi="Times New Roman" w:eastAsia="宋体" w:cs="Times New Roman"/>
                <w:b/>
                <w:bCs/>
                <w:kern w:val="0"/>
                <w:sz w:val="21"/>
                <w:szCs w:val="21"/>
              </w:rPr>
              <w:t>119.86</w:t>
            </w:r>
          </w:p>
        </w:tc>
        <w:tc>
          <w:tcPr>
            <w:tcW w:w="807" w:type="pct"/>
            <w:tcBorders>
              <w:top w:val="nil"/>
              <w:left w:val="nil"/>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宋体" w:cs="Times New Roman"/>
                <w:b/>
                <w:bCs/>
                <w:kern w:val="0"/>
                <w:sz w:val="21"/>
                <w:szCs w:val="21"/>
              </w:rPr>
            </w:pPr>
            <w:r>
              <w:rPr>
                <w:rFonts w:hint="default" w:ascii="Times New Roman" w:hAnsi="Times New Roman" w:eastAsia="宋体" w:cs="Times New Roman"/>
                <w:b/>
                <w:bCs/>
                <w:kern w:val="0"/>
                <w:sz w:val="21"/>
                <w:szCs w:val="21"/>
              </w:rPr>
              <w:t>110.61</w:t>
            </w:r>
          </w:p>
        </w:tc>
        <w:tc>
          <w:tcPr>
            <w:tcW w:w="726" w:type="pct"/>
            <w:tcBorders>
              <w:top w:val="nil"/>
              <w:left w:val="nil"/>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宋体" w:cs="Times New Roman"/>
                <w:b/>
                <w:bCs/>
                <w:kern w:val="0"/>
                <w:sz w:val="21"/>
                <w:szCs w:val="21"/>
              </w:rPr>
            </w:pPr>
            <w:r>
              <w:rPr>
                <w:rFonts w:hint="default" w:ascii="Times New Roman" w:hAnsi="Times New Roman" w:eastAsia="宋体" w:cs="Times New Roman"/>
                <w:b/>
                <w:bCs/>
                <w:kern w:val="0"/>
                <w:sz w:val="21"/>
                <w:szCs w:val="21"/>
              </w:rPr>
              <w:t>230.47</w:t>
            </w:r>
          </w:p>
        </w:tc>
        <w:tc>
          <w:tcPr>
            <w:tcW w:w="804" w:type="pct"/>
            <w:tcBorders>
              <w:top w:val="nil"/>
              <w:left w:val="nil"/>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宋体" w:cs="Times New Roman"/>
                <w:b/>
                <w:bCs/>
                <w:kern w:val="0"/>
                <w:sz w:val="21"/>
                <w:szCs w:val="21"/>
              </w:rPr>
            </w:pPr>
          </w:p>
        </w:tc>
      </w:tr>
      <w:tr>
        <w:tblPrEx>
          <w:tblCellMar>
            <w:top w:w="0" w:type="dxa"/>
            <w:left w:w="0" w:type="dxa"/>
            <w:bottom w:w="0" w:type="dxa"/>
            <w:right w:w="0" w:type="dxa"/>
          </w:tblCellMar>
        </w:tblPrEx>
        <w:trPr>
          <w:jc w:val="center"/>
        </w:trPr>
        <w:tc>
          <w:tcPr>
            <w:tcW w:w="258" w:type="pct"/>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宋体" w:cs="Times New Roman"/>
                <w:b/>
                <w:bCs/>
                <w:kern w:val="0"/>
                <w:sz w:val="21"/>
                <w:szCs w:val="21"/>
              </w:rPr>
            </w:pPr>
            <w:r>
              <w:rPr>
                <w:rFonts w:hint="default" w:ascii="Times New Roman" w:hAnsi="Times New Roman" w:eastAsia="宋体" w:cs="Times New Roman"/>
                <w:b/>
                <w:bCs/>
                <w:kern w:val="0"/>
                <w:sz w:val="21"/>
                <w:szCs w:val="21"/>
              </w:rPr>
              <w:t>Ⅱ</w:t>
            </w:r>
          </w:p>
        </w:tc>
        <w:tc>
          <w:tcPr>
            <w:tcW w:w="1654" w:type="pct"/>
            <w:tcBorders>
              <w:top w:val="nil"/>
              <w:left w:val="nil"/>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宋体" w:cs="Times New Roman"/>
                <w:b/>
                <w:bCs/>
                <w:kern w:val="0"/>
                <w:sz w:val="21"/>
                <w:szCs w:val="21"/>
              </w:rPr>
            </w:pPr>
            <w:r>
              <w:rPr>
                <w:rFonts w:hint="default" w:ascii="Times New Roman" w:hAnsi="Times New Roman" w:eastAsia="宋体" w:cs="Times New Roman"/>
                <w:b/>
                <w:bCs/>
                <w:kern w:val="0"/>
                <w:sz w:val="21"/>
                <w:szCs w:val="21"/>
              </w:rPr>
              <w:t>基本预备费</w:t>
            </w:r>
          </w:p>
        </w:tc>
        <w:tc>
          <w:tcPr>
            <w:tcW w:w="749" w:type="pct"/>
            <w:tcBorders>
              <w:top w:val="nil"/>
              <w:left w:val="nil"/>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宋体" w:cs="Times New Roman"/>
                <w:b/>
                <w:bCs/>
                <w:kern w:val="0"/>
                <w:sz w:val="21"/>
                <w:szCs w:val="21"/>
              </w:rPr>
            </w:pPr>
            <w:r>
              <w:rPr>
                <w:rFonts w:hint="default" w:ascii="Times New Roman" w:hAnsi="Times New Roman" w:eastAsia="宋体" w:cs="Times New Roman"/>
                <w:b/>
                <w:bCs/>
                <w:kern w:val="0"/>
                <w:sz w:val="21"/>
                <w:szCs w:val="21"/>
              </w:rPr>
              <w:t>7.19</w:t>
            </w:r>
          </w:p>
        </w:tc>
        <w:tc>
          <w:tcPr>
            <w:tcW w:w="807" w:type="pct"/>
            <w:tcBorders>
              <w:top w:val="nil"/>
              <w:left w:val="nil"/>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宋体" w:cs="Times New Roman"/>
                <w:b/>
                <w:bCs/>
                <w:kern w:val="0"/>
                <w:sz w:val="21"/>
                <w:szCs w:val="21"/>
              </w:rPr>
            </w:pPr>
          </w:p>
        </w:tc>
        <w:tc>
          <w:tcPr>
            <w:tcW w:w="726" w:type="pct"/>
            <w:tcBorders>
              <w:top w:val="nil"/>
              <w:left w:val="nil"/>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宋体" w:cs="Times New Roman"/>
                <w:b/>
                <w:bCs/>
                <w:kern w:val="0"/>
                <w:sz w:val="21"/>
                <w:szCs w:val="21"/>
              </w:rPr>
            </w:pPr>
            <w:r>
              <w:rPr>
                <w:rFonts w:hint="default" w:ascii="Times New Roman" w:hAnsi="Times New Roman" w:eastAsia="宋体" w:cs="Times New Roman"/>
                <w:b/>
                <w:bCs/>
                <w:kern w:val="0"/>
                <w:sz w:val="21"/>
                <w:szCs w:val="21"/>
              </w:rPr>
              <w:t>7.19</w:t>
            </w:r>
          </w:p>
        </w:tc>
        <w:tc>
          <w:tcPr>
            <w:tcW w:w="804" w:type="pct"/>
            <w:tcBorders>
              <w:top w:val="nil"/>
              <w:left w:val="nil"/>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宋体" w:cs="Times New Roman"/>
                <w:b/>
                <w:bCs/>
                <w:kern w:val="0"/>
                <w:sz w:val="21"/>
                <w:szCs w:val="21"/>
              </w:rPr>
            </w:pPr>
          </w:p>
        </w:tc>
      </w:tr>
      <w:tr>
        <w:tblPrEx>
          <w:tblCellMar>
            <w:top w:w="0" w:type="dxa"/>
            <w:left w:w="0" w:type="dxa"/>
            <w:bottom w:w="0" w:type="dxa"/>
            <w:right w:w="0" w:type="dxa"/>
          </w:tblCellMar>
        </w:tblPrEx>
        <w:trPr>
          <w:jc w:val="center"/>
        </w:trPr>
        <w:tc>
          <w:tcPr>
            <w:tcW w:w="258" w:type="pct"/>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宋体" w:cs="Times New Roman"/>
                <w:b/>
                <w:bCs/>
                <w:kern w:val="0"/>
                <w:sz w:val="21"/>
                <w:szCs w:val="21"/>
              </w:rPr>
            </w:pPr>
            <w:r>
              <w:rPr>
                <w:rFonts w:hint="default" w:ascii="Times New Roman" w:hAnsi="Times New Roman" w:eastAsia="宋体" w:cs="Times New Roman"/>
                <w:b/>
                <w:bCs/>
                <w:kern w:val="0"/>
                <w:sz w:val="21"/>
                <w:szCs w:val="21"/>
              </w:rPr>
              <w:t>Ⅲ</w:t>
            </w:r>
          </w:p>
        </w:tc>
        <w:tc>
          <w:tcPr>
            <w:tcW w:w="1654" w:type="pct"/>
            <w:tcBorders>
              <w:top w:val="nil"/>
              <w:left w:val="nil"/>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宋体" w:cs="Times New Roman"/>
                <w:b/>
                <w:bCs/>
                <w:kern w:val="0"/>
                <w:sz w:val="21"/>
                <w:szCs w:val="21"/>
              </w:rPr>
            </w:pPr>
            <w:r>
              <w:rPr>
                <w:rFonts w:hint="default" w:ascii="Times New Roman" w:hAnsi="Times New Roman" w:eastAsia="宋体" w:cs="Times New Roman"/>
                <w:b/>
                <w:bCs/>
                <w:kern w:val="0"/>
                <w:sz w:val="21"/>
                <w:szCs w:val="21"/>
              </w:rPr>
              <w:t>水土保持补偿费</w:t>
            </w:r>
          </w:p>
        </w:tc>
        <w:tc>
          <w:tcPr>
            <w:tcW w:w="749" w:type="pct"/>
            <w:tcBorders>
              <w:top w:val="nil"/>
              <w:left w:val="nil"/>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宋体" w:cs="Times New Roman"/>
                <w:b/>
                <w:bCs/>
                <w:kern w:val="0"/>
                <w:sz w:val="21"/>
                <w:szCs w:val="21"/>
              </w:rPr>
            </w:pPr>
            <w:r>
              <w:rPr>
                <w:rFonts w:hint="default" w:ascii="Times New Roman" w:hAnsi="Times New Roman" w:eastAsia="宋体" w:cs="Times New Roman"/>
                <w:b/>
                <w:bCs/>
                <w:kern w:val="0"/>
                <w:sz w:val="21"/>
                <w:szCs w:val="21"/>
              </w:rPr>
              <w:t>14.322</w:t>
            </w:r>
          </w:p>
        </w:tc>
        <w:tc>
          <w:tcPr>
            <w:tcW w:w="807" w:type="pct"/>
            <w:tcBorders>
              <w:top w:val="nil"/>
              <w:left w:val="nil"/>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宋体" w:cs="Times New Roman"/>
                <w:b/>
                <w:bCs/>
                <w:kern w:val="0"/>
                <w:sz w:val="21"/>
                <w:szCs w:val="21"/>
              </w:rPr>
            </w:pPr>
          </w:p>
        </w:tc>
        <w:tc>
          <w:tcPr>
            <w:tcW w:w="726" w:type="pct"/>
            <w:tcBorders>
              <w:top w:val="nil"/>
              <w:left w:val="nil"/>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宋体" w:cs="Times New Roman"/>
                <w:b/>
                <w:bCs/>
                <w:kern w:val="0"/>
                <w:sz w:val="21"/>
                <w:szCs w:val="21"/>
              </w:rPr>
            </w:pPr>
            <w:r>
              <w:rPr>
                <w:rFonts w:hint="default" w:ascii="Times New Roman" w:hAnsi="Times New Roman" w:eastAsia="宋体" w:cs="Times New Roman"/>
                <w:b/>
                <w:bCs/>
                <w:kern w:val="0"/>
                <w:sz w:val="21"/>
                <w:szCs w:val="21"/>
              </w:rPr>
              <w:t>14.322</w:t>
            </w:r>
          </w:p>
        </w:tc>
        <w:tc>
          <w:tcPr>
            <w:tcW w:w="804" w:type="pct"/>
            <w:tcBorders>
              <w:top w:val="nil"/>
              <w:left w:val="nil"/>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宋体" w:cs="Times New Roman"/>
                <w:b/>
                <w:bCs/>
                <w:kern w:val="0"/>
                <w:sz w:val="21"/>
                <w:szCs w:val="21"/>
              </w:rPr>
            </w:pPr>
          </w:p>
        </w:tc>
      </w:tr>
      <w:tr>
        <w:tblPrEx>
          <w:tblCellMar>
            <w:top w:w="0" w:type="dxa"/>
            <w:left w:w="0" w:type="dxa"/>
            <w:bottom w:w="0" w:type="dxa"/>
            <w:right w:w="0" w:type="dxa"/>
          </w:tblCellMar>
        </w:tblPrEx>
        <w:trPr>
          <w:jc w:val="center"/>
        </w:trPr>
        <w:tc>
          <w:tcPr>
            <w:tcW w:w="1912" w:type="pct"/>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宋体" w:cs="Times New Roman"/>
                <w:b/>
                <w:bCs/>
                <w:kern w:val="0"/>
                <w:sz w:val="21"/>
                <w:szCs w:val="21"/>
              </w:rPr>
            </w:pPr>
            <w:r>
              <w:rPr>
                <w:rFonts w:hint="default" w:ascii="Times New Roman" w:hAnsi="Times New Roman" w:eastAsia="宋体" w:cs="Times New Roman"/>
                <w:b/>
                <w:bCs/>
                <w:kern w:val="0"/>
                <w:sz w:val="21"/>
                <w:szCs w:val="21"/>
              </w:rPr>
              <w:t>总投资（Ⅰ+Ⅱ+Ⅲ）</w:t>
            </w:r>
          </w:p>
        </w:tc>
        <w:tc>
          <w:tcPr>
            <w:tcW w:w="749" w:type="pct"/>
            <w:tcBorders>
              <w:top w:val="nil"/>
              <w:left w:val="nil"/>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宋体" w:cs="Times New Roman"/>
                <w:b/>
                <w:bCs/>
                <w:kern w:val="0"/>
                <w:sz w:val="21"/>
                <w:szCs w:val="21"/>
              </w:rPr>
            </w:pPr>
            <w:r>
              <w:rPr>
                <w:rFonts w:hint="default" w:ascii="Times New Roman" w:hAnsi="Times New Roman" w:eastAsia="宋体" w:cs="Times New Roman"/>
                <w:b/>
                <w:bCs/>
                <w:kern w:val="0"/>
                <w:sz w:val="21"/>
                <w:szCs w:val="21"/>
              </w:rPr>
              <w:t>141.372</w:t>
            </w:r>
          </w:p>
        </w:tc>
        <w:tc>
          <w:tcPr>
            <w:tcW w:w="807" w:type="pct"/>
            <w:tcBorders>
              <w:top w:val="nil"/>
              <w:left w:val="nil"/>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宋体" w:cs="Times New Roman"/>
                <w:b/>
                <w:bCs/>
                <w:kern w:val="0"/>
                <w:sz w:val="21"/>
                <w:szCs w:val="21"/>
              </w:rPr>
            </w:pPr>
            <w:r>
              <w:rPr>
                <w:rFonts w:hint="default" w:ascii="Times New Roman" w:hAnsi="Times New Roman" w:eastAsia="宋体" w:cs="Times New Roman"/>
                <w:b/>
                <w:bCs/>
                <w:kern w:val="0"/>
                <w:sz w:val="21"/>
                <w:szCs w:val="21"/>
              </w:rPr>
              <w:t>110.61</w:t>
            </w:r>
          </w:p>
        </w:tc>
        <w:tc>
          <w:tcPr>
            <w:tcW w:w="726" w:type="pct"/>
            <w:tcBorders>
              <w:top w:val="nil"/>
              <w:left w:val="nil"/>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宋体" w:cs="Times New Roman"/>
                <w:b/>
                <w:bCs/>
                <w:kern w:val="0"/>
                <w:sz w:val="21"/>
                <w:szCs w:val="21"/>
              </w:rPr>
            </w:pPr>
            <w:r>
              <w:rPr>
                <w:rFonts w:hint="default" w:ascii="Times New Roman" w:hAnsi="Times New Roman" w:eastAsia="宋体" w:cs="Times New Roman"/>
                <w:b/>
                <w:bCs/>
                <w:kern w:val="0"/>
                <w:sz w:val="21"/>
                <w:szCs w:val="21"/>
              </w:rPr>
              <w:t>251.982</w:t>
            </w:r>
          </w:p>
        </w:tc>
        <w:tc>
          <w:tcPr>
            <w:tcW w:w="804" w:type="pct"/>
            <w:tcBorders>
              <w:top w:val="nil"/>
              <w:left w:val="nil"/>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宋体" w:cs="Times New Roman"/>
                <w:b/>
                <w:bCs/>
                <w:kern w:val="0"/>
                <w:sz w:val="21"/>
                <w:szCs w:val="21"/>
              </w:rPr>
            </w:pPr>
          </w:p>
        </w:tc>
      </w:tr>
    </w:tbl>
    <w:p>
      <w:pPr>
        <w:spacing w:line="594" w:lineRule="exact"/>
        <w:jc w:val="both"/>
        <w:rPr>
          <w:rFonts w:hint="eastAsia" w:ascii="Times New Roman" w:hAnsi="Times New Roman" w:eastAsia="方正小标宋_GBK"/>
          <w:color w:val="FF0000"/>
          <w:sz w:val="44"/>
          <w:szCs w:val="44"/>
        </w:rPr>
      </w:pPr>
    </w:p>
    <w:sectPr>
      <w:footerReference r:id="rId5" w:type="default"/>
      <w:footerReference r:id="rId6" w:type="even"/>
      <w:pgSz w:w="11906" w:h="16838"/>
      <w:pgMar w:top="1985" w:right="1446" w:bottom="1684" w:left="1446" w:header="851" w:footer="1247" w:gutter="0"/>
      <w:pgNumType w:fmt="decimal"/>
      <w:cols w:space="720" w:num="1"/>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E0000" w:usb2="00000000" w:usb3="00000000" w:csb0="00040000" w:csb1="00000000"/>
  </w:font>
  <w:font w:name="方正小标宋_GBK">
    <w:panose1 w:val="02000000000000000000"/>
    <w:charset w:val="86"/>
    <w:family w:val="script"/>
    <w:pitch w:val="default"/>
    <w:sig w:usb0="00000001" w:usb1="080E0000" w:usb2="00000000" w:usb3="00000000" w:csb0="00040000" w:csb1="00000000"/>
  </w:font>
  <w:font w:name="方正黑体_GBK">
    <w:panose1 w:val="02000000000000000000"/>
    <w:charset w:val="86"/>
    <w:family w:val="auto"/>
    <w:pitch w:val="default"/>
    <w:sig w:usb0="00000001" w:usb1="080E0000" w:usb2="00000000" w:usb3="00000000" w:csb0="00040000" w:csb1="00000000"/>
  </w:font>
  <w:font w:name="Cambria Math">
    <w:panose1 w:val="02040503050406030204"/>
    <w:charset w:val="00"/>
    <w:family w:val="roman"/>
    <w:pitch w:val="default"/>
    <w:sig w:usb0="E00002FF" w:usb1="420024FF" w:usb2="00000000" w:usb3="00000000" w:csb0="2000019F" w:csb1="00000000"/>
  </w:font>
  <w:font w:name="方正仿宋_GB2312">
    <w:altName w:val="方正仿宋_GBK"/>
    <w:panose1 w:val="02000000000000000000"/>
    <w:charset w:val="00"/>
    <w:family w:val="auto"/>
    <w:pitch w:val="default"/>
    <w:sig w:usb0="00000000" w:usb1="00000000" w:usb2="00000012" w:usb3="00000000" w:csb0="00040001" w:csb1="00000000"/>
  </w:font>
  <w:font w:name="方正黑体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left"/>
      <w:rPr>
        <w:rFonts w:hint="eastAsia" w:ascii="Times New Roman" w:hAnsi="Times New Roman" w:eastAsia="宋体" w:cs="Times New Roman"/>
        <w:kern w:val="2"/>
        <w:sz w:val="18"/>
        <w:szCs w:val="18"/>
        <w:lang w:val="en-US" w:eastAsia="zh-CN" w:bidi="ar-SA"/>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asciiTheme="majorEastAsia" w:hAnsiTheme="majorEastAsia" w:eastAsiaTheme="majorEastAsia" w:cstheme="majorEastAsia"/>
                              <w:color w:val="000000" w:themeColor="text1"/>
                              <w:sz w:val="28"/>
                              <w:szCs w:val="28"/>
                              <w14:textFill>
                                <w14:solidFill>
                                  <w14:schemeClr w14:val="tx1"/>
                                </w14:solidFill>
                              </w14:textFill>
                            </w:rPr>
                            <w:t xml:space="preserve">— </w:t>
                          </w:r>
                          <w:r>
                            <w:rPr>
                              <w:rFonts w:hint="eastAsia" w:asciiTheme="majorEastAsia" w:hAnsiTheme="majorEastAsia" w:eastAsiaTheme="majorEastAsia" w:cstheme="majorEastAsia"/>
                              <w:color w:val="000000" w:themeColor="text1"/>
                              <w:sz w:val="28"/>
                              <w:szCs w:val="28"/>
                              <w14:textFill>
                                <w14:solidFill>
                                  <w14:schemeClr w14:val="tx1"/>
                                </w14:solidFill>
                              </w14:textFill>
                            </w:rPr>
                            <w:fldChar w:fldCharType="begin"/>
                          </w:r>
                          <w:r>
                            <w:rPr>
                              <w:rFonts w:hint="eastAsia" w:asciiTheme="majorEastAsia" w:hAnsiTheme="majorEastAsia" w:eastAsiaTheme="majorEastAsia" w:cstheme="majorEastAsia"/>
                              <w:color w:val="000000" w:themeColor="text1"/>
                              <w:sz w:val="28"/>
                              <w:szCs w:val="28"/>
                              <w14:textFill>
                                <w14:solidFill>
                                  <w14:schemeClr w14:val="tx1"/>
                                </w14:solidFill>
                              </w14:textFill>
                            </w:rPr>
                            <w:instrText xml:space="preserve"> PAGE  \* MERGEFORMAT </w:instrText>
                          </w:r>
                          <w:r>
                            <w:rPr>
                              <w:rFonts w:hint="eastAsia" w:asciiTheme="majorEastAsia" w:hAnsiTheme="majorEastAsia" w:eastAsiaTheme="majorEastAsia" w:cstheme="majorEastAsia"/>
                              <w:color w:val="000000" w:themeColor="text1"/>
                              <w:sz w:val="28"/>
                              <w:szCs w:val="28"/>
                              <w14:textFill>
                                <w14:solidFill>
                                  <w14:schemeClr w14:val="tx1"/>
                                </w14:solidFill>
                              </w14:textFill>
                            </w:rPr>
                            <w:fldChar w:fldCharType="separate"/>
                          </w:r>
                          <w:r>
                            <w:rPr>
                              <w:rFonts w:hint="eastAsia" w:asciiTheme="majorEastAsia" w:hAnsiTheme="majorEastAsia" w:eastAsiaTheme="majorEastAsia" w:cstheme="majorEastAsia"/>
                              <w:color w:val="000000" w:themeColor="text1"/>
                              <w:sz w:val="28"/>
                              <w:szCs w:val="28"/>
                              <w14:textFill>
                                <w14:solidFill>
                                  <w14:schemeClr w14:val="tx1"/>
                                </w14:solidFill>
                              </w14:textFill>
                            </w:rPr>
                            <w:t>1</w:t>
                          </w:r>
                          <w:r>
                            <w:rPr>
                              <w:rFonts w:hint="eastAsia" w:asciiTheme="majorEastAsia" w:hAnsiTheme="majorEastAsia" w:eastAsiaTheme="majorEastAsia" w:cstheme="majorEastAsia"/>
                              <w:color w:val="000000" w:themeColor="text1"/>
                              <w:sz w:val="28"/>
                              <w:szCs w:val="28"/>
                              <w14:textFill>
                                <w14:solidFill>
                                  <w14:schemeClr w14:val="tx1"/>
                                </w14:solidFill>
                              </w14:textFill>
                            </w:rPr>
                            <w:fldChar w:fldCharType="end"/>
                          </w:r>
                          <w:r>
                            <w:rPr>
                              <w:rFonts w:hint="eastAsia" w:asciiTheme="majorEastAsia" w:hAnsiTheme="majorEastAsia" w:eastAsiaTheme="majorEastAsia" w:cstheme="majorEastAsia"/>
                              <w:color w:val="000000" w:themeColor="text1"/>
                              <w:sz w:val="28"/>
                              <w:szCs w:val="28"/>
                              <w14:textFill>
                                <w14:solidFill>
                                  <w14:schemeClr w14:val="tx1"/>
                                </w14:solidFill>
                              </w14:textFill>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6"/>
                    </w:pPr>
                    <w:r>
                      <w:rPr>
                        <w:rFonts w:hint="eastAsia" w:asciiTheme="majorEastAsia" w:hAnsiTheme="majorEastAsia" w:eastAsiaTheme="majorEastAsia" w:cstheme="majorEastAsia"/>
                        <w:color w:val="000000" w:themeColor="text1"/>
                        <w:sz w:val="28"/>
                        <w:szCs w:val="28"/>
                        <w14:textFill>
                          <w14:solidFill>
                            <w14:schemeClr w14:val="tx1"/>
                          </w14:solidFill>
                        </w14:textFill>
                      </w:rPr>
                      <w:t xml:space="preserve">— </w:t>
                    </w:r>
                    <w:r>
                      <w:rPr>
                        <w:rFonts w:hint="eastAsia" w:asciiTheme="majorEastAsia" w:hAnsiTheme="majorEastAsia" w:eastAsiaTheme="majorEastAsia" w:cstheme="majorEastAsia"/>
                        <w:color w:val="000000" w:themeColor="text1"/>
                        <w:sz w:val="28"/>
                        <w:szCs w:val="28"/>
                        <w14:textFill>
                          <w14:solidFill>
                            <w14:schemeClr w14:val="tx1"/>
                          </w14:solidFill>
                        </w14:textFill>
                      </w:rPr>
                      <w:fldChar w:fldCharType="begin"/>
                    </w:r>
                    <w:r>
                      <w:rPr>
                        <w:rFonts w:hint="eastAsia" w:asciiTheme="majorEastAsia" w:hAnsiTheme="majorEastAsia" w:eastAsiaTheme="majorEastAsia" w:cstheme="majorEastAsia"/>
                        <w:color w:val="000000" w:themeColor="text1"/>
                        <w:sz w:val="28"/>
                        <w:szCs w:val="28"/>
                        <w14:textFill>
                          <w14:solidFill>
                            <w14:schemeClr w14:val="tx1"/>
                          </w14:solidFill>
                        </w14:textFill>
                      </w:rPr>
                      <w:instrText xml:space="preserve"> PAGE  \* MERGEFORMAT </w:instrText>
                    </w:r>
                    <w:r>
                      <w:rPr>
                        <w:rFonts w:hint="eastAsia" w:asciiTheme="majorEastAsia" w:hAnsiTheme="majorEastAsia" w:eastAsiaTheme="majorEastAsia" w:cstheme="majorEastAsia"/>
                        <w:color w:val="000000" w:themeColor="text1"/>
                        <w:sz w:val="28"/>
                        <w:szCs w:val="28"/>
                        <w14:textFill>
                          <w14:solidFill>
                            <w14:schemeClr w14:val="tx1"/>
                          </w14:solidFill>
                        </w14:textFill>
                      </w:rPr>
                      <w:fldChar w:fldCharType="separate"/>
                    </w:r>
                    <w:r>
                      <w:rPr>
                        <w:rFonts w:hint="eastAsia" w:asciiTheme="majorEastAsia" w:hAnsiTheme="majorEastAsia" w:eastAsiaTheme="majorEastAsia" w:cstheme="majorEastAsia"/>
                        <w:color w:val="000000" w:themeColor="text1"/>
                        <w:sz w:val="28"/>
                        <w:szCs w:val="28"/>
                        <w14:textFill>
                          <w14:solidFill>
                            <w14:schemeClr w14:val="tx1"/>
                          </w14:solidFill>
                        </w14:textFill>
                      </w:rPr>
                      <w:t>1</w:t>
                    </w:r>
                    <w:r>
                      <w:rPr>
                        <w:rFonts w:hint="eastAsia" w:asciiTheme="majorEastAsia" w:hAnsiTheme="majorEastAsia" w:eastAsiaTheme="majorEastAsia" w:cstheme="majorEastAsia"/>
                        <w:color w:val="000000" w:themeColor="text1"/>
                        <w:sz w:val="28"/>
                        <w:szCs w:val="28"/>
                        <w14:textFill>
                          <w14:solidFill>
                            <w14:schemeClr w14:val="tx1"/>
                          </w14:solidFill>
                        </w14:textFill>
                      </w:rPr>
                      <w:fldChar w:fldCharType="end"/>
                    </w:r>
                    <w:r>
                      <w:rPr>
                        <w:rFonts w:hint="eastAsia" w:asciiTheme="majorEastAsia" w:hAnsiTheme="majorEastAsia" w:eastAsiaTheme="majorEastAsia" w:cstheme="majorEastAsia"/>
                        <w:color w:val="000000" w:themeColor="text1"/>
                        <w:sz w:val="28"/>
                        <w:szCs w:val="28"/>
                        <w14:textFill>
                          <w14:solidFill>
                            <w14:schemeClr w14:val="tx1"/>
                          </w14:solidFill>
                        </w14:textFill>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center" w:y="1"/>
      <w:widowControl w:val="0"/>
      <w:snapToGrid w:val="0"/>
      <w:jc w:val="left"/>
      <w:rPr>
        <w:rStyle w:val="12"/>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Style w:val="12"/>
        <w:rFonts w:ascii="Times New Roman" w:hAnsi="Times New Roman" w:eastAsia="宋体" w:cs="Times New Roman"/>
        <w:kern w:val="2"/>
        <w:sz w:val="18"/>
        <w:szCs w:val="18"/>
        <w:lang w:val="en-US" w:eastAsia="zh-CN" w:bidi="ar-SA"/>
      </w:rPr>
      <w:instrText xml:space="preserve">PAGE  </w:instrText>
    </w:r>
    <w:r>
      <w:rPr>
        <w:rFonts w:ascii="Times New Roman" w:hAnsi="Times New Roman" w:eastAsia="宋体" w:cs="Times New Roman"/>
        <w:kern w:val="2"/>
        <w:sz w:val="18"/>
        <w:szCs w:val="18"/>
        <w:lang w:val="en-US" w:eastAsia="zh-CN" w:bidi="ar-SA"/>
      </w:rPr>
      <w:fldChar w:fldCharType="separate"/>
    </w:r>
    <w:r>
      <w:rPr>
        <w:rFonts w:ascii="Times New Roman" w:hAnsi="Times New Roman" w:eastAsia="宋体" w:cs="Times New Roman"/>
        <w:kern w:val="2"/>
        <w:sz w:val="18"/>
        <w:szCs w:val="18"/>
        <w:lang w:val="en-US" w:eastAsia="zh-CN" w:bidi="ar-SA"/>
      </w:rPr>
      <w:fldChar w:fldCharType="end"/>
    </w:r>
  </w:p>
  <w:p>
    <w:pPr>
      <w:widowControl w:val="0"/>
      <w:snapToGrid w:val="0"/>
      <w:jc w:val="left"/>
      <w:rPr>
        <w:rFonts w:ascii="Times New Roman" w:hAnsi="Times New Roman" w:eastAsia="宋体" w:cs="Times New Roman"/>
        <w:kern w:val="2"/>
        <w:sz w:val="18"/>
        <w:szCs w:val="18"/>
        <w:lang w:val="en-US" w:eastAsia="zh-CN" w:bidi="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firstLine="36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13</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6"/>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13</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2"/>
      </w:rPr>
    </w:pPr>
    <w:r>
      <w:fldChar w:fldCharType="begin"/>
    </w:r>
    <w:r>
      <w:rPr>
        <w:rStyle w:val="12"/>
      </w:rPr>
      <w:instrText xml:space="preserve">PAGE  </w:instrText>
    </w:r>
    <w:r>
      <w:fldChar w:fldCharType="end"/>
    </w:r>
  </w:p>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dit="trackedChanges" w:enforcement="0"/>
  <w:defaultTabStop w:val="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662"/>
    <w:rsid w:val="00000605"/>
    <w:rsid w:val="00012BAC"/>
    <w:rsid w:val="000649C7"/>
    <w:rsid w:val="00071D96"/>
    <w:rsid w:val="00074C37"/>
    <w:rsid w:val="00096CEE"/>
    <w:rsid w:val="000B0CF9"/>
    <w:rsid w:val="000B68B0"/>
    <w:rsid w:val="000D0BAC"/>
    <w:rsid w:val="000E314B"/>
    <w:rsid w:val="000E69AF"/>
    <w:rsid w:val="00125B15"/>
    <w:rsid w:val="00130049"/>
    <w:rsid w:val="00155C8D"/>
    <w:rsid w:val="0016268E"/>
    <w:rsid w:val="00175A60"/>
    <w:rsid w:val="0019513F"/>
    <w:rsid w:val="001A6F25"/>
    <w:rsid w:val="0024053E"/>
    <w:rsid w:val="00241BDF"/>
    <w:rsid w:val="00245C1E"/>
    <w:rsid w:val="0027302C"/>
    <w:rsid w:val="00286F5A"/>
    <w:rsid w:val="00290759"/>
    <w:rsid w:val="00297E9B"/>
    <w:rsid w:val="002F5F39"/>
    <w:rsid w:val="002F7AEB"/>
    <w:rsid w:val="0032254C"/>
    <w:rsid w:val="00345138"/>
    <w:rsid w:val="003661C7"/>
    <w:rsid w:val="003718D7"/>
    <w:rsid w:val="003863F5"/>
    <w:rsid w:val="003D5855"/>
    <w:rsid w:val="003F6C1C"/>
    <w:rsid w:val="00415008"/>
    <w:rsid w:val="00416BE9"/>
    <w:rsid w:val="0042712E"/>
    <w:rsid w:val="004306F2"/>
    <w:rsid w:val="00443C83"/>
    <w:rsid w:val="00450581"/>
    <w:rsid w:val="00483A2E"/>
    <w:rsid w:val="004A1C1D"/>
    <w:rsid w:val="004B0790"/>
    <w:rsid w:val="004D61F5"/>
    <w:rsid w:val="004E3A6D"/>
    <w:rsid w:val="0050533E"/>
    <w:rsid w:val="00510FA8"/>
    <w:rsid w:val="0051166D"/>
    <w:rsid w:val="00546E7E"/>
    <w:rsid w:val="00546EC0"/>
    <w:rsid w:val="00551A12"/>
    <w:rsid w:val="00577F49"/>
    <w:rsid w:val="00594935"/>
    <w:rsid w:val="005C51EF"/>
    <w:rsid w:val="005E19DE"/>
    <w:rsid w:val="005E4F0A"/>
    <w:rsid w:val="005F4CCF"/>
    <w:rsid w:val="00635445"/>
    <w:rsid w:val="00680FF8"/>
    <w:rsid w:val="006D3E9A"/>
    <w:rsid w:val="006E3662"/>
    <w:rsid w:val="006F4EA4"/>
    <w:rsid w:val="00701D12"/>
    <w:rsid w:val="00723C87"/>
    <w:rsid w:val="00731579"/>
    <w:rsid w:val="00735283"/>
    <w:rsid w:val="00753676"/>
    <w:rsid w:val="00754A00"/>
    <w:rsid w:val="00762D93"/>
    <w:rsid w:val="007B22E8"/>
    <w:rsid w:val="007D3693"/>
    <w:rsid w:val="007D5A0D"/>
    <w:rsid w:val="00881B53"/>
    <w:rsid w:val="0089659E"/>
    <w:rsid w:val="008A16A3"/>
    <w:rsid w:val="008B38E0"/>
    <w:rsid w:val="008F12C8"/>
    <w:rsid w:val="008F417A"/>
    <w:rsid w:val="009543F7"/>
    <w:rsid w:val="009559AF"/>
    <w:rsid w:val="00971841"/>
    <w:rsid w:val="00976E94"/>
    <w:rsid w:val="00993A6B"/>
    <w:rsid w:val="009A4F89"/>
    <w:rsid w:val="009B6F90"/>
    <w:rsid w:val="009C6F88"/>
    <w:rsid w:val="009E0ABA"/>
    <w:rsid w:val="009E10A6"/>
    <w:rsid w:val="009F130B"/>
    <w:rsid w:val="00A43487"/>
    <w:rsid w:val="00A43587"/>
    <w:rsid w:val="00A45B4C"/>
    <w:rsid w:val="00A45E80"/>
    <w:rsid w:val="00A45E96"/>
    <w:rsid w:val="00A7428E"/>
    <w:rsid w:val="00AA29C2"/>
    <w:rsid w:val="00AA44E4"/>
    <w:rsid w:val="00B13220"/>
    <w:rsid w:val="00B331C7"/>
    <w:rsid w:val="00B35F0F"/>
    <w:rsid w:val="00B475EF"/>
    <w:rsid w:val="00B52857"/>
    <w:rsid w:val="00B654A6"/>
    <w:rsid w:val="00B76AC7"/>
    <w:rsid w:val="00B77542"/>
    <w:rsid w:val="00B92EF2"/>
    <w:rsid w:val="00BA6DE2"/>
    <w:rsid w:val="00BC4768"/>
    <w:rsid w:val="00BF5C20"/>
    <w:rsid w:val="00C141D8"/>
    <w:rsid w:val="00C15DB7"/>
    <w:rsid w:val="00C16FCF"/>
    <w:rsid w:val="00C2433B"/>
    <w:rsid w:val="00C261D2"/>
    <w:rsid w:val="00C32856"/>
    <w:rsid w:val="00C47D7C"/>
    <w:rsid w:val="00CA7B96"/>
    <w:rsid w:val="00CC005B"/>
    <w:rsid w:val="00CC09DB"/>
    <w:rsid w:val="00CC1700"/>
    <w:rsid w:val="00CD4B52"/>
    <w:rsid w:val="00D15928"/>
    <w:rsid w:val="00D214BE"/>
    <w:rsid w:val="00D3164C"/>
    <w:rsid w:val="00D716DF"/>
    <w:rsid w:val="00D735B9"/>
    <w:rsid w:val="00D8100B"/>
    <w:rsid w:val="00D81059"/>
    <w:rsid w:val="00D83A6F"/>
    <w:rsid w:val="00D96A7F"/>
    <w:rsid w:val="00DA55C4"/>
    <w:rsid w:val="00DA647F"/>
    <w:rsid w:val="00DC0C94"/>
    <w:rsid w:val="00DD1780"/>
    <w:rsid w:val="00DF7B16"/>
    <w:rsid w:val="00E00378"/>
    <w:rsid w:val="00E31C30"/>
    <w:rsid w:val="00E52538"/>
    <w:rsid w:val="00E7136A"/>
    <w:rsid w:val="00EC61A9"/>
    <w:rsid w:val="00EF7973"/>
    <w:rsid w:val="00F1599A"/>
    <w:rsid w:val="00F46C9A"/>
    <w:rsid w:val="00F536B4"/>
    <w:rsid w:val="00F575D5"/>
    <w:rsid w:val="00F60FAA"/>
    <w:rsid w:val="00FA2DC0"/>
    <w:rsid w:val="00FC3AA0"/>
    <w:rsid w:val="00FD23D1"/>
    <w:rsid w:val="00FF630C"/>
    <w:rsid w:val="04E27B3E"/>
    <w:rsid w:val="13DF1A39"/>
    <w:rsid w:val="1BD6CF5C"/>
    <w:rsid w:val="1F9FA41B"/>
    <w:rsid w:val="2DFB35DB"/>
    <w:rsid w:val="37976650"/>
    <w:rsid w:val="3B6DE0EA"/>
    <w:rsid w:val="3CFB8316"/>
    <w:rsid w:val="3D5B9BA8"/>
    <w:rsid w:val="3F1FC717"/>
    <w:rsid w:val="536D220C"/>
    <w:rsid w:val="57398A94"/>
    <w:rsid w:val="5DE6A532"/>
    <w:rsid w:val="5FBDEFBE"/>
    <w:rsid w:val="5FCB820C"/>
    <w:rsid w:val="6D7BE9D6"/>
    <w:rsid w:val="6FDF1A4C"/>
    <w:rsid w:val="6FFB2DE2"/>
    <w:rsid w:val="71EE10CD"/>
    <w:rsid w:val="73FFB90D"/>
    <w:rsid w:val="757F71E9"/>
    <w:rsid w:val="77D77542"/>
    <w:rsid w:val="77F7439D"/>
    <w:rsid w:val="77F778DE"/>
    <w:rsid w:val="78948130"/>
    <w:rsid w:val="7CF5B894"/>
    <w:rsid w:val="7DDFF8A4"/>
    <w:rsid w:val="7DEFDB88"/>
    <w:rsid w:val="7DF37FA8"/>
    <w:rsid w:val="7DFFC23F"/>
    <w:rsid w:val="7F7BD41E"/>
    <w:rsid w:val="833E6A09"/>
    <w:rsid w:val="9EFCA69E"/>
    <w:rsid w:val="AFFF3B9A"/>
    <w:rsid w:val="B78FD914"/>
    <w:rsid w:val="B7C628FB"/>
    <w:rsid w:val="BED790B1"/>
    <w:rsid w:val="BEFE32AD"/>
    <w:rsid w:val="BFCF08EA"/>
    <w:rsid w:val="C7676279"/>
    <w:rsid w:val="CB6BB40B"/>
    <w:rsid w:val="D353070D"/>
    <w:rsid w:val="D7DFA5E1"/>
    <w:rsid w:val="DED782E6"/>
    <w:rsid w:val="DF7F9546"/>
    <w:rsid w:val="DF9E41B0"/>
    <w:rsid w:val="E3FECD15"/>
    <w:rsid w:val="E7DB5BFA"/>
    <w:rsid w:val="E9F9E67B"/>
    <w:rsid w:val="EFFFC5A8"/>
    <w:rsid w:val="F28B2029"/>
    <w:rsid w:val="F2FE282B"/>
    <w:rsid w:val="F3F7D557"/>
    <w:rsid w:val="F3FED0B4"/>
    <w:rsid w:val="F6AD85E7"/>
    <w:rsid w:val="F7DF228A"/>
    <w:rsid w:val="F9FD29CF"/>
    <w:rsid w:val="FAB7E846"/>
    <w:rsid w:val="FB79A9C0"/>
    <w:rsid w:val="FC5F28F6"/>
    <w:rsid w:val="FCDBD287"/>
    <w:rsid w:val="FDE419AA"/>
    <w:rsid w:val="FDFD7E25"/>
    <w:rsid w:val="FEBF5266"/>
    <w:rsid w:val="FEFF0266"/>
    <w:rsid w:val="FF7D1A4F"/>
    <w:rsid w:val="FF7E7199"/>
    <w:rsid w:val="FFCBE41C"/>
    <w:rsid w:val="FFF95353"/>
    <w:rsid w:val="FFFBB379"/>
    <w:rsid w:val="FFFF052D"/>
    <w:rsid w:val="FFFF51E4"/>
    <w:rsid w:val="FFFF8DC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paragraph" w:styleId="3">
    <w:name w:val="heading 3"/>
    <w:next w:val="1"/>
    <w:qFormat/>
    <w:uiPriority w:val="0"/>
    <w:pPr>
      <w:keepNext/>
      <w:keepLines/>
      <w:widowControl/>
      <w:adjustRightInd w:val="0"/>
      <w:snapToGrid w:val="0"/>
      <w:spacing w:before="120" w:beforeLines="0" w:after="120" w:afterLines="0" w:line="460" w:lineRule="atLeast"/>
      <w:jc w:val="left"/>
      <w:outlineLvl w:val="2"/>
    </w:pPr>
    <w:rPr>
      <w:rFonts w:ascii="宋体" w:hAnsi="宋体" w:eastAsia="宋体" w:cs="Times New Roman"/>
      <w:b/>
      <w:kern w:val="2"/>
      <w:sz w:val="24"/>
      <w:szCs w:val="20"/>
      <w:lang w:val="en-US" w:eastAsia="zh-CN" w:bidi="ar-SA"/>
    </w:rPr>
  </w:style>
  <w:style w:type="character" w:default="1" w:styleId="11">
    <w:name w:val="Default Paragraph Font"/>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unhideWhenUsed/>
    <w:qFormat/>
    <w:uiPriority w:val="0"/>
    <w:pPr>
      <w:widowControl w:val="0"/>
      <w:spacing w:after="120" w:line="460" w:lineRule="exact"/>
      <w:ind w:firstLine="200" w:firstLineChars="200"/>
      <w:jc w:val="both"/>
    </w:pPr>
    <w:rPr>
      <w:rFonts w:ascii="Times New Roman" w:hAnsi="Times New Roman" w:eastAsia="仿宋_GB2312" w:cs="Times New Roman"/>
      <w:sz w:val="24"/>
      <w:szCs w:val="21"/>
      <w:lang w:val="en-US" w:eastAsia="zh-CN" w:bidi="ar-SA"/>
    </w:rPr>
  </w:style>
  <w:style w:type="paragraph" w:styleId="4">
    <w:name w:val="Normal Indent"/>
    <w:qFormat/>
    <w:uiPriority w:val="0"/>
    <w:pPr>
      <w:widowControl w:val="0"/>
      <w:ind w:firstLine="420"/>
      <w:jc w:val="both"/>
    </w:pPr>
    <w:rPr>
      <w:rFonts w:ascii="宋体" w:hAnsi="Times New Roman" w:eastAsia="宋体" w:cs="Times New Roman"/>
      <w:kern w:val="2"/>
      <w:sz w:val="28"/>
      <w:szCs w:val="20"/>
      <w:lang w:val="en-US" w:eastAsia="zh-CN" w:bidi="ar-SA"/>
    </w:rPr>
  </w:style>
  <w:style w:type="paragraph" w:styleId="5">
    <w:name w:val="Body Text Indent"/>
    <w:basedOn w:val="1"/>
    <w:link w:val="18"/>
    <w:semiHidden/>
    <w:unhideWhenUsed/>
    <w:qFormat/>
    <w:uiPriority w:val="99"/>
    <w:pPr>
      <w:spacing w:after="120"/>
      <w:ind w:left="420" w:leftChars="200"/>
    </w:pPr>
  </w:style>
  <w:style w:type="paragraph" w:styleId="6">
    <w:name w:val="footer"/>
    <w:basedOn w:val="1"/>
    <w:link w:val="16"/>
    <w:unhideWhenUsed/>
    <w:qFormat/>
    <w:uiPriority w:val="0"/>
    <w:pPr>
      <w:tabs>
        <w:tab w:val="center" w:pos="4153"/>
        <w:tab w:val="right" w:pos="8306"/>
      </w:tabs>
      <w:snapToGrid w:val="0"/>
      <w:jc w:val="left"/>
    </w:pPr>
    <w:rPr>
      <w:sz w:val="18"/>
      <w:szCs w:val="18"/>
    </w:rPr>
  </w:style>
  <w:style w:type="paragraph" w:styleId="7">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Body Text First Indent"/>
    <w:qFormat/>
    <w:uiPriority w:val="0"/>
    <w:pPr>
      <w:widowControl w:val="0"/>
      <w:spacing w:after="120" w:line="360" w:lineRule="auto"/>
      <w:ind w:firstLine="420" w:firstLineChars="100"/>
      <w:jc w:val="both"/>
    </w:pPr>
    <w:rPr>
      <w:rFonts w:ascii="Times New Roman" w:hAnsi="Times New Roman" w:eastAsia="仿宋_GB2312" w:cs="Times New Roman"/>
      <w:kern w:val="2"/>
      <w:sz w:val="24"/>
      <w:szCs w:val="24"/>
      <w:lang w:val="en-US" w:eastAsia="zh-CN" w:bidi="ar-SA"/>
    </w:rPr>
  </w:style>
  <w:style w:type="table" w:styleId="10">
    <w:name w:val="Table Grid"/>
    <w:qFormat/>
    <w:uiPriority w:val="59"/>
    <w:pPr>
      <w:widowControl w:val="0"/>
      <w:jc w:val="center"/>
    </w:pPr>
    <w:rPr>
      <w:rFonts w:eastAsia="仿宋_GB2312"/>
    </w:rPr>
    <w:tblP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
    <w:tcPr>
      <w:vAlign w:val="center"/>
    </w:tcPr>
  </w:style>
  <w:style w:type="character" w:styleId="12">
    <w:name w:val="page number"/>
    <w:basedOn w:val="11"/>
    <w:qFormat/>
    <w:uiPriority w:val="0"/>
  </w:style>
  <w:style w:type="paragraph" w:customStyle="1" w:styleId="13">
    <w:name w:val="正文缩2"/>
    <w:qFormat/>
    <w:uiPriority w:val="0"/>
    <w:pPr>
      <w:spacing w:line="360" w:lineRule="auto"/>
      <w:ind w:firstLine="240" w:firstLineChars="100"/>
    </w:pPr>
    <w:rPr>
      <w:rFonts w:ascii="Times New Roman" w:hAnsi="Times New Roman" w:eastAsia="宋体" w:cs="Times New Roman"/>
      <w:color w:val="FF0000"/>
      <w:sz w:val="24"/>
      <w:szCs w:val="24"/>
      <w:lang w:val="en-US" w:eastAsia="zh-CN" w:bidi="ar-SA"/>
    </w:rPr>
  </w:style>
  <w:style w:type="paragraph" w:customStyle="1" w:styleId="1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5">
    <w:name w:val="页眉 字符"/>
    <w:link w:val="7"/>
    <w:qFormat/>
    <w:uiPriority w:val="99"/>
    <w:rPr>
      <w:sz w:val="18"/>
      <w:szCs w:val="18"/>
    </w:rPr>
  </w:style>
  <w:style w:type="character" w:customStyle="1" w:styleId="16">
    <w:name w:val="页脚 字符"/>
    <w:link w:val="6"/>
    <w:qFormat/>
    <w:uiPriority w:val="99"/>
    <w:rPr>
      <w:sz w:val="18"/>
      <w:szCs w:val="18"/>
    </w:rPr>
  </w:style>
  <w:style w:type="paragraph" w:customStyle="1" w:styleId="17">
    <w:name w:val="0正文"/>
    <w:basedOn w:val="5"/>
    <w:qFormat/>
    <w:uiPriority w:val="99"/>
    <w:pPr>
      <w:spacing w:after="0" w:line="300" w:lineRule="auto"/>
      <w:ind w:left="0" w:leftChars="0" w:firstLine="200" w:firstLineChars="200"/>
    </w:pPr>
    <w:rPr>
      <w:rFonts w:ascii="Times New Roman" w:hAnsi="Times New Roman" w:eastAsia="宋体" w:cs="宋体"/>
      <w:kern w:val="0"/>
      <w:sz w:val="28"/>
      <w:szCs w:val="20"/>
    </w:rPr>
  </w:style>
  <w:style w:type="character" w:customStyle="1" w:styleId="18">
    <w:name w:val="正文文本缩进 字符"/>
    <w:basedOn w:val="11"/>
    <w:link w:val="5"/>
    <w:semiHidden/>
    <w:qFormat/>
    <w:uiPriority w:val="99"/>
  </w:style>
  <w:style w:type="character" w:customStyle="1" w:styleId="19">
    <w:name w:val="正文啊 Char"/>
    <w:link w:val="20"/>
    <w:qFormat/>
    <w:uiPriority w:val="0"/>
    <w:rPr>
      <w:rFonts w:ascii="仿宋_GB2312" w:hAnsi="Times New Roman" w:eastAsia="仿宋_GB2312" w:cs="Times New Roman"/>
      <w:kern w:val="0"/>
      <w:sz w:val="28"/>
      <w:szCs w:val="22"/>
      <w:lang w:val="en-US" w:eastAsia="zh-CN" w:bidi="ar-SA"/>
    </w:rPr>
  </w:style>
  <w:style w:type="paragraph" w:customStyle="1" w:styleId="20">
    <w:name w:val="正文啊"/>
    <w:link w:val="19"/>
    <w:qFormat/>
    <w:uiPriority w:val="0"/>
    <w:pPr>
      <w:widowControl w:val="0"/>
      <w:spacing w:line="560" w:lineRule="exact"/>
      <w:ind w:firstLine="560" w:firstLineChars="200"/>
      <w:jc w:val="both"/>
    </w:pPr>
    <w:rPr>
      <w:rFonts w:ascii="仿宋_GB2312" w:hAnsi="Times New Roman" w:eastAsia="仿宋_GB2312" w:cs="Times New Roman"/>
      <w:kern w:val="0"/>
      <w:sz w:val="28"/>
      <w:szCs w:val="22"/>
      <w:lang w:val="en-US" w:eastAsia="zh-CN" w:bidi="ar-SA"/>
    </w:rPr>
  </w:style>
  <w:style w:type="character" w:customStyle="1" w:styleId="21">
    <w:name w:val="font31"/>
    <w:qFormat/>
    <w:uiPriority w:val="0"/>
    <w:rPr>
      <w:rFonts w:hint="default" w:ascii="Times New Roman" w:hAnsi="Times New Roman" w:cs="Times New Roman"/>
      <w:color w:val="000000"/>
      <w:sz w:val="16"/>
      <w:szCs w:val="16"/>
      <w:u w:val="none"/>
    </w:rPr>
  </w:style>
  <w:style w:type="character" w:customStyle="1" w:styleId="22">
    <w:name w:val="font21"/>
    <w:qFormat/>
    <w:uiPriority w:val="0"/>
    <w:rPr>
      <w:rFonts w:hint="default" w:ascii="仿宋_GB2312" w:eastAsia="仿宋_GB2312" w:cs="仿宋_GB2312"/>
      <w:b/>
      <w:bCs/>
      <w:color w:val="000000"/>
      <w:sz w:val="18"/>
      <w:szCs w:val="18"/>
      <w:u w:val="none"/>
    </w:rPr>
  </w:style>
  <w:style w:type="character" w:customStyle="1" w:styleId="23">
    <w:name w:val="font11"/>
    <w:qFormat/>
    <w:uiPriority w:val="0"/>
    <w:rPr>
      <w:rFonts w:hint="default" w:ascii="楷体_GB2312" w:eastAsia="楷体_GB2312" w:cs="楷体_GB2312"/>
      <w:b/>
      <w:bCs/>
      <w:color w:val="000000"/>
      <w:sz w:val="18"/>
      <w:szCs w:val="18"/>
      <w:u w:val="none"/>
    </w:rPr>
  </w:style>
  <w:style w:type="character" w:customStyle="1" w:styleId="24">
    <w:name w:val="font61"/>
    <w:qFormat/>
    <w:uiPriority w:val="0"/>
    <w:rPr>
      <w:rFonts w:ascii="黑体" w:hAnsi="宋体" w:eastAsia="黑体" w:cs="黑体"/>
      <w:color w:val="000000"/>
      <w:sz w:val="28"/>
      <w:szCs w:val="28"/>
      <w:u w:val="none"/>
    </w:rPr>
  </w:style>
  <w:style w:type="character" w:customStyle="1" w:styleId="25">
    <w:name w:val="font71"/>
    <w:qFormat/>
    <w:uiPriority w:val="0"/>
    <w:rPr>
      <w:rFonts w:hint="default" w:ascii="Times New Roman" w:hAnsi="Times New Roman" w:cs="Times New Roman"/>
      <w:color w:val="000000"/>
      <w:sz w:val="20"/>
      <w:szCs w:val="20"/>
      <w:u w:val="none"/>
    </w:rPr>
  </w:style>
  <w:style w:type="paragraph" w:customStyle="1" w:styleId="26">
    <w:name w:val="表格内容"/>
    <w:next w:val="1"/>
    <w:qFormat/>
    <w:uiPriority w:val="0"/>
    <w:pPr>
      <w:widowControl w:val="0"/>
      <w:adjustRightInd w:val="0"/>
      <w:spacing w:line="0" w:lineRule="atLeast"/>
      <w:ind w:firstLine="0" w:firstLineChars="0"/>
      <w:jc w:val="center"/>
      <w:textAlignment w:val="center"/>
    </w:pPr>
    <w:rPr>
      <w:rFonts w:ascii="Times New Roman" w:hAnsi="Times New Roman" w:eastAsia="仿宋_GB2312" w:cs="Times New Roman"/>
      <w:kern w:val="0"/>
      <w:sz w:val="21"/>
      <w:szCs w:val="24"/>
      <w:lang w:val="en-US" w:eastAsia="zh-CN" w:bidi="ar-SA"/>
    </w:rPr>
  </w:style>
  <w:style w:type="paragraph" w:customStyle="1" w:styleId="27">
    <w:name w:val="表格内居中文字"/>
    <w:qFormat/>
    <w:uiPriority w:val="0"/>
    <w:pPr>
      <w:widowControl w:val="0"/>
      <w:jc w:val="center"/>
    </w:pPr>
    <w:rPr>
      <w:rFonts w:ascii="Times New Roman" w:hAnsi="Times New Roman" w:eastAsia="仿宋_GB2312" w:cs="Times New Roman"/>
      <w:kern w:val="24"/>
      <w:sz w:val="21"/>
      <w:szCs w:val="24"/>
      <w:lang w:val="en-US" w:eastAsia="zh-CN" w:bidi="ar-SA"/>
    </w:rPr>
  </w:style>
  <w:style w:type="paragraph" w:customStyle="1" w:styleId="28">
    <w:name w:val="图表内容"/>
    <w:qFormat/>
    <w:uiPriority w:val="99"/>
    <w:pPr>
      <w:widowControl w:val="0"/>
      <w:spacing w:line="240" w:lineRule="auto"/>
      <w:ind w:firstLine="0" w:firstLineChars="0"/>
      <w:jc w:val="center"/>
    </w:pPr>
    <w:rPr>
      <w:rFonts w:ascii="Times New Roman" w:hAnsi="Times New Roman" w:eastAsia="仿宋_GB2312"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14</Pages>
  <Words>1275</Words>
  <Characters>7272</Characters>
  <Lines>60</Lines>
  <Paragraphs>17</Paragraphs>
  <TotalTime>42</TotalTime>
  <ScaleCrop>false</ScaleCrop>
  <LinksUpToDate>false</LinksUpToDate>
  <CharactersWithSpaces>8530</CharactersWithSpaces>
  <Application>WPS Office_11.8.2.9015_F1E327BC-269C-435d-A152-05C5408002CA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2020-10-31T15:08:00Z</dcterms:created>
  <dc:creator>张艺馨</dc:creator>
  <cp:lastModifiedBy>Administrator</cp:lastModifiedBy>
  <dcterms:modified xsi:type="dcterms:W3CDTF">2025-11-19T01:08:55Z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2052-11.8.2.9015</vt:lpwstr>
  </property>
  <property fmtid="{D5CDD505-2E9C-101B-9397-08002B2CF9AE}" pid="3" name="ICV">
    <vt:lpwstr>8D1C5F85BED71710C7781A6981479BA5_43</vt:lpwstr>
  </property>
</Properties>
</file>