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hint="eastAsia" w:eastAsia="方正小标宋_GBK" w:cs="方正小标宋_GBK"/>
          <w:b w:val="0"/>
          <w:color w:val="000000"/>
          <w:sz w:val="44"/>
          <w:szCs w:val="44"/>
          <w:lang w:eastAsia="zh-CN"/>
        </w:rPr>
      </w:pPr>
      <w:r>
        <w:rPr>
          <w:rFonts w:ascii="Times New Roman" w:hAnsi="Times New Roman" w:eastAsia="方正小标宋_GBK"/>
          <w:color w:val="000000"/>
          <w:sz w:val="44"/>
          <w:szCs w:val="44"/>
        </w:rPr>
        <w:t>关于</w:t>
      </w:r>
      <w:r>
        <w:rPr>
          <w:rFonts w:hint="eastAsia" w:eastAsia="方正小标宋_GBK" w:cs="方正小标宋_GBK"/>
          <w:b w:val="0"/>
          <w:color w:val="000000"/>
          <w:sz w:val="44"/>
          <w:szCs w:val="44"/>
          <w:lang w:eastAsia="zh-CN"/>
        </w:rPr>
        <w:t>哈密—重庆特高压直流受端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hint="eastAsia" w:eastAsia="方正小标宋_GBK" w:cs="方正小标宋_GBK"/>
          <w:b w:val="0"/>
          <w:color w:val="000000"/>
          <w:sz w:val="44"/>
          <w:szCs w:val="44"/>
          <w:lang w:eastAsia="zh-CN"/>
        </w:rPr>
      </w:pPr>
      <w:r>
        <w:rPr>
          <w:rFonts w:hint="eastAsia" w:eastAsia="方正小标宋_GBK" w:cs="方正小标宋_GBK"/>
          <w:b w:val="0"/>
          <w:color w:val="000000"/>
          <w:sz w:val="44"/>
          <w:szCs w:val="44"/>
          <w:lang w:eastAsia="zh-CN"/>
        </w:rPr>
        <w:t>500千伏配套送出工程（二期）项目</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s="方正小标宋_GBK"/>
          <w:b w:val="0"/>
          <w:color w:val="000000"/>
          <w:sz w:val="44"/>
          <w:szCs w:val="44"/>
          <w:lang w:eastAsia="zh-CN"/>
        </w:rPr>
        <w:t>水土保持方案</w:t>
      </w:r>
      <w:r>
        <w:rPr>
          <w:rFonts w:ascii="Times New Roman" w:hAnsi="Times New Roman" w:eastAsia="方正小标宋_GBK"/>
          <w:color w:val="000000"/>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eastAsia="方正仿宋_GBK" w:cs="Times New Roman"/>
          <w:b w:val="0"/>
          <w:color w:val="auto"/>
          <w:sz w:val="32"/>
          <w:szCs w:val="32"/>
          <w:lang w:eastAsia="zh-CN"/>
        </w:rPr>
        <w:t>国网重庆市电力公司建设分公司</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w:t>
      </w:r>
      <w:r>
        <w:rPr>
          <w:rFonts w:hint="eastAsia" w:ascii="Times New Roman" w:hAnsi="Times New Roman" w:eastAsia="方正仿宋_GBK" w:cs="Times New Roman"/>
          <w:color w:val="auto"/>
          <w:sz w:val="32"/>
          <w:szCs w:val="32"/>
          <w:lang w:eastAsia="zh-CN"/>
        </w:rPr>
        <w:t>司</w:t>
      </w:r>
      <w:r>
        <w:rPr>
          <w:rFonts w:hint="default" w:ascii="Times New Roman" w:hAnsi="Times New Roman" w:eastAsia="方正仿宋_GBK" w:cs="Times New Roman"/>
          <w:color w:val="auto"/>
          <w:sz w:val="32"/>
          <w:szCs w:val="32"/>
          <w:lang w:eastAsia="zh-CN"/>
        </w:rPr>
        <w:t>提交的</w:t>
      </w:r>
      <w:r>
        <w:rPr>
          <w:rFonts w:hint="eastAsia" w:ascii="Times New Roman" w:hAnsi="Times New Roman" w:eastAsia="方正仿宋_GBK" w:cs="Times New Roman"/>
          <w:color w:val="auto"/>
          <w:sz w:val="32"/>
          <w:szCs w:val="32"/>
          <w:lang w:eastAsia="zh-CN"/>
        </w:rPr>
        <w:t>哈密—重庆特高压直流受端500千伏配套送出工程（二期）项目水土保持方案</w:t>
      </w:r>
      <w:r>
        <w:rPr>
          <w:rFonts w:hint="default" w:ascii="Times New Roman" w:hAnsi="Times New Roman" w:eastAsia="方正仿宋_GBK" w:cs="Times New Roman"/>
          <w:color w:val="auto"/>
          <w:sz w:val="32"/>
          <w:szCs w:val="32"/>
          <w:lang w:eastAsia="zh-CN"/>
        </w:rPr>
        <w:t>审批申请（项目代码：</w:t>
      </w:r>
      <w:r>
        <w:rPr>
          <w:rFonts w:hint="default" w:ascii="Times New Roman" w:hAnsi="Times New Roman" w:eastAsia="方正仿宋_GBK" w:cs="Times New Roman"/>
          <w:color w:val="auto"/>
          <w:sz w:val="32"/>
          <w:szCs w:val="32"/>
          <w:lang w:val="en-US" w:eastAsia="zh-CN"/>
        </w:rPr>
        <w:t>2308-500000-04-01-556180</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哈密—重庆特高压直流受端500千伏配套送出工程（二期）项目水土保持方案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rPr>
        <w:t>方案编制依据的法律法规、部委规章、规范性文件、规范标准和技术文件及采用的资料基本正确。</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w:t>
      </w:r>
      <w:r>
        <w:rPr>
          <w:rFonts w:hint="eastAsia"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rPr>
        <w:t>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（三）同意水土流失防治责任范围界定，水土流失防治责任范围面积为84.56hm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，其中：璧山区</w:t>
      </w:r>
      <w:r>
        <w:rPr>
          <w:rFonts w:hint="eastAsia" w:ascii="Times New Roman" w:hAnsi="Times New Roman" w:eastAsia="方正仿宋_GBK" w:cs="Times New Roman"/>
          <w:color w:val="auto"/>
          <w:sz w:val="32"/>
          <w:szCs w:val="32"/>
          <w:vertAlign w:val="baseline"/>
          <w:lang w:val="en-US" w:eastAsia="zh-CN"/>
        </w:rPr>
        <w:t>2.85</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、铜梁区</w:t>
      </w:r>
      <w:r>
        <w:rPr>
          <w:rFonts w:hint="eastAsia" w:ascii="Times New Roman" w:hAnsi="Times New Roman" w:eastAsia="方正仿宋_GBK" w:cs="Times New Roman"/>
          <w:color w:val="auto"/>
          <w:sz w:val="32"/>
          <w:szCs w:val="32"/>
          <w:vertAlign w:val="baseline"/>
          <w:lang w:val="en-US" w:eastAsia="zh-CN"/>
        </w:rPr>
        <w:t>8.58</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、合川区</w:t>
      </w:r>
      <w:r>
        <w:rPr>
          <w:rFonts w:hint="eastAsia" w:ascii="Times New Roman" w:hAnsi="Times New Roman" w:eastAsia="方正仿宋_GBK" w:cs="Times New Roman"/>
          <w:color w:val="auto"/>
          <w:sz w:val="32"/>
          <w:szCs w:val="32"/>
          <w:vertAlign w:val="baseline"/>
          <w:lang w:val="en-US" w:eastAsia="zh-CN"/>
        </w:rPr>
        <w:t>40.12</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、北碚区</w:t>
      </w:r>
      <w:r>
        <w:rPr>
          <w:rFonts w:hint="eastAsia" w:ascii="Times New Roman" w:hAnsi="Times New Roman" w:eastAsia="方正仿宋_GBK" w:cs="Times New Roman"/>
          <w:color w:val="auto"/>
          <w:sz w:val="32"/>
          <w:szCs w:val="32"/>
          <w:vertAlign w:val="baseline"/>
          <w:lang w:val="en-US" w:eastAsia="zh-CN"/>
        </w:rPr>
        <w:t>8.56</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、渝北区</w:t>
      </w:r>
      <w:r>
        <w:rPr>
          <w:rFonts w:hint="eastAsia" w:ascii="Times New Roman" w:hAnsi="Times New Roman" w:eastAsia="方正仿宋_GBK" w:cs="Times New Roman"/>
          <w:color w:val="auto"/>
          <w:sz w:val="32"/>
          <w:szCs w:val="32"/>
          <w:vertAlign w:val="baseline"/>
          <w:lang w:val="en-US" w:eastAsia="zh-CN"/>
        </w:rPr>
        <w:t>22.36</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、长寿区</w:t>
      </w:r>
      <w:r>
        <w:rPr>
          <w:rFonts w:hint="eastAsia" w:ascii="Times New Roman" w:hAnsi="Times New Roman" w:eastAsia="方正仿宋_GBK" w:cs="Times New Roman"/>
          <w:color w:val="auto"/>
          <w:sz w:val="32"/>
          <w:szCs w:val="32"/>
          <w:vertAlign w:val="baseline"/>
          <w:lang w:val="en-US" w:eastAsia="zh-CN"/>
        </w:rPr>
        <w:t>0.89</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、沙坪坝区</w:t>
      </w:r>
      <w:r>
        <w:rPr>
          <w:rFonts w:hint="eastAsia" w:ascii="Times New Roman" w:hAnsi="Times New Roman" w:eastAsia="方正仿宋_GBK" w:cs="Times New Roman"/>
          <w:color w:val="auto"/>
          <w:sz w:val="32"/>
          <w:szCs w:val="32"/>
          <w:vertAlign w:val="baseline"/>
          <w:lang w:val="en-US" w:eastAsia="zh-CN"/>
        </w:rPr>
        <w:t>0.56</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、永川区</w:t>
      </w:r>
      <w:r>
        <w:rPr>
          <w:rFonts w:hint="eastAsia" w:ascii="Times New Roman" w:hAnsi="Times New Roman" w:eastAsia="方正仿宋_GBK" w:cs="Times New Roman"/>
          <w:color w:val="auto"/>
          <w:sz w:val="32"/>
          <w:szCs w:val="32"/>
          <w:vertAlign w:val="baseline"/>
          <w:lang w:val="en-US" w:eastAsia="zh-CN"/>
        </w:rPr>
        <w:t>0.64</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（五）同意水土流失防治目标。其中：水土流失治理度97%，土壤流失控制比1.0，渣土防护率92%，表土保护率92%，林草植被恢复率97%，林草覆盖率25%</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FF0000"/>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水土保持方案工程静态总投资1267.05万元，其中：主体已列449.02万元，方案新增818.03万元</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工程措施244.61万元，植物措施0.07万元，监测措施70.55万元，施工临时措施255.79万元，独立费用89.03万元，基本预备费39.60万元，水土保持补偿费118.384万元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（七）本项目的地点、规模如发生重大变化，或者水土保持方案实施过程中水土保持措施发生重大变更的，应按</w:t>
      </w:r>
      <w:r>
        <w:rPr>
          <w:rFonts w:hint="eastAsia" w:ascii="Times New Roman" w:hAnsi="Times New Roman" w:eastAsia="方正仿宋_GBK"/>
          <w:snapToGrid w:val="0"/>
          <w:color w:val="auto"/>
          <w:kern w:val="0"/>
          <w:sz w:val="32"/>
          <w:szCs w:val="32"/>
        </w:rPr>
        <w:t>照“</w:t>
      </w:r>
      <w:r>
        <w:rPr>
          <w:rFonts w:hint="eastAsia" w:ascii="Times New Roman" w:hAnsi="Times New Roman" w:eastAsia="方正仿宋_GBK" w:cs="Times New Roman"/>
          <w:snapToGrid w:val="0"/>
          <w:color w:val="auto"/>
          <w:kern w:val="0"/>
          <w:sz w:val="32"/>
          <w:szCs w:val="32"/>
          <w:lang w:eastAsia="zh-CN"/>
        </w:rPr>
        <w:t>水利部第</w:t>
      </w:r>
      <w:r>
        <w:rPr>
          <w:rFonts w:hint="eastAsia" w:ascii="Times New Roman" w:hAnsi="Times New Roman" w:eastAsia="方正仿宋_GBK" w:cs="Times New Roman"/>
          <w:snapToGrid w:val="0"/>
          <w:color w:val="auto"/>
          <w:kern w:val="0"/>
          <w:sz w:val="32"/>
          <w:szCs w:val="32"/>
          <w:lang w:val="en-US" w:eastAsia="zh-CN"/>
        </w:rPr>
        <w:t>53号令</w:t>
      </w:r>
      <w:r>
        <w:rPr>
          <w:rFonts w:hint="eastAsia" w:ascii="Times New Roman" w:hAnsi="Times New Roman" w:eastAsia="方正仿宋_GBK" w:cs="Times New Roman"/>
          <w:snapToGrid w:val="0"/>
          <w:color w:val="auto"/>
          <w:kern w:val="0"/>
          <w:sz w:val="32"/>
          <w:szCs w:val="32"/>
          <w:lang w:eastAsia="zh-CN"/>
        </w:rPr>
        <w:t>”规定办理。确需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w:t>
      </w:r>
      <w:r>
        <w:rPr>
          <w:rFonts w:hint="eastAsia" w:ascii="Times New Roman" w:hAnsi="Times New Roman" w:eastAsia="方正仿宋_GBK" w:cs="方正仿宋_GBK"/>
          <w:b w:val="0"/>
          <w:bCs w:val="0"/>
          <w:snapToGrid w:val="0"/>
          <w:color w:val="auto"/>
          <w:spacing w:val="0"/>
          <w:w w:val="100"/>
          <w:kern w:val="0"/>
          <w:sz w:val="32"/>
          <w:szCs w:val="32"/>
          <w:lang w:val="en-US" w:eastAsia="zh-CN"/>
        </w:rPr>
        <w:t>开工建设前</w:t>
      </w:r>
      <w:r>
        <w:rPr>
          <w:rFonts w:hint="eastAsia" w:ascii="Times New Roman" w:hAnsi="Times New Roman" w:eastAsia="方正仿宋_GBK"/>
          <w:snapToGrid w:val="0"/>
          <w:color w:val="auto"/>
          <w:kern w:val="0"/>
          <w:sz w:val="32"/>
          <w:szCs w:val="32"/>
          <w:lang w:val="en-US" w:eastAsia="zh-CN"/>
        </w:rPr>
        <w:t>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278" w:leftChars="228" w:right="0" w:hanging="640" w:hangingChars="2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哈密—重庆特高压直流受端500千伏配套送出工程（二期）项目</w:t>
      </w:r>
      <w:r>
        <w:rPr>
          <w:rFonts w:hint="eastAsia" w:ascii="Times New Roman" w:hAnsi="Times New Roman" w:eastAsia="方正仿宋_GBK" w:cs="方正仿宋_GBK"/>
          <w:bCs/>
          <w:color w:val="auto"/>
          <w:spacing w:val="-11"/>
          <w:sz w:val="32"/>
          <w:szCs w:val="32"/>
        </w:rPr>
        <w:t>水土保持方案</w:t>
      </w:r>
      <w:r>
        <w:rPr>
          <w:rFonts w:hint="eastAsia" w:ascii="Times New Roman" w:hAnsi="Times New Roman" w:eastAsia="方正仿宋_GBK" w:cs="方正仿宋_GBK"/>
          <w:bCs/>
          <w:snapToGrid w:val="0"/>
          <w:color w:val="auto"/>
          <w:spacing w:val="-11"/>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1277" w:leftChars="456" w:right="0" w:firstLine="320" w:firstLineChars="1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哈密—重庆特高压直流受端500千伏配套送出工程（二期）项目</w:t>
      </w:r>
      <w:r>
        <w:rPr>
          <w:rFonts w:hint="eastAsia" w:ascii="Times New Roman" w:hAnsi="Times New Roman" w:eastAsia="方正仿宋_GBK" w:cs="方正仿宋_GBK"/>
          <w:snapToGrid w:val="0"/>
          <w:color w:val="auto"/>
          <w:spacing w:val="-6"/>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eastAsia="方正仿宋_GBK"/>
          <w:color w:val="auto"/>
          <w:sz w:val="32"/>
          <w:szCs w:val="32"/>
          <w:lang w:val="en-US" w:eastAsia="zh-CN"/>
        </w:rPr>
        <w:t>4</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6</w:t>
      </w:r>
      <w:r>
        <w:rPr>
          <w:rFonts w:ascii="Times New Roman" w:hAnsi="Times New Roman" w:eastAsia="方正仿宋_GBK"/>
          <w:color w:val="auto"/>
          <w:sz w:val="32"/>
          <w:szCs w:val="32"/>
        </w:rPr>
        <w:t>月</w:t>
      </w:r>
      <w:r>
        <w:rPr>
          <w:rFonts w:hint="eastAsia" w:eastAsia="方正仿宋_GBK"/>
          <w:color w:val="auto"/>
          <w:sz w:val="32"/>
          <w:szCs w:val="32"/>
          <w:lang w:val="en-US" w:eastAsia="zh-CN"/>
        </w:rPr>
        <w:t>26</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（此件</w:t>
      </w:r>
      <w:r>
        <w:rPr>
          <w:rFonts w:hint="eastAsia" w:ascii="Times New Roman" w:hAnsi="Times New Roman" w:eastAsia="方正仿宋_GBK" w:cs="Times New Roman"/>
          <w:snapToGrid w:val="0"/>
          <w:color w:val="auto"/>
          <w:kern w:val="0"/>
          <w:sz w:val="32"/>
          <w:szCs w:val="32"/>
          <w:lang w:eastAsia="zh-CN"/>
        </w:rPr>
        <w:t>主动</w:t>
      </w:r>
      <w:r>
        <w:rPr>
          <w:rFonts w:ascii="Times New Roman" w:hAnsi="Times New Roman" w:eastAsia="方正仿宋_GBK" w:cs="Times New Roman"/>
          <w:snapToGrid w:val="0"/>
          <w:color w:val="auto"/>
          <w:kern w:val="0"/>
          <w:sz w:val="32"/>
          <w:szCs w:val="32"/>
        </w:rPr>
        <w:t>公开发布）</w:t>
      </w:r>
    </w:p>
    <w:p>
      <w:pPr>
        <w:ind w:firstLine="640" w:firstLineChars="200"/>
        <w:rPr>
          <w:color w:val="auto"/>
        </w:rPr>
      </w:pPr>
      <w:r>
        <w:rPr>
          <w:rFonts w:ascii="Times New Roman" w:hAnsi="Times New Roman" w:eastAsia="方正仿宋_GBK" w:cs="Times New Roman"/>
          <w:snapToGrid w:val="0"/>
          <w:color w:val="auto"/>
          <w:kern w:val="0"/>
          <w:sz w:val="32"/>
          <w:szCs w:val="32"/>
        </w:rPr>
        <w:t>（联系人：张</w:t>
      </w:r>
      <w:r>
        <w:rPr>
          <w:rFonts w:hint="eastAsia" w:ascii="Times New Roman" w:hAnsi="Times New Roman" w:eastAsia="方正仿宋_GBK" w:cs="Times New Roman"/>
          <w:snapToGrid w:val="0"/>
          <w:color w:val="auto"/>
          <w:kern w:val="0"/>
          <w:sz w:val="32"/>
          <w:szCs w:val="32"/>
        </w:rPr>
        <w:t>春才</w:t>
      </w:r>
      <w:r>
        <w:rPr>
          <w:rFonts w:ascii="Times New Roman" w:hAnsi="Times New Roman" w:eastAsia="方正仿宋_GBK" w:cs="Times New Roman"/>
          <w:snapToGrid w:val="0"/>
          <w:color w:val="auto"/>
          <w:kern w:val="0"/>
          <w:sz w:val="32"/>
          <w:szCs w:val="32"/>
        </w:rPr>
        <w:t>；联系电话：023</w:t>
      </w:r>
      <w:r>
        <w:rPr>
          <w:rFonts w:hint="eastAsia" w:eastAsia="方正仿宋_GBK" w:cs="Times New Roman"/>
          <w:snapToGrid w:val="0"/>
          <w:color w:val="auto"/>
          <w:kern w:val="0"/>
          <w:sz w:val="32"/>
          <w:szCs w:val="32"/>
          <w:lang w:eastAsia="zh-CN"/>
        </w:rPr>
        <w:t>—</w:t>
      </w:r>
      <w:r>
        <w:rPr>
          <w:rFonts w:ascii="Times New Roman" w:hAnsi="Times New Roman" w:eastAsia="方正仿宋_GBK" w:cs="Times New Roman"/>
          <w:snapToGrid w:val="0"/>
          <w:color w:val="auto"/>
          <w:kern w:val="0"/>
          <w:sz w:val="32"/>
          <w:szCs w:val="32"/>
        </w:rPr>
        <w:t>88707091）</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eastAsia="方正小标宋_GBK" w:cs="方正小标宋_GBK"/>
          <w:bCs/>
          <w:color w:val="auto"/>
          <w:spacing w:val="0"/>
          <w:w w:val="100"/>
          <w:sz w:val="36"/>
          <w:szCs w:val="36"/>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eastAsia="方正小标宋_GBK" w:cs="方正小标宋_GBK"/>
          <w:bCs/>
          <w:color w:val="auto"/>
          <w:spacing w:val="0"/>
          <w:w w:val="100"/>
          <w:sz w:val="36"/>
          <w:szCs w:val="36"/>
          <w:lang w:eastAsia="zh-CN"/>
        </w:rPr>
      </w:pPr>
      <w:r>
        <w:rPr>
          <w:rFonts w:hint="eastAsia" w:eastAsia="方正小标宋_GBK" w:cs="方正小标宋_GBK"/>
          <w:bCs/>
          <w:color w:val="auto"/>
          <w:spacing w:val="0"/>
          <w:w w:val="100"/>
          <w:sz w:val="36"/>
          <w:szCs w:val="36"/>
          <w:lang w:eastAsia="zh-CN"/>
        </w:rPr>
        <w:t>哈密—重庆特高压直流受端500千伏配套送出</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ascii="Times New Roman" w:hAnsi="Times New Roman" w:eastAsia="方正黑体_GBK" w:cs="方正黑体_GBK"/>
          <w:b w:val="0"/>
          <w:color w:val="auto"/>
          <w:sz w:val="32"/>
          <w:szCs w:val="32"/>
        </w:rPr>
      </w:pPr>
      <w:r>
        <w:rPr>
          <w:rFonts w:hint="eastAsia" w:eastAsia="方正小标宋_GBK" w:cs="方正小标宋_GBK"/>
          <w:bCs/>
          <w:color w:val="auto"/>
          <w:spacing w:val="0"/>
          <w:w w:val="100"/>
          <w:sz w:val="36"/>
          <w:szCs w:val="36"/>
          <w:lang w:eastAsia="zh-CN"/>
        </w:rPr>
        <w:t>工程（二期）项目</w:t>
      </w:r>
      <w:r>
        <w:rPr>
          <w:rFonts w:hint="eastAsia" w:ascii="Times New Roman" w:hAnsi="Times New Roman" w:eastAsia="方正小标宋_GBK" w:cs="方正小标宋_GBK"/>
          <w:bCs/>
          <w:color w:val="auto"/>
          <w:spacing w:val="0"/>
          <w:w w:val="100"/>
          <w:sz w:val="36"/>
          <w:szCs w:val="36"/>
        </w:rPr>
        <w:t>水土保持方案</w:t>
      </w:r>
      <w:r>
        <w:rPr>
          <w:rFonts w:hint="eastAsia" w:ascii="Times New Roman" w:hAnsi="Times New Roman" w:eastAsia="方正小标宋_GBK" w:cs="方正小标宋_GBK"/>
          <w:bCs/>
          <w:snapToGrid w:val="0"/>
          <w:color w:val="auto"/>
          <w:spacing w:val="0"/>
          <w:w w:val="100"/>
          <w:kern w:val="0"/>
          <w:sz w:val="36"/>
          <w:szCs w:val="36"/>
        </w:rPr>
        <w:t>特性表</w:t>
      </w:r>
    </w:p>
    <w:tbl>
      <w:tblPr>
        <w:tblStyle w:val="1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95"/>
        <w:gridCol w:w="291"/>
        <w:gridCol w:w="453"/>
        <w:gridCol w:w="116"/>
        <w:gridCol w:w="367"/>
        <w:gridCol w:w="282"/>
        <w:gridCol w:w="167"/>
        <w:gridCol w:w="206"/>
        <w:gridCol w:w="914"/>
        <w:gridCol w:w="419"/>
        <w:gridCol w:w="391"/>
        <w:gridCol w:w="127"/>
        <w:gridCol w:w="168"/>
        <w:gridCol w:w="395"/>
        <w:gridCol w:w="156"/>
        <w:gridCol w:w="325"/>
        <w:gridCol w:w="290"/>
        <w:gridCol w:w="313"/>
        <w:gridCol w:w="80"/>
        <w:gridCol w:w="109"/>
        <w:gridCol w:w="103"/>
        <w:gridCol w:w="467"/>
        <w:gridCol w:w="280"/>
        <w:gridCol w:w="666"/>
        <w:gridCol w:w="249"/>
        <w:gridCol w:w="395"/>
        <w:gridCol w:w="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5"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项目名称</w:t>
            </w:r>
          </w:p>
        </w:tc>
        <w:tc>
          <w:tcPr>
            <w:tcW w:w="1621"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哈密</w:t>
            </w:r>
            <w:r>
              <w:rPr>
                <w:rFonts w:hint="eastAsia" w:eastAsia="仿宋_GB2312"/>
                <w:color w:val="auto"/>
                <w:kern w:val="0"/>
                <w:sz w:val="18"/>
                <w:szCs w:val="18"/>
              </w:rPr>
              <w:t>—</w:t>
            </w:r>
            <w:r>
              <w:rPr>
                <w:rFonts w:eastAsia="仿宋_GB2312"/>
                <w:color w:val="auto"/>
                <w:kern w:val="0"/>
                <w:sz w:val="18"/>
                <w:szCs w:val="18"/>
              </w:rPr>
              <w:t>重庆特高压直流受端500千伏配套送出工程（二期）项目</w:t>
            </w:r>
          </w:p>
        </w:tc>
        <w:tc>
          <w:tcPr>
            <w:tcW w:w="892"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流域管理机构</w:t>
            </w:r>
          </w:p>
        </w:tc>
        <w:tc>
          <w:tcPr>
            <w:tcW w:w="1691"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5"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涉及省（市、区）</w:t>
            </w:r>
          </w:p>
        </w:tc>
        <w:tc>
          <w:tcPr>
            <w:tcW w:w="496"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重庆市</w:t>
            </w:r>
          </w:p>
        </w:tc>
        <w:tc>
          <w:tcPr>
            <w:tcW w:w="829"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涉及地市或个数</w:t>
            </w:r>
          </w:p>
        </w:tc>
        <w:tc>
          <w:tcPr>
            <w:tcW w:w="295"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w:t>
            </w:r>
          </w:p>
        </w:tc>
        <w:tc>
          <w:tcPr>
            <w:tcW w:w="892"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涉及县或个数</w:t>
            </w:r>
          </w:p>
        </w:tc>
        <w:tc>
          <w:tcPr>
            <w:tcW w:w="1691"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渝北区、北碚区、合川区、铜梁区、璧山区、长寿区、永川区、沙坪坝区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88"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21"/>
                <w:szCs w:val="21"/>
              </w:rPr>
            </w:pPr>
            <w:r>
              <w:rPr>
                <w:rFonts w:eastAsia="仿宋_GB2312"/>
                <w:color w:val="auto"/>
                <w:kern w:val="0"/>
                <w:sz w:val="18"/>
                <w:szCs w:val="18"/>
              </w:rPr>
              <w:t>项目规模</w:t>
            </w:r>
          </w:p>
        </w:tc>
        <w:tc>
          <w:tcPr>
            <w:tcW w:w="2398" w:type="pct"/>
            <w:gridSpan w:val="1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firstLine="360" w:firstLineChars="200"/>
              <w:jc w:val="left"/>
              <w:rPr>
                <w:rFonts w:eastAsia="仿宋_GB2312"/>
                <w:color w:val="auto"/>
                <w:kern w:val="0"/>
                <w:sz w:val="18"/>
                <w:szCs w:val="18"/>
              </w:rPr>
            </w:pPr>
            <w:r>
              <w:rPr>
                <w:rFonts w:eastAsia="仿宋_GB2312"/>
                <w:color w:val="auto"/>
                <w:kern w:val="0"/>
                <w:sz w:val="18"/>
                <w:szCs w:val="18"/>
              </w:rPr>
              <w:t>线路部分包括：渝北换～铜梁特500kV线路工程，金山～明月山500kV线路开断接入渝北换线路工程，思源～长寿500kV线路改接工程，铜梁特～圣泉、板桥～陈家桥500kV线路换接工程，思源～长寿500kV线路增容改造工程，长寿～明月山双回、明月山～石坪双回500kV线路温升改造工程。</w:t>
            </w:r>
          </w:p>
          <w:p>
            <w:pPr>
              <w:keepNext w:val="0"/>
              <w:keepLines w:val="0"/>
              <w:widowControl/>
              <w:suppressLineNumbers w:val="0"/>
              <w:adjustRightInd w:val="0"/>
              <w:spacing w:before="0" w:beforeAutospacing="0" w:after="0" w:afterAutospacing="0" w:line="240" w:lineRule="auto"/>
              <w:ind w:left="0" w:right="0" w:firstLine="360" w:firstLineChars="200"/>
              <w:jc w:val="left"/>
              <w:rPr>
                <w:rFonts w:eastAsia="仿宋_GB2312"/>
                <w:color w:val="auto"/>
                <w:kern w:val="0"/>
                <w:sz w:val="21"/>
                <w:szCs w:val="21"/>
              </w:rPr>
            </w:pPr>
            <w:r>
              <w:rPr>
                <w:rFonts w:eastAsia="仿宋_GB2312"/>
                <w:color w:val="auto"/>
                <w:kern w:val="0"/>
                <w:sz w:val="18"/>
                <w:szCs w:val="18"/>
              </w:rPr>
              <w:t>变电站部分包括：铜梁、长寿、陈家桥、板桥改扩建工程，以及石坪、金山、明月山、思源、圣泉改接工程。</w:t>
            </w:r>
          </w:p>
        </w:tc>
        <w:tc>
          <w:tcPr>
            <w:tcW w:w="623"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总投资</w:t>
            </w:r>
          </w:p>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（万元）</w:t>
            </w:r>
          </w:p>
        </w:tc>
        <w:tc>
          <w:tcPr>
            <w:tcW w:w="461"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kern w:val="0"/>
                <w:sz w:val="18"/>
                <w:szCs w:val="18"/>
              </w:rPr>
              <w:t>157356</w:t>
            </w:r>
          </w:p>
        </w:tc>
        <w:tc>
          <w:tcPr>
            <w:tcW w:w="680"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土建投资</w:t>
            </w:r>
          </w:p>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（万元）</w:t>
            </w:r>
          </w:p>
        </w:tc>
        <w:tc>
          <w:tcPr>
            <w:tcW w:w="447" w:type="pc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64690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5"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动工时间</w:t>
            </w:r>
          </w:p>
        </w:tc>
        <w:tc>
          <w:tcPr>
            <w:tcW w:w="616"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140" w:leftChars="-50" w:right="-140" w:rightChars="-50"/>
              <w:jc w:val="center"/>
              <w:rPr>
                <w:rFonts w:eastAsia="仿宋_GB2312"/>
                <w:color w:val="auto"/>
                <w:kern w:val="0"/>
                <w:sz w:val="18"/>
                <w:szCs w:val="18"/>
              </w:rPr>
            </w:pPr>
            <w:r>
              <w:rPr>
                <w:rFonts w:eastAsia="仿宋_GB2312"/>
                <w:color w:val="auto"/>
                <w:kern w:val="0"/>
                <w:sz w:val="18"/>
                <w:szCs w:val="18"/>
              </w:rPr>
              <w:t>2024年7月</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完工时间</w:t>
            </w:r>
          </w:p>
        </w:tc>
        <w:tc>
          <w:tcPr>
            <w:tcW w:w="702"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2025年12月</w:t>
            </w:r>
          </w:p>
        </w:tc>
        <w:tc>
          <w:tcPr>
            <w:tcW w:w="753"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设计水平年</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2026年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5"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工程占地（hm</w:t>
            </w:r>
            <w:r>
              <w:rPr>
                <w:rFonts w:eastAsia="仿宋_GB2312"/>
                <w:color w:val="auto"/>
                <w:kern w:val="0"/>
                <w:sz w:val="18"/>
                <w:szCs w:val="18"/>
                <w:vertAlign w:val="superscript"/>
              </w:rPr>
              <w:t>2</w:t>
            </w:r>
            <w:r>
              <w:rPr>
                <w:rFonts w:eastAsia="仿宋_GB2312"/>
                <w:color w:val="auto"/>
                <w:kern w:val="0"/>
                <w:sz w:val="18"/>
                <w:szCs w:val="18"/>
              </w:rPr>
              <w:t>）</w:t>
            </w:r>
          </w:p>
        </w:tc>
        <w:tc>
          <w:tcPr>
            <w:tcW w:w="616"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kern w:val="0"/>
                <w:sz w:val="18"/>
                <w:szCs w:val="18"/>
              </w:rPr>
              <w:t>84.56</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永久占地（hm</w:t>
            </w:r>
            <w:r>
              <w:rPr>
                <w:rFonts w:eastAsia="仿宋_GB2312"/>
                <w:color w:val="auto"/>
                <w:kern w:val="0"/>
                <w:sz w:val="18"/>
                <w:szCs w:val="18"/>
                <w:vertAlign w:val="superscript"/>
              </w:rPr>
              <w:t>2</w:t>
            </w:r>
            <w:r>
              <w:rPr>
                <w:rFonts w:eastAsia="仿宋_GB2312"/>
                <w:color w:val="auto"/>
                <w:kern w:val="0"/>
                <w:sz w:val="18"/>
                <w:szCs w:val="18"/>
              </w:rPr>
              <w:t>）</w:t>
            </w:r>
          </w:p>
        </w:tc>
        <w:tc>
          <w:tcPr>
            <w:tcW w:w="546"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22.48</w:t>
            </w:r>
          </w:p>
        </w:tc>
        <w:tc>
          <w:tcPr>
            <w:tcW w:w="909"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临时占地（hm</w:t>
            </w:r>
            <w:r>
              <w:rPr>
                <w:rFonts w:eastAsia="仿宋_GB2312"/>
                <w:color w:val="auto"/>
                <w:kern w:val="0"/>
                <w:sz w:val="18"/>
                <w:szCs w:val="18"/>
                <w:vertAlign w:val="superscript"/>
              </w:rPr>
              <w:t>2</w:t>
            </w:r>
            <w:r>
              <w:rPr>
                <w:rFonts w:eastAsia="仿宋_GB2312"/>
                <w:color w:val="auto"/>
                <w:kern w:val="0"/>
                <w:sz w:val="18"/>
                <w:szCs w:val="18"/>
              </w:rPr>
              <w:t>）</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kern w:val="0"/>
                <w:sz w:val="18"/>
                <w:szCs w:val="18"/>
              </w:rPr>
              <w:t>62.08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土石方量（万m</w:t>
            </w:r>
            <w:r>
              <w:rPr>
                <w:rFonts w:eastAsia="仿宋_GB2312"/>
                <w:color w:val="auto"/>
                <w:kern w:val="0"/>
                <w:sz w:val="18"/>
                <w:szCs w:val="18"/>
                <w:vertAlign w:val="superscript"/>
              </w:rPr>
              <w:t>3</w:t>
            </w:r>
            <w:r>
              <w:rPr>
                <w:rFonts w:eastAsia="仿宋_GB2312"/>
                <w:color w:val="auto"/>
                <w:kern w:val="0"/>
                <w:sz w:val="18"/>
                <w:szCs w:val="18"/>
              </w:rPr>
              <w:t>）</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挖方</w:t>
            </w:r>
          </w:p>
        </w:tc>
        <w:tc>
          <w:tcPr>
            <w:tcW w:w="99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填方</w:t>
            </w:r>
          </w:p>
        </w:tc>
        <w:tc>
          <w:tcPr>
            <w:tcW w:w="822"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借方</w:t>
            </w:r>
          </w:p>
        </w:tc>
        <w:tc>
          <w:tcPr>
            <w:tcW w:w="766"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sz w:val="18"/>
                <w:szCs w:val="18"/>
              </w:rPr>
              <w:t>19.99</w:t>
            </w:r>
          </w:p>
        </w:tc>
        <w:tc>
          <w:tcPr>
            <w:tcW w:w="99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sz w:val="18"/>
                <w:szCs w:val="18"/>
              </w:rPr>
              <w:t>19.99</w:t>
            </w:r>
          </w:p>
        </w:tc>
        <w:tc>
          <w:tcPr>
            <w:tcW w:w="822"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0</w:t>
            </w:r>
          </w:p>
        </w:tc>
        <w:tc>
          <w:tcPr>
            <w:tcW w:w="766"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重点防治区名称</w:t>
            </w:r>
          </w:p>
        </w:tc>
        <w:tc>
          <w:tcPr>
            <w:tcW w:w="3587" w:type="pct"/>
            <w:gridSpan w:val="1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三峡库区国家级水土流失重点治理区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地貌类型</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剥蚀丘陵地貌</w:t>
            </w:r>
          </w:p>
        </w:tc>
        <w:tc>
          <w:tcPr>
            <w:tcW w:w="1456" w:type="pct"/>
            <w:gridSpan w:val="11"/>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水土保持区划</w:t>
            </w:r>
          </w:p>
        </w:tc>
        <w:tc>
          <w:tcPr>
            <w:tcW w:w="1127" w:type="pct"/>
            <w:gridSpan w:val="4"/>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土壤侵蚀类型</w:t>
            </w:r>
          </w:p>
        </w:tc>
        <w:tc>
          <w:tcPr>
            <w:tcW w:w="1004" w:type="pct"/>
            <w:gridSpan w:val="4"/>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水力侵蚀</w:t>
            </w:r>
          </w:p>
        </w:tc>
        <w:tc>
          <w:tcPr>
            <w:tcW w:w="1456" w:type="pct"/>
            <w:gridSpan w:val="11"/>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土壤侵蚀强度</w:t>
            </w:r>
          </w:p>
        </w:tc>
        <w:tc>
          <w:tcPr>
            <w:tcW w:w="1127" w:type="pct"/>
            <w:gridSpan w:val="4"/>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防治责任范围面积（hm</w:t>
            </w:r>
            <w:r>
              <w:rPr>
                <w:rFonts w:eastAsia="仿宋_GB2312"/>
                <w:color w:val="auto"/>
                <w:kern w:val="0"/>
                <w:sz w:val="18"/>
                <w:szCs w:val="18"/>
                <w:vertAlign w:val="superscript"/>
              </w:rPr>
              <w:t>2</w:t>
            </w:r>
            <w:r>
              <w:rPr>
                <w:rFonts w:eastAsia="仿宋_GB2312"/>
                <w:color w:val="auto"/>
                <w:kern w:val="0"/>
                <w:sz w:val="18"/>
                <w:szCs w:val="18"/>
              </w:rPr>
              <w:t>）</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kern w:val="0"/>
                <w:sz w:val="18"/>
                <w:szCs w:val="18"/>
              </w:rPr>
              <w:t>84.56</w:t>
            </w:r>
          </w:p>
        </w:tc>
        <w:tc>
          <w:tcPr>
            <w:tcW w:w="1456" w:type="pct"/>
            <w:gridSpan w:val="11"/>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容许土壤流失量〔t/（km</w:t>
            </w:r>
            <w:r>
              <w:rPr>
                <w:rFonts w:eastAsia="仿宋_GB2312"/>
                <w:color w:val="auto"/>
                <w:kern w:val="0"/>
                <w:sz w:val="18"/>
                <w:szCs w:val="18"/>
                <w:vertAlign w:val="superscript"/>
              </w:rPr>
              <w:t>2</w:t>
            </w:r>
            <w:r>
              <w:rPr>
                <w:rFonts w:eastAsia="仿宋_GB2312"/>
                <w:color w:val="auto"/>
                <w:kern w:val="0"/>
                <w:sz w:val="18"/>
                <w:szCs w:val="18"/>
              </w:rPr>
              <w:t>·a）〕</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水土流失预测总量（t）</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eastAsia="仿宋_GB2312"/>
                <w:color w:val="auto"/>
                <w:kern w:val="0"/>
                <w:sz w:val="18"/>
                <w:szCs w:val="18"/>
                <w:lang w:eastAsia="zh-CN"/>
              </w:rPr>
            </w:pPr>
            <w:r>
              <w:rPr>
                <w:rFonts w:hint="eastAsia" w:eastAsia="仿宋_GB2312"/>
                <w:color w:val="auto"/>
                <w:kern w:val="0"/>
                <w:sz w:val="18"/>
                <w:szCs w:val="18"/>
                <w:lang w:eastAsia="zh-CN"/>
              </w:rPr>
              <w:t>7787</w:t>
            </w:r>
          </w:p>
        </w:tc>
        <w:tc>
          <w:tcPr>
            <w:tcW w:w="1456" w:type="pct"/>
            <w:gridSpan w:val="11"/>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新增水土流失量（t）</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eastAsia="仿宋_GB2312"/>
                <w:color w:val="auto"/>
                <w:kern w:val="0"/>
                <w:sz w:val="18"/>
                <w:szCs w:val="18"/>
                <w:lang w:eastAsia="zh-CN"/>
              </w:rPr>
            </w:pPr>
            <w:r>
              <w:rPr>
                <w:rFonts w:hint="eastAsia" w:eastAsia="仿宋_GB2312"/>
                <w:color w:val="auto"/>
                <w:kern w:val="0"/>
                <w:sz w:val="18"/>
                <w:szCs w:val="18"/>
                <w:lang w:eastAsia="zh-CN"/>
              </w:rPr>
              <w:t>5720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水土流失防治标准执行等级</w:t>
            </w:r>
          </w:p>
        </w:tc>
        <w:tc>
          <w:tcPr>
            <w:tcW w:w="3587" w:type="pct"/>
            <w:gridSpan w:val="1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指标</w:t>
            </w:r>
          </w:p>
        </w:tc>
        <w:tc>
          <w:tcPr>
            <w:tcW w:w="1180"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水土流失治理度（%）</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97</w:t>
            </w:r>
          </w:p>
        </w:tc>
        <w:tc>
          <w:tcPr>
            <w:tcW w:w="99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土壤流失控制比</w:t>
            </w:r>
          </w:p>
        </w:tc>
        <w:tc>
          <w:tcPr>
            <w:tcW w:w="1588"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1180"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渣土防护率（%）</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kern w:val="0"/>
                <w:sz w:val="18"/>
                <w:szCs w:val="18"/>
              </w:rPr>
              <w:t>92</w:t>
            </w:r>
          </w:p>
        </w:tc>
        <w:tc>
          <w:tcPr>
            <w:tcW w:w="99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表土保护率（%）</w:t>
            </w:r>
          </w:p>
        </w:tc>
        <w:tc>
          <w:tcPr>
            <w:tcW w:w="1588"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1180"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林草植被恢复率（%）</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97</w:t>
            </w:r>
          </w:p>
        </w:tc>
        <w:tc>
          <w:tcPr>
            <w:tcW w:w="99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林草覆盖率（%）</w:t>
            </w:r>
          </w:p>
        </w:tc>
        <w:tc>
          <w:tcPr>
            <w:tcW w:w="1588"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防治措施及工程量</w:t>
            </w:r>
          </w:p>
        </w:tc>
        <w:tc>
          <w:tcPr>
            <w:tcW w:w="825"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分区</w:t>
            </w:r>
          </w:p>
        </w:tc>
        <w:tc>
          <w:tcPr>
            <w:tcW w:w="1450"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工程措施</w:t>
            </w:r>
          </w:p>
        </w:tc>
        <w:tc>
          <w:tcPr>
            <w:tcW w:w="1213"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植物措施</w:t>
            </w:r>
          </w:p>
        </w:tc>
        <w:tc>
          <w:tcPr>
            <w:tcW w:w="1279"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317" w:type="pct"/>
            <w:gridSpan w:val="2"/>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变电站工程防治区</w:t>
            </w:r>
          </w:p>
        </w:tc>
        <w:tc>
          <w:tcPr>
            <w:tcW w:w="507"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主体工程防治区</w:t>
            </w:r>
          </w:p>
        </w:tc>
        <w:tc>
          <w:tcPr>
            <w:tcW w:w="1450"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主体设计：土地整治1.53hm</w:t>
            </w:r>
            <w:r>
              <w:rPr>
                <w:rFonts w:eastAsia="仿宋_GB2312"/>
                <w:color w:val="auto"/>
                <w:kern w:val="0"/>
                <w:sz w:val="18"/>
                <w:szCs w:val="18"/>
                <w:vertAlign w:val="superscript"/>
                <w:lang w:bidi="ar"/>
              </w:rPr>
              <w:t>2</w:t>
            </w:r>
          </w:p>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方案新增：表土剥离0.39万m</w:t>
            </w:r>
            <w:r>
              <w:rPr>
                <w:rFonts w:eastAsia="仿宋_GB2312"/>
                <w:color w:val="auto"/>
                <w:kern w:val="0"/>
                <w:sz w:val="18"/>
                <w:szCs w:val="18"/>
                <w:vertAlign w:val="superscript"/>
                <w:lang w:bidi="ar"/>
              </w:rPr>
              <w:t>3</w:t>
            </w:r>
            <w:r>
              <w:rPr>
                <w:rFonts w:eastAsia="仿宋_GB2312"/>
                <w:color w:val="auto"/>
                <w:kern w:val="0"/>
                <w:sz w:val="18"/>
                <w:szCs w:val="18"/>
                <w:lang w:bidi="ar"/>
              </w:rPr>
              <w:t>，表土回覆0.39万m</w:t>
            </w:r>
            <w:r>
              <w:rPr>
                <w:rFonts w:eastAsia="仿宋_GB2312"/>
                <w:color w:val="auto"/>
                <w:kern w:val="0"/>
                <w:sz w:val="18"/>
                <w:szCs w:val="18"/>
                <w:vertAlign w:val="superscript"/>
                <w:lang w:bidi="ar"/>
              </w:rPr>
              <w:t>3</w:t>
            </w:r>
          </w:p>
        </w:tc>
        <w:tc>
          <w:tcPr>
            <w:tcW w:w="1213" w:type="pct"/>
            <w:gridSpan w:val="9"/>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rPr>
            </w:pPr>
            <w:r>
              <w:rPr>
                <w:rFonts w:eastAsia="仿宋_GB2312"/>
                <w:color w:val="auto"/>
                <w:kern w:val="0"/>
                <w:sz w:val="18"/>
                <w:szCs w:val="18"/>
                <w:lang w:bidi="ar"/>
              </w:rPr>
              <w:t>主体设计：植草皮1.53hm</w:t>
            </w:r>
            <w:r>
              <w:rPr>
                <w:rFonts w:eastAsia="仿宋_GB2312"/>
                <w:color w:val="auto"/>
                <w:kern w:val="0"/>
                <w:sz w:val="18"/>
                <w:szCs w:val="18"/>
                <w:vertAlign w:val="superscript"/>
                <w:lang w:bidi="ar"/>
              </w:rPr>
              <w:t>2</w:t>
            </w:r>
          </w:p>
        </w:tc>
        <w:tc>
          <w:tcPr>
            <w:tcW w:w="1279" w:type="pct"/>
            <w:gridSpan w:val="5"/>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eastAsia="仿宋_GB2312"/>
                <w:color w:val="auto"/>
                <w:sz w:val="18"/>
                <w:szCs w:val="18"/>
                <w:lang w:val="en-US" w:eastAsia="zh-CN"/>
              </w:rPr>
            </w:pPr>
            <w:r>
              <w:rPr>
                <w:rFonts w:hint="eastAsia" w:eastAsia="仿宋_GB2312"/>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317" w:type="pct"/>
            <w:gridSpan w:val="2"/>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507"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hint="eastAsia" w:eastAsia="仿宋_GB2312"/>
                <w:color w:val="auto"/>
                <w:kern w:val="0"/>
                <w:sz w:val="18"/>
                <w:szCs w:val="18"/>
              </w:rPr>
              <w:t>临时堆场区</w:t>
            </w:r>
          </w:p>
        </w:tc>
        <w:tc>
          <w:tcPr>
            <w:tcW w:w="1450"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方案新增：土地整治0.36hm</w:t>
            </w:r>
            <w:r>
              <w:rPr>
                <w:rFonts w:eastAsia="仿宋_GB2312"/>
                <w:color w:val="auto"/>
                <w:kern w:val="0"/>
                <w:sz w:val="18"/>
                <w:szCs w:val="18"/>
                <w:vertAlign w:val="superscript"/>
                <w:lang w:bidi="ar"/>
              </w:rPr>
              <w:t>2</w:t>
            </w:r>
          </w:p>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p>
        </w:tc>
        <w:tc>
          <w:tcPr>
            <w:tcW w:w="1213" w:type="pct"/>
            <w:gridSpan w:val="9"/>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方案新增：撒播草籽0.10hm</w:t>
            </w:r>
            <w:r>
              <w:rPr>
                <w:rFonts w:eastAsia="仿宋_GB2312"/>
                <w:color w:val="auto"/>
                <w:kern w:val="0"/>
                <w:sz w:val="18"/>
                <w:szCs w:val="18"/>
                <w:vertAlign w:val="superscript"/>
                <w:lang w:bidi="ar"/>
              </w:rPr>
              <w:t>2</w:t>
            </w:r>
          </w:p>
        </w:tc>
        <w:tc>
          <w:tcPr>
            <w:tcW w:w="1279" w:type="pct"/>
            <w:gridSpan w:val="5"/>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方案新增：彩条布遮盖</w:t>
            </w:r>
            <w:r>
              <w:rPr>
                <w:rFonts w:hint="eastAsia" w:eastAsia="仿宋_GB2312"/>
                <w:color w:val="auto"/>
                <w:kern w:val="0"/>
                <w:sz w:val="18"/>
                <w:szCs w:val="18"/>
                <w:lang w:bidi="ar"/>
              </w:rPr>
              <w:t>2000</w:t>
            </w:r>
            <w:r>
              <w:rPr>
                <w:rFonts w:eastAsia="仿宋_GB2312"/>
                <w:color w:val="auto"/>
                <w:kern w:val="0"/>
                <w:sz w:val="18"/>
                <w:szCs w:val="18"/>
                <w:lang w:bidi="ar"/>
              </w:rPr>
              <w:t>m</w:t>
            </w:r>
            <w:r>
              <w:rPr>
                <w:rFonts w:eastAsia="仿宋_GB2312"/>
                <w:color w:val="auto"/>
                <w:kern w:val="0"/>
                <w:sz w:val="18"/>
                <w:szCs w:val="18"/>
                <w:vertAlign w:val="superscript"/>
                <w:lang w:bidi="ar"/>
              </w:rPr>
              <w:t>2</w:t>
            </w:r>
            <w:r>
              <w:rPr>
                <w:rFonts w:eastAsia="仿宋_GB2312"/>
                <w:color w:val="auto"/>
                <w:kern w:val="0"/>
                <w:sz w:val="18"/>
                <w:szCs w:val="18"/>
                <w:lang w:bidi="ar"/>
              </w:rPr>
              <w:t>，填土编织袋拦挡</w:t>
            </w:r>
            <w:r>
              <w:rPr>
                <w:rFonts w:hint="eastAsia" w:eastAsia="仿宋_GB2312"/>
                <w:color w:val="auto"/>
                <w:kern w:val="0"/>
                <w:sz w:val="18"/>
                <w:szCs w:val="18"/>
                <w:lang w:bidi="ar"/>
              </w:rPr>
              <w:t>320</w:t>
            </w:r>
            <w:r>
              <w:rPr>
                <w:rFonts w:eastAsia="仿宋_GB2312"/>
                <w:color w:val="auto"/>
                <w:kern w:val="0"/>
                <w:sz w:val="18"/>
                <w:szCs w:val="18"/>
                <w:lang w:bidi="ar"/>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317" w:type="pct"/>
            <w:gridSpan w:val="2"/>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线路工程防治区</w:t>
            </w:r>
          </w:p>
        </w:tc>
        <w:tc>
          <w:tcPr>
            <w:tcW w:w="507"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塔基工程防治区</w:t>
            </w:r>
          </w:p>
        </w:tc>
        <w:tc>
          <w:tcPr>
            <w:tcW w:w="1450"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主体设计：排水沟135m，挡土坎</w:t>
            </w:r>
            <w:r>
              <w:rPr>
                <w:rFonts w:hint="eastAsia" w:eastAsia="仿宋_GB2312"/>
                <w:color w:val="auto"/>
                <w:kern w:val="0"/>
                <w:sz w:val="18"/>
                <w:szCs w:val="18"/>
                <w:lang w:bidi="ar"/>
              </w:rPr>
              <w:t>111</w:t>
            </w:r>
            <w:r>
              <w:rPr>
                <w:rFonts w:eastAsia="仿宋_GB2312"/>
                <w:color w:val="auto"/>
                <w:kern w:val="0"/>
                <w:sz w:val="18"/>
                <w:szCs w:val="18"/>
                <w:lang w:bidi="ar"/>
              </w:rPr>
              <w:t>m，土地整治</w:t>
            </w:r>
            <w:r>
              <w:rPr>
                <w:rFonts w:hint="eastAsia" w:eastAsia="仿宋_GB2312"/>
                <w:color w:val="auto"/>
                <w:kern w:val="0"/>
                <w:sz w:val="18"/>
                <w:szCs w:val="18"/>
                <w:lang w:bidi="ar"/>
              </w:rPr>
              <w:t>59.50</w:t>
            </w:r>
            <w:r>
              <w:rPr>
                <w:rFonts w:eastAsia="仿宋_GB2312"/>
                <w:color w:val="auto"/>
                <w:kern w:val="0"/>
                <w:sz w:val="18"/>
                <w:szCs w:val="18"/>
                <w:lang w:bidi="ar"/>
              </w:rPr>
              <w:t>hm</w:t>
            </w:r>
            <w:r>
              <w:rPr>
                <w:rFonts w:eastAsia="仿宋_GB2312"/>
                <w:color w:val="auto"/>
                <w:kern w:val="0"/>
                <w:sz w:val="18"/>
                <w:szCs w:val="18"/>
                <w:vertAlign w:val="superscript"/>
                <w:lang w:bidi="ar"/>
              </w:rPr>
              <w:t>2</w:t>
            </w:r>
          </w:p>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rPr>
            </w:pPr>
            <w:r>
              <w:rPr>
                <w:rFonts w:eastAsia="仿宋_GB2312"/>
                <w:color w:val="auto"/>
                <w:kern w:val="0"/>
                <w:sz w:val="18"/>
                <w:szCs w:val="18"/>
                <w:lang w:bidi="ar"/>
              </w:rPr>
              <w:t>方案新增：</w:t>
            </w:r>
            <w:r>
              <w:rPr>
                <w:rFonts w:hint="eastAsia" w:eastAsia="仿宋_GB2312"/>
                <w:color w:val="auto"/>
                <w:kern w:val="0"/>
                <w:sz w:val="18"/>
                <w:szCs w:val="18"/>
                <w:lang w:bidi="ar"/>
              </w:rPr>
              <w:t>排水沟957m，</w:t>
            </w:r>
            <w:r>
              <w:rPr>
                <w:rFonts w:eastAsia="仿宋_GB2312"/>
                <w:color w:val="auto"/>
                <w:kern w:val="0"/>
                <w:sz w:val="18"/>
                <w:szCs w:val="18"/>
                <w:lang w:bidi="ar"/>
              </w:rPr>
              <w:t>表土剥离</w:t>
            </w:r>
            <w:r>
              <w:rPr>
                <w:rFonts w:hint="eastAsia" w:eastAsia="仿宋_GB2312"/>
                <w:color w:val="auto"/>
                <w:kern w:val="0"/>
                <w:sz w:val="18"/>
                <w:szCs w:val="18"/>
                <w:lang w:bidi="ar"/>
              </w:rPr>
              <w:t>5.07</w:t>
            </w:r>
            <w:r>
              <w:rPr>
                <w:rFonts w:eastAsia="仿宋_GB2312"/>
                <w:color w:val="auto"/>
                <w:kern w:val="0"/>
                <w:sz w:val="18"/>
                <w:szCs w:val="18"/>
                <w:lang w:bidi="ar"/>
              </w:rPr>
              <w:t>万m</w:t>
            </w:r>
            <w:r>
              <w:rPr>
                <w:rFonts w:eastAsia="仿宋_GB2312"/>
                <w:color w:val="auto"/>
                <w:kern w:val="0"/>
                <w:sz w:val="18"/>
                <w:szCs w:val="18"/>
                <w:vertAlign w:val="superscript"/>
                <w:lang w:bidi="ar"/>
              </w:rPr>
              <w:t>3</w:t>
            </w:r>
            <w:r>
              <w:rPr>
                <w:rFonts w:eastAsia="仿宋_GB2312"/>
                <w:color w:val="auto"/>
                <w:kern w:val="0"/>
                <w:sz w:val="18"/>
                <w:szCs w:val="18"/>
                <w:lang w:bidi="ar"/>
              </w:rPr>
              <w:t>，表土回覆</w:t>
            </w:r>
            <w:r>
              <w:rPr>
                <w:rFonts w:hint="eastAsia" w:eastAsia="仿宋_GB2312"/>
                <w:color w:val="auto"/>
                <w:kern w:val="0"/>
                <w:sz w:val="18"/>
                <w:szCs w:val="18"/>
                <w:lang w:bidi="ar"/>
              </w:rPr>
              <w:t>5.07</w:t>
            </w:r>
            <w:r>
              <w:rPr>
                <w:rFonts w:eastAsia="仿宋_GB2312"/>
                <w:color w:val="auto"/>
                <w:kern w:val="0"/>
                <w:sz w:val="18"/>
                <w:szCs w:val="18"/>
                <w:lang w:bidi="ar"/>
              </w:rPr>
              <w:t>万m</w:t>
            </w:r>
            <w:r>
              <w:rPr>
                <w:rFonts w:eastAsia="仿宋_GB2312"/>
                <w:color w:val="auto"/>
                <w:kern w:val="0"/>
                <w:sz w:val="18"/>
                <w:szCs w:val="18"/>
                <w:vertAlign w:val="superscript"/>
                <w:lang w:bidi="ar"/>
              </w:rPr>
              <w:t>3</w:t>
            </w:r>
          </w:p>
        </w:tc>
        <w:tc>
          <w:tcPr>
            <w:tcW w:w="1213" w:type="pct"/>
            <w:gridSpan w:val="9"/>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rPr>
            </w:pPr>
            <w:r>
              <w:rPr>
                <w:rFonts w:eastAsia="仿宋_GB2312"/>
                <w:color w:val="auto"/>
                <w:kern w:val="0"/>
                <w:sz w:val="18"/>
                <w:szCs w:val="18"/>
                <w:lang w:bidi="ar"/>
              </w:rPr>
              <w:t>主体设计：栽植</w:t>
            </w:r>
            <w:r>
              <w:rPr>
                <w:rFonts w:hint="eastAsia" w:eastAsia="仿宋_GB2312"/>
                <w:color w:val="auto"/>
                <w:kern w:val="0"/>
                <w:sz w:val="18"/>
                <w:szCs w:val="18"/>
                <w:lang w:bidi="ar"/>
              </w:rPr>
              <w:t>乔灌木22428</w:t>
            </w:r>
            <w:r>
              <w:rPr>
                <w:rFonts w:eastAsia="仿宋_GB2312"/>
                <w:color w:val="auto"/>
                <w:kern w:val="0"/>
                <w:sz w:val="18"/>
                <w:szCs w:val="18"/>
                <w:lang w:bidi="ar"/>
              </w:rPr>
              <w:t>株，撒播草籽</w:t>
            </w:r>
            <w:r>
              <w:rPr>
                <w:rFonts w:hint="eastAsia" w:eastAsia="仿宋_GB2312"/>
                <w:color w:val="auto"/>
                <w:kern w:val="0"/>
                <w:sz w:val="18"/>
                <w:szCs w:val="18"/>
                <w:lang w:bidi="ar"/>
              </w:rPr>
              <w:t>28.35</w:t>
            </w:r>
            <w:r>
              <w:rPr>
                <w:rFonts w:eastAsia="仿宋_GB2312"/>
                <w:color w:val="auto"/>
                <w:kern w:val="0"/>
                <w:sz w:val="18"/>
                <w:szCs w:val="18"/>
                <w:lang w:bidi="ar"/>
              </w:rPr>
              <w:t>hm</w:t>
            </w:r>
            <w:r>
              <w:rPr>
                <w:rFonts w:eastAsia="仿宋_GB2312"/>
                <w:color w:val="auto"/>
                <w:kern w:val="0"/>
                <w:sz w:val="18"/>
                <w:szCs w:val="18"/>
                <w:vertAlign w:val="superscript"/>
                <w:lang w:bidi="ar"/>
              </w:rPr>
              <w:t>2</w:t>
            </w:r>
          </w:p>
        </w:tc>
        <w:tc>
          <w:tcPr>
            <w:tcW w:w="1279" w:type="pct"/>
            <w:gridSpan w:val="5"/>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sz w:val="18"/>
                <w:szCs w:val="18"/>
              </w:rPr>
            </w:pPr>
            <w:r>
              <w:rPr>
                <w:rFonts w:eastAsia="仿宋_GB2312"/>
                <w:color w:val="auto"/>
                <w:kern w:val="0"/>
                <w:sz w:val="18"/>
                <w:szCs w:val="18"/>
                <w:lang w:bidi="ar"/>
              </w:rPr>
              <w:t>方案新增：填土编织袋拦挡11300m，彩条布遮盖13120m</w:t>
            </w:r>
            <w:r>
              <w:rPr>
                <w:rFonts w:eastAsia="仿宋_GB2312"/>
                <w:color w:val="auto"/>
                <w:kern w:val="0"/>
                <w:sz w:val="18"/>
                <w:szCs w:val="18"/>
                <w:vertAlign w:val="superscript"/>
                <w:lang w:bidi="ar"/>
              </w:rPr>
              <w:t>2</w:t>
            </w:r>
            <w:r>
              <w:rPr>
                <w:rFonts w:eastAsia="仿宋_GB2312"/>
                <w:color w:val="auto"/>
                <w:kern w:val="0"/>
                <w:sz w:val="18"/>
                <w:szCs w:val="18"/>
                <w:lang w:bidi="ar"/>
              </w:rPr>
              <w:t>，临时沉沙池34口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317" w:type="pct"/>
            <w:gridSpan w:val="2"/>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p>
        </w:tc>
        <w:tc>
          <w:tcPr>
            <w:tcW w:w="507"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施工便道防治区</w:t>
            </w:r>
          </w:p>
        </w:tc>
        <w:tc>
          <w:tcPr>
            <w:tcW w:w="1450"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主体设计：土地整治</w:t>
            </w:r>
            <w:r>
              <w:rPr>
                <w:rFonts w:hint="eastAsia" w:eastAsia="仿宋_GB2312"/>
                <w:color w:val="auto"/>
                <w:kern w:val="0"/>
                <w:sz w:val="18"/>
                <w:szCs w:val="18"/>
                <w:lang w:bidi="ar"/>
              </w:rPr>
              <w:t>15.52</w:t>
            </w:r>
            <w:r>
              <w:rPr>
                <w:rFonts w:eastAsia="仿宋_GB2312"/>
                <w:color w:val="auto"/>
                <w:kern w:val="0"/>
                <w:sz w:val="18"/>
                <w:szCs w:val="18"/>
                <w:lang w:bidi="ar"/>
              </w:rPr>
              <w:t>hm</w:t>
            </w:r>
            <w:r>
              <w:rPr>
                <w:rFonts w:eastAsia="仿宋_GB2312"/>
                <w:color w:val="auto"/>
                <w:kern w:val="0"/>
                <w:sz w:val="18"/>
                <w:szCs w:val="18"/>
                <w:vertAlign w:val="superscript"/>
                <w:lang w:bidi="ar"/>
              </w:rPr>
              <w:t>2</w:t>
            </w:r>
          </w:p>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方案新增：表土剥离</w:t>
            </w:r>
            <w:r>
              <w:rPr>
                <w:rFonts w:hint="eastAsia" w:eastAsia="仿宋_GB2312"/>
                <w:color w:val="auto"/>
                <w:kern w:val="0"/>
                <w:sz w:val="18"/>
                <w:szCs w:val="18"/>
                <w:lang w:bidi="ar"/>
              </w:rPr>
              <w:t>3.53</w:t>
            </w:r>
            <w:r>
              <w:rPr>
                <w:rFonts w:eastAsia="仿宋_GB2312"/>
                <w:color w:val="auto"/>
                <w:kern w:val="0"/>
                <w:sz w:val="18"/>
                <w:szCs w:val="18"/>
                <w:lang w:bidi="ar"/>
              </w:rPr>
              <w:t>万m</w:t>
            </w:r>
            <w:r>
              <w:rPr>
                <w:rFonts w:eastAsia="仿宋_GB2312"/>
                <w:color w:val="auto"/>
                <w:kern w:val="0"/>
                <w:sz w:val="18"/>
                <w:szCs w:val="18"/>
                <w:vertAlign w:val="superscript"/>
                <w:lang w:bidi="ar"/>
              </w:rPr>
              <w:t>3</w:t>
            </w:r>
            <w:r>
              <w:rPr>
                <w:rFonts w:eastAsia="仿宋_GB2312"/>
                <w:color w:val="auto"/>
                <w:kern w:val="0"/>
                <w:sz w:val="18"/>
                <w:szCs w:val="18"/>
                <w:lang w:bidi="ar"/>
              </w:rPr>
              <w:t>，表土回覆</w:t>
            </w:r>
            <w:r>
              <w:rPr>
                <w:rFonts w:hint="eastAsia" w:eastAsia="仿宋_GB2312"/>
                <w:color w:val="auto"/>
                <w:kern w:val="0"/>
                <w:sz w:val="18"/>
                <w:szCs w:val="18"/>
                <w:lang w:bidi="ar"/>
              </w:rPr>
              <w:t>3.53</w:t>
            </w:r>
            <w:r>
              <w:rPr>
                <w:rFonts w:eastAsia="仿宋_GB2312"/>
                <w:color w:val="auto"/>
                <w:kern w:val="0"/>
                <w:sz w:val="18"/>
                <w:szCs w:val="18"/>
                <w:lang w:bidi="ar"/>
              </w:rPr>
              <w:t>万m</w:t>
            </w:r>
            <w:r>
              <w:rPr>
                <w:rFonts w:eastAsia="仿宋_GB2312"/>
                <w:color w:val="auto"/>
                <w:kern w:val="0"/>
                <w:sz w:val="18"/>
                <w:szCs w:val="18"/>
                <w:vertAlign w:val="superscript"/>
                <w:lang w:bidi="ar"/>
              </w:rPr>
              <w:t>3</w:t>
            </w:r>
          </w:p>
        </w:tc>
        <w:tc>
          <w:tcPr>
            <w:tcW w:w="1213" w:type="pct"/>
            <w:gridSpan w:val="9"/>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bCs/>
                <w:color w:val="auto"/>
                <w:kern w:val="0"/>
                <w:sz w:val="18"/>
                <w:szCs w:val="18"/>
                <w:lang w:bidi="en-US"/>
              </w:rPr>
            </w:pPr>
            <w:r>
              <w:rPr>
                <w:rFonts w:eastAsia="仿宋_GB2312"/>
                <w:color w:val="auto"/>
                <w:kern w:val="0"/>
                <w:sz w:val="18"/>
                <w:szCs w:val="18"/>
                <w:lang w:bidi="ar"/>
              </w:rPr>
              <w:t>主体设计：栽植</w:t>
            </w:r>
            <w:r>
              <w:rPr>
                <w:rFonts w:hint="eastAsia" w:eastAsia="仿宋_GB2312"/>
                <w:color w:val="auto"/>
                <w:kern w:val="0"/>
                <w:sz w:val="18"/>
                <w:szCs w:val="18"/>
                <w:lang w:bidi="ar"/>
              </w:rPr>
              <w:t>乔灌木11339</w:t>
            </w:r>
            <w:r>
              <w:rPr>
                <w:rFonts w:eastAsia="仿宋_GB2312"/>
                <w:color w:val="auto"/>
                <w:kern w:val="0"/>
                <w:sz w:val="18"/>
                <w:szCs w:val="18"/>
                <w:lang w:bidi="ar"/>
              </w:rPr>
              <w:t>株，撒播草籽</w:t>
            </w:r>
            <w:r>
              <w:rPr>
                <w:rFonts w:hint="eastAsia" w:eastAsia="仿宋_GB2312"/>
                <w:color w:val="auto"/>
                <w:kern w:val="0"/>
                <w:sz w:val="18"/>
                <w:szCs w:val="18"/>
                <w:lang w:bidi="ar"/>
              </w:rPr>
              <w:t>9.52</w:t>
            </w:r>
            <w:r>
              <w:rPr>
                <w:rFonts w:eastAsia="仿宋_GB2312"/>
                <w:color w:val="auto"/>
                <w:kern w:val="0"/>
                <w:sz w:val="18"/>
                <w:szCs w:val="18"/>
                <w:lang w:bidi="ar"/>
              </w:rPr>
              <w:t>hm</w:t>
            </w:r>
            <w:r>
              <w:rPr>
                <w:rFonts w:eastAsia="仿宋_GB2312"/>
                <w:color w:val="auto"/>
                <w:kern w:val="0"/>
                <w:sz w:val="18"/>
                <w:szCs w:val="18"/>
                <w:vertAlign w:val="superscript"/>
                <w:lang w:bidi="ar"/>
              </w:rPr>
              <w:t>2</w:t>
            </w:r>
          </w:p>
        </w:tc>
        <w:tc>
          <w:tcPr>
            <w:tcW w:w="1279" w:type="pct"/>
            <w:gridSpan w:val="5"/>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sz w:val="18"/>
                <w:szCs w:val="18"/>
              </w:rPr>
            </w:pPr>
            <w:r>
              <w:rPr>
                <w:rFonts w:eastAsia="仿宋_GB2312"/>
                <w:color w:val="auto"/>
                <w:kern w:val="0"/>
                <w:sz w:val="18"/>
                <w:szCs w:val="18"/>
                <w:lang w:bidi="ar"/>
              </w:rPr>
              <w:t>方案新增：临时排水沟10480m，临时沉沙池71口，填土编织袋拦挡3650m</w:t>
            </w:r>
            <w:r>
              <w:rPr>
                <w:rFonts w:eastAsia="仿宋_GB2312"/>
                <w:color w:val="auto"/>
                <w:sz w:val="24"/>
              </w:rPr>
              <w:t>，</w:t>
            </w:r>
            <w:r>
              <w:rPr>
                <w:rFonts w:eastAsia="仿宋_GB2312"/>
                <w:color w:val="auto"/>
                <w:kern w:val="0"/>
                <w:sz w:val="18"/>
                <w:szCs w:val="18"/>
                <w:lang w:bidi="ar"/>
              </w:rPr>
              <w:t>彩条布遮盖14500m</w:t>
            </w:r>
            <w:r>
              <w:rPr>
                <w:rFonts w:eastAsia="仿宋_GB2312"/>
                <w:color w:val="auto"/>
                <w:kern w:val="0"/>
                <w:sz w:val="18"/>
                <w:szCs w:val="18"/>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317" w:type="pct"/>
            <w:gridSpan w:val="2"/>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p>
        </w:tc>
        <w:tc>
          <w:tcPr>
            <w:tcW w:w="507"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牵张场防治区</w:t>
            </w:r>
          </w:p>
        </w:tc>
        <w:tc>
          <w:tcPr>
            <w:tcW w:w="1450"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主体设计：土地整治</w:t>
            </w:r>
            <w:r>
              <w:rPr>
                <w:rFonts w:hint="eastAsia" w:eastAsia="仿宋_GB2312"/>
                <w:color w:val="auto"/>
                <w:kern w:val="0"/>
                <w:sz w:val="18"/>
                <w:szCs w:val="18"/>
                <w:lang w:bidi="ar"/>
              </w:rPr>
              <w:t>5.60</w:t>
            </w:r>
            <w:r>
              <w:rPr>
                <w:rFonts w:eastAsia="仿宋_GB2312"/>
                <w:color w:val="auto"/>
                <w:kern w:val="0"/>
                <w:sz w:val="18"/>
                <w:szCs w:val="18"/>
                <w:lang w:bidi="ar"/>
              </w:rPr>
              <w:t>hm</w:t>
            </w:r>
            <w:r>
              <w:rPr>
                <w:rFonts w:eastAsia="仿宋_GB2312"/>
                <w:color w:val="auto"/>
                <w:kern w:val="0"/>
                <w:sz w:val="18"/>
                <w:szCs w:val="18"/>
                <w:vertAlign w:val="superscript"/>
                <w:lang w:bidi="ar"/>
              </w:rPr>
              <w:t>2</w:t>
            </w:r>
          </w:p>
        </w:tc>
        <w:tc>
          <w:tcPr>
            <w:tcW w:w="1213" w:type="pct"/>
            <w:gridSpan w:val="9"/>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bCs/>
                <w:color w:val="auto"/>
                <w:kern w:val="0"/>
                <w:sz w:val="18"/>
                <w:szCs w:val="18"/>
                <w:lang w:bidi="en-US"/>
              </w:rPr>
            </w:pPr>
            <w:r>
              <w:rPr>
                <w:rFonts w:eastAsia="仿宋_GB2312"/>
                <w:color w:val="auto"/>
                <w:kern w:val="0"/>
                <w:sz w:val="18"/>
                <w:szCs w:val="18"/>
                <w:lang w:bidi="ar"/>
              </w:rPr>
              <w:t>主体设计：栽植</w:t>
            </w:r>
            <w:r>
              <w:rPr>
                <w:rFonts w:hint="eastAsia" w:eastAsia="仿宋_GB2312"/>
                <w:color w:val="auto"/>
                <w:kern w:val="0"/>
                <w:sz w:val="18"/>
                <w:szCs w:val="18"/>
                <w:lang w:bidi="ar"/>
              </w:rPr>
              <w:t>乔灌木100</w:t>
            </w:r>
            <w:r>
              <w:rPr>
                <w:rFonts w:eastAsia="仿宋_GB2312"/>
                <w:color w:val="auto"/>
                <w:kern w:val="0"/>
                <w:sz w:val="18"/>
                <w:szCs w:val="18"/>
                <w:lang w:bidi="ar"/>
              </w:rPr>
              <w:t>株，撒播草籽</w:t>
            </w:r>
            <w:r>
              <w:rPr>
                <w:rFonts w:hint="eastAsia" w:eastAsia="仿宋_GB2312"/>
                <w:color w:val="auto"/>
                <w:kern w:val="0"/>
                <w:sz w:val="18"/>
                <w:szCs w:val="18"/>
                <w:lang w:bidi="ar"/>
              </w:rPr>
              <w:t>1.38</w:t>
            </w:r>
            <w:r>
              <w:rPr>
                <w:rFonts w:eastAsia="仿宋_GB2312"/>
                <w:color w:val="auto"/>
                <w:kern w:val="0"/>
                <w:sz w:val="18"/>
                <w:szCs w:val="18"/>
                <w:lang w:bidi="ar"/>
              </w:rPr>
              <w:t>hm</w:t>
            </w:r>
            <w:r>
              <w:rPr>
                <w:rFonts w:eastAsia="仿宋_GB2312"/>
                <w:color w:val="auto"/>
                <w:kern w:val="0"/>
                <w:sz w:val="18"/>
                <w:szCs w:val="18"/>
                <w:vertAlign w:val="superscript"/>
                <w:lang w:bidi="ar"/>
              </w:rPr>
              <w:t>2</w:t>
            </w:r>
          </w:p>
        </w:tc>
        <w:tc>
          <w:tcPr>
            <w:tcW w:w="1279" w:type="pct"/>
            <w:gridSpan w:val="5"/>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sz w:val="18"/>
                <w:szCs w:val="18"/>
              </w:rPr>
            </w:pPr>
            <w:r>
              <w:rPr>
                <w:rFonts w:eastAsia="仿宋_GB2312"/>
                <w:color w:val="auto"/>
                <w:kern w:val="0"/>
                <w:sz w:val="18"/>
                <w:szCs w:val="18"/>
                <w:lang w:bidi="ar"/>
              </w:rPr>
              <w:t>方案新增：铺垫棕垫</w:t>
            </w:r>
            <w:r>
              <w:rPr>
                <w:rFonts w:hint="eastAsia" w:eastAsia="仿宋_GB2312"/>
                <w:color w:val="auto"/>
                <w:kern w:val="0"/>
                <w:sz w:val="18"/>
                <w:szCs w:val="18"/>
                <w:lang w:bidi="ar"/>
              </w:rPr>
              <w:t>6000</w:t>
            </w:r>
            <w:r>
              <w:rPr>
                <w:rFonts w:eastAsia="仿宋_GB2312"/>
                <w:color w:val="auto"/>
                <w:kern w:val="0"/>
                <w:sz w:val="18"/>
                <w:szCs w:val="18"/>
                <w:lang w:bidi="ar"/>
              </w:rPr>
              <w:t>m</w:t>
            </w:r>
            <w:r>
              <w:rPr>
                <w:rFonts w:eastAsia="仿宋_GB2312"/>
                <w:color w:val="auto"/>
                <w:kern w:val="0"/>
                <w:sz w:val="18"/>
                <w:szCs w:val="18"/>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p>
        </w:tc>
        <w:tc>
          <w:tcPr>
            <w:tcW w:w="317" w:type="pct"/>
            <w:gridSpan w:val="2"/>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p>
        </w:tc>
        <w:tc>
          <w:tcPr>
            <w:tcW w:w="507"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跨越施工场地防治区</w:t>
            </w:r>
          </w:p>
        </w:tc>
        <w:tc>
          <w:tcPr>
            <w:tcW w:w="1450"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color w:val="auto"/>
                <w:kern w:val="0"/>
                <w:sz w:val="18"/>
                <w:szCs w:val="18"/>
                <w:lang w:bidi="ar"/>
              </w:rPr>
            </w:pPr>
            <w:r>
              <w:rPr>
                <w:rFonts w:eastAsia="仿宋_GB2312"/>
                <w:color w:val="auto"/>
                <w:kern w:val="0"/>
                <w:sz w:val="18"/>
                <w:szCs w:val="18"/>
                <w:lang w:bidi="ar"/>
              </w:rPr>
              <w:t>主体设计：土地整治1.</w:t>
            </w:r>
            <w:r>
              <w:rPr>
                <w:rFonts w:hint="eastAsia" w:eastAsia="仿宋_GB2312"/>
                <w:color w:val="auto"/>
                <w:kern w:val="0"/>
                <w:sz w:val="18"/>
                <w:szCs w:val="18"/>
                <w:lang w:bidi="ar"/>
              </w:rPr>
              <w:t>05</w:t>
            </w:r>
            <w:r>
              <w:rPr>
                <w:rFonts w:eastAsia="仿宋_GB2312"/>
                <w:color w:val="auto"/>
                <w:kern w:val="0"/>
                <w:sz w:val="18"/>
                <w:szCs w:val="18"/>
                <w:lang w:bidi="ar"/>
              </w:rPr>
              <w:t>hm</w:t>
            </w:r>
            <w:r>
              <w:rPr>
                <w:rFonts w:eastAsia="仿宋_GB2312"/>
                <w:color w:val="auto"/>
                <w:kern w:val="0"/>
                <w:sz w:val="18"/>
                <w:szCs w:val="18"/>
                <w:vertAlign w:val="superscript"/>
                <w:lang w:bidi="ar"/>
              </w:rPr>
              <w:t>2</w:t>
            </w:r>
          </w:p>
        </w:tc>
        <w:tc>
          <w:tcPr>
            <w:tcW w:w="1213" w:type="pct"/>
            <w:gridSpan w:val="9"/>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textAlignment w:val="center"/>
              <w:rPr>
                <w:rFonts w:eastAsia="仿宋_GB2312"/>
                <w:bCs/>
                <w:color w:val="auto"/>
                <w:kern w:val="0"/>
                <w:sz w:val="18"/>
                <w:szCs w:val="18"/>
                <w:lang w:bidi="en-US"/>
              </w:rPr>
            </w:pPr>
            <w:r>
              <w:rPr>
                <w:rFonts w:eastAsia="仿宋_GB2312"/>
                <w:color w:val="auto"/>
                <w:kern w:val="0"/>
                <w:sz w:val="18"/>
                <w:szCs w:val="18"/>
                <w:lang w:bidi="ar"/>
              </w:rPr>
              <w:t>主体设计：栽植</w:t>
            </w:r>
            <w:r>
              <w:rPr>
                <w:rFonts w:hint="eastAsia" w:eastAsia="仿宋_GB2312"/>
                <w:color w:val="auto"/>
                <w:kern w:val="0"/>
                <w:sz w:val="18"/>
                <w:szCs w:val="18"/>
                <w:lang w:bidi="ar"/>
              </w:rPr>
              <w:t>乔灌木1066</w:t>
            </w:r>
            <w:r>
              <w:rPr>
                <w:rFonts w:eastAsia="仿宋_GB2312"/>
                <w:color w:val="auto"/>
                <w:kern w:val="0"/>
                <w:sz w:val="18"/>
                <w:szCs w:val="18"/>
                <w:lang w:bidi="ar"/>
              </w:rPr>
              <w:t>株，撒播草籽0.</w:t>
            </w:r>
            <w:r>
              <w:rPr>
                <w:rFonts w:hint="eastAsia" w:eastAsia="仿宋_GB2312"/>
                <w:color w:val="auto"/>
                <w:kern w:val="0"/>
                <w:sz w:val="18"/>
                <w:szCs w:val="18"/>
                <w:lang w:bidi="ar"/>
              </w:rPr>
              <w:t>80</w:t>
            </w:r>
            <w:r>
              <w:rPr>
                <w:rFonts w:eastAsia="仿宋_GB2312"/>
                <w:color w:val="auto"/>
                <w:kern w:val="0"/>
                <w:sz w:val="18"/>
                <w:szCs w:val="18"/>
                <w:lang w:bidi="ar"/>
              </w:rPr>
              <w:t>hm</w:t>
            </w:r>
            <w:r>
              <w:rPr>
                <w:rFonts w:eastAsia="仿宋_GB2312"/>
                <w:color w:val="auto"/>
                <w:kern w:val="0"/>
                <w:sz w:val="18"/>
                <w:szCs w:val="18"/>
                <w:vertAlign w:val="superscript"/>
                <w:lang w:bidi="ar"/>
              </w:rPr>
              <w:t>2</w:t>
            </w:r>
          </w:p>
        </w:tc>
        <w:tc>
          <w:tcPr>
            <w:tcW w:w="1279" w:type="pct"/>
            <w:gridSpan w:val="5"/>
            <w:tcBorders>
              <w:tl2br w:val="nil"/>
              <w:tr2bl w:val="nil"/>
            </w:tcBorders>
            <w:vAlign w:val="center"/>
          </w:tcPr>
          <w:p>
            <w:pPr>
              <w:keepNext w:val="0"/>
              <w:keepLines w:val="0"/>
              <w:widowControl/>
              <w:suppressLineNumbers w:val="0"/>
              <w:spacing w:before="0" w:beforeAutospacing="0" w:after="0" w:afterAutospacing="0" w:line="240" w:lineRule="auto"/>
              <w:ind w:left="0" w:right="0"/>
              <w:jc w:val="left"/>
              <w:rPr>
                <w:rFonts w:eastAsia="仿宋_GB2312"/>
                <w:color w:val="auto"/>
                <w:sz w:val="18"/>
                <w:szCs w:val="18"/>
              </w:rPr>
            </w:pPr>
            <w:r>
              <w:rPr>
                <w:rFonts w:eastAsia="仿宋_GB2312"/>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56"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投资（万元）</w:t>
            </w:r>
          </w:p>
        </w:tc>
        <w:tc>
          <w:tcPr>
            <w:tcW w:w="1450"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主体设计：</w:t>
            </w:r>
            <w:r>
              <w:rPr>
                <w:rFonts w:hint="eastAsia" w:eastAsia="仿宋_GB2312"/>
                <w:color w:val="auto"/>
                <w:kern w:val="0"/>
                <w:sz w:val="18"/>
                <w:szCs w:val="18"/>
              </w:rPr>
              <w:t>320.98</w:t>
            </w:r>
          </w:p>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方案新增：</w:t>
            </w:r>
            <w:r>
              <w:rPr>
                <w:rFonts w:hint="eastAsia" w:eastAsia="仿宋_GB2312"/>
                <w:color w:val="auto"/>
                <w:kern w:val="0"/>
                <w:sz w:val="18"/>
                <w:szCs w:val="18"/>
              </w:rPr>
              <w:t>244.61</w:t>
            </w:r>
          </w:p>
        </w:tc>
        <w:tc>
          <w:tcPr>
            <w:tcW w:w="1213"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主体设计：</w:t>
            </w:r>
            <w:r>
              <w:rPr>
                <w:rFonts w:hint="eastAsia" w:eastAsia="仿宋_GB2312"/>
                <w:color w:val="auto"/>
                <w:kern w:val="0"/>
                <w:sz w:val="18"/>
                <w:szCs w:val="18"/>
              </w:rPr>
              <w:t>128.04</w:t>
            </w:r>
          </w:p>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24"/>
              </w:rPr>
            </w:pPr>
            <w:r>
              <w:rPr>
                <w:rFonts w:eastAsia="仿宋_GB2312"/>
                <w:color w:val="auto"/>
                <w:kern w:val="0"/>
                <w:sz w:val="18"/>
                <w:szCs w:val="18"/>
              </w:rPr>
              <w:t>方案新增：0.07</w:t>
            </w:r>
          </w:p>
        </w:tc>
        <w:tc>
          <w:tcPr>
            <w:tcW w:w="1279"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kern w:val="0"/>
                <w:sz w:val="18"/>
                <w:szCs w:val="18"/>
              </w:rPr>
              <w:t>方案新增：</w:t>
            </w:r>
            <w:r>
              <w:rPr>
                <w:rFonts w:hint="eastAsia" w:eastAsia="仿宋_GB2312"/>
                <w:color w:val="auto"/>
                <w:kern w:val="0"/>
                <w:sz w:val="18"/>
                <w:szCs w:val="18"/>
              </w:rPr>
              <w:t>255.79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9"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水土保持总投资（万元）</w:t>
            </w:r>
          </w:p>
        </w:tc>
        <w:tc>
          <w:tcPr>
            <w:tcW w:w="2257" w:type="pct"/>
            <w:gridSpan w:val="1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hint="eastAsia" w:eastAsia="仿宋_GB2312"/>
                <w:color w:val="auto"/>
                <w:kern w:val="0"/>
                <w:sz w:val="18"/>
                <w:szCs w:val="18"/>
              </w:rPr>
              <w:t>1267.0</w:t>
            </w:r>
            <w:r>
              <w:rPr>
                <w:rFonts w:hint="eastAsia" w:eastAsia="仿宋_GB2312"/>
                <w:color w:val="auto"/>
                <w:kern w:val="0"/>
                <w:sz w:val="18"/>
                <w:szCs w:val="18"/>
                <w:lang w:val="en-US" w:eastAsia="zh-CN"/>
              </w:rPr>
              <w:t>5</w:t>
            </w:r>
            <w:r>
              <w:rPr>
                <w:rFonts w:eastAsia="仿宋_GB2312"/>
                <w:color w:val="auto"/>
                <w:kern w:val="0"/>
                <w:sz w:val="18"/>
                <w:szCs w:val="18"/>
              </w:rPr>
              <w:t>（方案新增</w:t>
            </w:r>
            <w:r>
              <w:rPr>
                <w:rFonts w:hint="eastAsia" w:eastAsia="仿宋_GB2312"/>
                <w:color w:val="auto"/>
                <w:kern w:val="0"/>
                <w:sz w:val="18"/>
                <w:szCs w:val="18"/>
              </w:rPr>
              <w:t>818.0</w:t>
            </w:r>
            <w:r>
              <w:rPr>
                <w:rFonts w:hint="eastAsia" w:eastAsia="仿宋_GB2312"/>
                <w:color w:val="auto"/>
                <w:kern w:val="0"/>
                <w:sz w:val="18"/>
                <w:szCs w:val="18"/>
                <w:lang w:val="en-US" w:eastAsia="zh-CN"/>
              </w:rPr>
              <w:t>3</w:t>
            </w:r>
            <w:r>
              <w:rPr>
                <w:rFonts w:eastAsia="仿宋_GB2312"/>
                <w:color w:val="auto"/>
                <w:kern w:val="0"/>
                <w:sz w:val="18"/>
                <w:szCs w:val="18"/>
              </w:rPr>
              <w:t>）</w:t>
            </w:r>
          </w:p>
        </w:tc>
        <w:tc>
          <w:tcPr>
            <w:tcW w:w="901"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独立费（万元）</w:t>
            </w:r>
          </w:p>
        </w:tc>
        <w:tc>
          <w:tcPr>
            <w:tcW w:w="631"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hint="eastAsia" w:eastAsia="仿宋_GB2312"/>
                <w:color w:val="auto"/>
                <w:sz w:val="18"/>
                <w:szCs w:val="18"/>
              </w:rPr>
              <w:t>89.03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9"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监理费（万元）</w:t>
            </w:r>
          </w:p>
        </w:tc>
        <w:tc>
          <w:tcPr>
            <w:tcW w:w="685"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hint="eastAsia" w:eastAsia="仿宋_GB2312"/>
                <w:color w:val="auto"/>
                <w:sz w:val="18"/>
                <w:szCs w:val="18"/>
              </w:rPr>
              <w:t>19.04</w:t>
            </w:r>
          </w:p>
        </w:tc>
        <w:tc>
          <w:tcPr>
            <w:tcW w:w="80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监测费（万元）</w:t>
            </w:r>
          </w:p>
        </w:tc>
        <w:tc>
          <w:tcPr>
            <w:tcW w:w="763"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hint="eastAsia" w:eastAsia="仿宋_GB2312"/>
                <w:color w:val="auto"/>
                <w:sz w:val="18"/>
                <w:szCs w:val="18"/>
              </w:rPr>
              <w:t>70.55</w:t>
            </w:r>
          </w:p>
        </w:tc>
        <w:tc>
          <w:tcPr>
            <w:tcW w:w="901"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kern w:val="0"/>
                <w:sz w:val="18"/>
                <w:szCs w:val="18"/>
              </w:rPr>
              <w:t>补偿费（万元）</w:t>
            </w:r>
          </w:p>
        </w:tc>
        <w:tc>
          <w:tcPr>
            <w:tcW w:w="631"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eastAsia="仿宋_GB2312"/>
                <w:color w:val="auto"/>
                <w:sz w:val="18"/>
                <w:szCs w:val="18"/>
                <w:lang w:val="en-US" w:eastAsia="zh-CN"/>
              </w:rPr>
            </w:pPr>
            <w:r>
              <w:rPr>
                <w:rFonts w:hint="eastAsia" w:eastAsia="仿宋_GB2312"/>
                <w:color w:val="auto"/>
                <w:sz w:val="18"/>
                <w:szCs w:val="18"/>
              </w:rPr>
              <w:t>118.3</w:t>
            </w:r>
            <w:r>
              <w:rPr>
                <w:rFonts w:hint="eastAsia" w:eastAsia="仿宋_GB2312"/>
                <w:color w:val="auto"/>
                <w:sz w:val="18"/>
                <w:szCs w:val="18"/>
                <w:lang w:val="en-US" w:eastAsia="zh-CN"/>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5"/>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方案编制单位</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140" w:leftChars="-50" w:right="-140" w:rightChars="-50"/>
              <w:jc w:val="center"/>
              <w:rPr>
                <w:rFonts w:eastAsia="仿宋_GB2312"/>
                <w:color w:val="auto"/>
                <w:sz w:val="18"/>
                <w:szCs w:val="18"/>
              </w:rPr>
            </w:pPr>
            <w:r>
              <w:rPr>
                <w:rFonts w:eastAsia="仿宋_GB2312"/>
                <w:color w:val="auto"/>
                <w:sz w:val="18"/>
                <w:szCs w:val="18"/>
              </w:rPr>
              <w:t>重庆龙翰环保工程有限公司</w:t>
            </w:r>
          </w:p>
        </w:tc>
        <w:tc>
          <w:tcPr>
            <w:tcW w:w="100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建设单位</w:t>
            </w:r>
          </w:p>
        </w:tc>
        <w:tc>
          <w:tcPr>
            <w:tcW w:w="1647"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spacing w:val="-2"/>
                <w:sz w:val="18"/>
                <w:szCs w:val="18"/>
              </w:rPr>
            </w:pPr>
            <w:r>
              <w:rPr>
                <w:rFonts w:eastAsia="仿宋_GB2312"/>
                <w:color w:val="auto"/>
                <w:spacing w:val="-2"/>
                <w:sz w:val="18"/>
                <w:szCs w:val="18"/>
              </w:rPr>
              <w:t>国网重庆市电力公司建设分公司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法定代表人</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王翼</w:t>
            </w:r>
          </w:p>
        </w:tc>
        <w:tc>
          <w:tcPr>
            <w:tcW w:w="100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法定代表人</w:t>
            </w:r>
          </w:p>
        </w:tc>
        <w:tc>
          <w:tcPr>
            <w:tcW w:w="1647"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周茂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地址</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kern w:val="0"/>
                <w:sz w:val="18"/>
                <w:szCs w:val="18"/>
              </w:rPr>
              <w:t>重庆市渝北区龙山一路5号扬子江商务中心23-2</w:t>
            </w:r>
          </w:p>
        </w:tc>
        <w:tc>
          <w:tcPr>
            <w:tcW w:w="100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地址</w:t>
            </w:r>
          </w:p>
        </w:tc>
        <w:tc>
          <w:tcPr>
            <w:tcW w:w="1647"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重庆市渝北区青枫北路20号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邮编</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401147</w:t>
            </w:r>
          </w:p>
        </w:tc>
        <w:tc>
          <w:tcPr>
            <w:tcW w:w="100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邮编</w:t>
            </w:r>
          </w:p>
        </w:tc>
        <w:tc>
          <w:tcPr>
            <w:tcW w:w="1647"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401121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联系人及电话</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黄晓/15</w:t>
            </w:r>
            <w:r>
              <w:rPr>
                <w:rFonts w:hint="eastAsia" w:eastAsia="仿宋_GB2312"/>
                <w:color w:val="auto"/>
                <w:sz w:val="18"/>
                <w:szCs w:val="18"/>
                <w:lang w:val="en-US" w:eastAsia="zh-CN"/>
              </w:rPr>
              <w:t>***</w:t>
            </w:r>
            <w:r>
              <w:rPr>
                <w:rFonts w:eastAsia="仿宋_GB2312"/>
                <w:color w:val="auto"/>
                <w:sz w:val="18"/>
                <w:szCs w:val="18"/>
              </w:rPr>
              <w:t>45</w:t>
            </w:r>
          </w:p>
        </w:tc>
        <w:tc>
          <w:tcPr>
            <w:tcW w:w="100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联系人及电话</w:t>
            </w:r>
          </w:p>
        </w:tc>
        <w:tc>
          <w:tcPr>
            <w:tcW w:w="1647"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李小飞/13</w:t>
            </w:r>
            <w:r>
              <w:rPr>
                <w:rFonts w:hint="eastAsia" w:eastAsia="仿宋_GB2312"/>
                <w:color w:val="auto"/>
                <w:sz w:val="18"/>
                <w:szCs w:val="18"/>
                <w:lang w:val="en-US" w:eastAsia="zh-CN"/>
              </w:rPr>
              <w:t>***</w:t>
            </w:r>
            <w:r>
              <w:rPr>
                <w:rFonts w:eastAsia="仿宋_GB2312"/>
                <w:color w:val="auto"/>
                <w:sz w:val="18"/>
                <w:szCs w:val="1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传真</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023-67</w:t>
            </w:r>
            <w:r>
              <w:rPr>
                <w:rFonts w:hint="eastAsia" w:eastAsia="仿宋_GB2312"/>
                <w:color w:val="auto"/>
                <w:sz w:val="18"/>
                <w:szCs w:val="18"/>
                <w:lang w:val="en-US" w:eastAsia="zh-CN"/>
              </w:rPr>
              <w:t>***</w:t>
            </w:r>
            <w:r>
              <w:rPr>
                <w:rFonts w:eastAsia="仿宋_GB2312"/>
                <w:color w:val="auto"/>
                <w:sz w:val="18"/>
                <w:szCs w:val="18"/>
              </w:rPr>
              <w:t>11</w:t>
            </w:r>
          </w:p>
        </w:tc>
        <w:tc>
          <w:tcPr>
            <w:tcW w:w="100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传真</w:t>
            </w:r>
          </w:p>
        </w:tc>
        <w:tc>
          <w:tcPr>
            <w:tcW w:w="1647"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电子信箱</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37</w:t>
            </w:r>
            <w:r>
              <w:rPr>
                <w:rFonts w:hint="eastAsia" w:eastAsia="仿宋_GB2312"/>
                <w:color w:val="auto"/>
                <w:sz w:val="18"/>
                <w:szCs w:val="18"/>
                <w:lang w:val="en-US" w:eastAsia="zh-CN"/>
              </w:rPr>
              <w:t>***</w:t>
            </w:r>
            <w:r>
              <w:rPr>
                <w:rFonts w:eastAsia="仿宋_GB2312"/>
                <w:color w:val="auto"/>
                <w:sz w:val="18"/>
                <w:szCs w:val="18"/>
              </w:rPr>
              <w:t>21@qq.com</w:t>
            </w:r>
          </w:p>
        </w:tc>
        <w:tc>
          <w:tcPr>
            <w:tcW w:w="100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eastAsia="仿宋_GB2312"/>
                <w:color w:val="auto"/>
                <w:kern w:val="0"/>
                <w:sz w:val="18"/>
                <w:szCs w:val="18"/>
              </w:rPr>
            </w:pPr>
            <w:r>
              <w:rPr>
                <w:rFonts w:eastAsia="仿宋_GB2312"/>
                <w:color w:val="auto"/>
                <w:kern w:val="0"/>
                <w:sz w:val="18"/>
                <w:szCs w:val="18"/>
              </w:rPr>
              <w:t>电子信箱</w:t>
            </w:r>
          </w:p>
        </w:tc>
        <w:tc>
          <w:tcPr>
            <w:tcW w:w="1647" w:type="pct"/>
            <w:gridSpan w:val="8"/>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eastAsia="仿宋_GB2312"/>
                <w:color w:val="auto"/>
                <w:sz w:val="18"/>
                <w:szCs w:val="18"/>
              </w:rPr>
            </w:pPr>
            <w:r>
              <w:rPr>
                <w:rFonts w:eastAsia="仿宋_GB2312"/>
                <w:color w:val="auto"/>
                <w:sz w:val="18"/>
                <w:szCs w:val="18"/>
              </w:rPr>
              <w:t>/</w:t>
            </w:r>
          </w:p>
        </w:tc>
      </w:tr>
    </w:tbl>
    <w:p>
      <w:pPr>
        <w:rPr>
          <w:rFonts w:ascii="Times New Roman" w:hAnsi="Times New Roman" w:eastAsia="方正黑体_GBK" w:cs="Times New Roman"/>
          <w:color w:val="FF0000"/>
          <w:sz w:val="32"/>
          <w:szCs w:val="32"/>
        </w:rPr>
      </w:pPr>
      <w:r>
        <w:rPr>
          <w:rFonts w:ascii="Times New Roman" w:hAnsi="Times New Roman" w:eastAsia="方正黑体_GBK" w:cs="Times New Roman"/>
          <w:color w:val="FF0000"/>
          <w:sz w:val="32"/>
          <w:szCs w:val="32"/>
        </w:rPr>
        <w:br w:type="page"/>
      </w:r>
    </w:p>
    <w:p>
      <w:pPr>
        <w:spacing w:line="594" w:lineRule="exact"/>
        <w:rPr>
          <w:rFonts w:hint="eastAsia"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snapToGrid w:val="0"/>
        <w:spacing w:line="594" w:lineRule="exact"/>
        <w:jc w:val="center"/>
        <w:rPr>
          <w:rFonts w:hint="eastAsia" w:ascii="Times New Roman" w:hAnsi="Times New Roman" w:eastAsia="方正小标宋_GBK" w:cs="Times New Roman"/>
          <w:bCs/>
          <w:color w:val="auto"/>
          <w:sz w:val="44"/>
          <w:szCs w:val="44"/>
          <w:lang w:eastAsia="zh-CN"/>
        </w:rPr>
      </w:pPr>
    </w:p>
    <w:p>
      <w:pPr>
        <w:snapToGrid w:val="0"/>
        <w:spacing w:line="594" w:lineRule="exact"/>
        <w:jc w:val="center"/>
        <w:rPr>
          <w:rFonts w:hint="eastAsia" w:ascii="Times New Roman" w:hAnsi="Times New Roman" w:eastAsia="方正小标宋_GBK" w:cs="Times New Roman"/>
          <w:bCs/>
          <w:color w:val="auto"/>
          <w:sz w:val="44"/>
          <w:szCs w:val="44"/>
          <w:lang w:eastAsia="zh-CN"/>
        </w:rPr>
      </w:pPr>
      <w:r>
        <w:rPr>
          <w:rFonts w:hint="eastAsia" w:ascii="Times New Roman" w:hAnsi="Times New Roman" w:eastAsia="方正小标宋_GBK" w:cs="Times New Roman"/>
          <w:bCs/>
          <w:color w:val="auto"/>
          <w:sz w:val="44"/>
          <w:szCs w:val="44"/>
          <w:lang w:eastAsia="zh-CN"/>
        </w:rPr>
        <w:t>哈密—重庆特高压直流受端</w:t>
      </w:r>
    </w:p>
    <w:p>
      <w:pPr>
        <w:snapToGrid w:val="0"/>
        <w:spacing w:line="594" w:lineRule="exact"/>
        <w:jc w:val="center"/>
        <w:rPr>
          <w:rFonts w:hint="eastAsia" w:ascii="Times New Roman" w:hAnsi="Times New Roman" w:eastAsia="方正小标宋_GBK" w:cs="Times New Roman"/>
          <w:bCs/>
          <w:color w:val="auto"/>
          <w:sz w:val="44"/>
          <w:szCs w:val="44"/>
          <w:lang w:eastAsia="zh-CN"/>
        </w:rPr>
      </w:pPr>
      <w:r>
        <w:rPr>
          <w:rFonts w:hint="eastAsia" w:ascii="Times New Roman" w:hAnsi="Times New Roman" w:eastAsia="方正小标宋_GBK" w:cs="Times New Roman"/>
          <w:bCs/>
          <w:color w:val="auto"/>
          <w:sz w:val="44"/>
          <w:szCs w:val="44"/>
          <w:lang w:eastAsia="zh-CN"/>
        </w:rPr>
        <w:t>500千伏配套送出工程（二期）项目</w:t>
      </w:r>
    </w:p>
    <w:p>
      <w:pPr>
        <w:snapToGrid w:val="0"/>
        <w:spacing w:line="594"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水土保持方案报告书专家评审意见</w:t>
      </w:r>
    </w:p>
    <w:p>
      <w:pPr>
        <w:snapToGrid w:val="0"/>
        <w:spacing w:line="594" w:lineRule="exact"/>
        <w:ind w:firstLine="640" w:firstLineChars="200"/>
        <w:rPr>
          <w:rFonts w:hint="eastAsia" w:ascii="Times New Roman" w:hAnsi="Times New Roman" w:eastAsia="方正仿宋_GBK" w:cs="Times New Roman"/>
          <w:color w:val="auto"/>
          <w:sz w:val="32"/>
          <w:szCs w:val="32"/>
        </w:rPr>
      </w:pP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2024年</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23</w:t>
      </w:r>
      <w:r>
        <w:rPr>
          <w:rFonts w:hint="eastAsia" w:ascii="Times New Roman" w:hAnsi="Times New Roman" w:eastAsia="方正仿宋_GBK" w:cs="Times New Roman"/>
          <w:color w:val="auto"/>
          <w:sz w:val="32"/>
          <w:szCs w:val="32"/>
        </w:rPr>
        <w:t>日，重庆市水利局组织召开了《</w:t>
      </w:r>
      <w:r>
        <w:rPr>
          <w:rFonts w:hint="eastAsia" w:ascii="Times New Roman" w:hAnsi="Times New Roman" w:eastAsia="方正仿宋_GBK" w:cs="Times New Roman"/>
          <w:color w:val="auto"/>
          <w:sz w:val="32"/>
          <w:szCs w:val="32"/>
          <w:lang w:eastAsia="zh-CN"/>
        </w:rPr>
        <w:t>哈密—重庆特高压直流受端500千伏配套送出工程（二期）项目</w:t>
      </w:r>
      <w:r>
        <w:rPr>
          <w:rFonts w:hint="eastAsia" w:ascii="Times New Roman" w:hAnsi="Times New Roman" w:eastAsia="方正仿宋_GBK" w:cs="Times New Roman"/>
          <w:color w:val="auto"/>
          <w:sz w:val="32"/>
          <w:szCs w:val="32"/>
        </w:rPr>
        <w:t>水土保持方案报告书》（以下简称《水保方案》）专家评审会。璧山区水利局、铜梁区水利局、长寿区水利局、沙坪坝区农业农村委、永川区水利局、合川区水利局、北碚区水利局、渝北区水利局、国网重庆市电力公司建设分公司（以下简称项目法人）、重庆龙翰环保工程有限公司（以下简称报告编制单位）、西南电力设计院有限公司（主体设计单位）的代表及特邀专家参加了会议</w:t>
      </w:r>
      <w:r>
        <w:rPr>
          <w:rFonts w:ascii="Times New Roman" w:hAnsi="Times New Roman" w:eastAsia="方正仿宋_GBK" w:cs="Times New Roman"/>
          <w:color w:val="auto"/>
          <w:sz w:val="32"/>
          <w:szCs w:val="32"/>
        </w:rPr>
        <w:t>。会议成立了专家组，专家组成员</w:t>
      </w:r>
      <w:r>
        <w:rPr>
          <w:rFonts w:hint="eastAsia" w:ascii="Times New Roman" w:hAnsi="Times New Roman" w:eastAsia="方正仿宋_GBK" w:cs="Times New Roman"/>
          <w:color w:val="auto"/>
          <w:sz w:val="32"/>
          <w:szCs w:val="32"/>
        </w:rPr>
        <w:t>会前详细审阅了《水保方案》</w:t>
      </w:r>
      <w:r>
        <w:rPr>
          <w:rFonts w:ascii="Times New Roman" w:hAnsi="Times New Roman" w:eastAsia="方正仿宋_GBK" w:cs="Times New Roman"/>
          <w:color w:val="auto"/>
          <w:sz w:val="32"/>
          <w:szCs w:val="32"/>
        </w:rPr>
        <w:t>，与会人员会上认真听取了报告编制单位的汇报，进行了深入讨论。根据</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办水保</w:t>
      </w:r>
      <w:r>
        <w:rPr>
          <w:rFonts w:ascii="Times New Roman" w:hAnsi="Times New Roman" w:eastAsia="宋体" w:cs="Times New Roman"/>
          <w:color w:val="auto"/>
          <w:sz w:val="30"/>
          <w:szCs w:val="30"/>
        </w:rPr>
        <w:t>〔</w:t>
      </w:r>
      <w:r>
        <w:rPr>
          <w:rFonts w:hint="eastAsia"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23</w:t>
      </w:r>
      <w:r>
        <w:rPr>
          <w:rFonts w:ascii="Times New Roman" w:hAnsi="Times New Roman" w:eastAsia="宋体" w:cs="Times New Roman"/>
          <w:color w:val="auto"/>
          <w:sz w:val="30"/>
          <w:szCs w:val="30"/>
        </w:rPr>
        <w:t>〕</w:t>
      </w:r>
      <w:r>
        <w:rPr>
          <w:rFonts w:hint="eastAsia" w:ascii="Times New Roman" w:hAnsi="Times New Roman" w:eastAsia="方正仿宋_GBK" w:cs="Times New Roman"/>
          <w:color w:val="auto"/>
          <w:sz w:val="32"/>
          <w:szCs w:val="32"/>
          <w:lang w:val="en-US" w:eastAsia="zh-CN"/>
        </w:rPr>
        <w:t>177</w:t>
      </w:r>
      <w:r>
        <w:rPr>
          <w:rFonts w:hint="eastAsia" w:ascii="Times New Roman" w:hAnsi="Times New Roman" w:eastAsia="方正仿宋_GBK" w:cs="Times New Roman"/>
          <w:color w:val="auto"/>
          <w:sz w:val="32"/>
          <w:szCs w:val="32"/>
        </w:rPr>
        <w:t>号”</w:t>
      </w:r>
      <w:r>
        <w:rPr>
          <w:rFonts w:ascii="Times New Roman" w:hAnsi="Times New Roman" w:eastAsia="方正仿宋_GBK" w:cs="Times New Roman"/>
          <w:color w:val="auto"/>
          <w:sz w:val="32"/>
          <w:szCs w:val="32"/>
        </w:rPr>
        <w:t>和“渝水</w:t>
      </w:r>
      <w:r>
        <w:rPr>
          <w:rFonts w:ascii="Times New Roman" w:hAnsi="Times New Roman" w:eastAsia="宋体" w:cs="Times New Roman"/>
          <w:color w:val="auto"/>
          <w:sz w:val="30"/>
          <w:szCs w:val="30"/>
        </w:rPr>
        <w:t>〔</w:t>
      </w:r>
      <w:r>
        <w:rPr>
          <w:rFonts w:ascii="Times New Roman" w:hAnsi="Times New Roman" w:eastAsia="方正仿宋_GBK" w:cs="Times New Roman"/>
          <w:color w:val="auto"/>
          <w:sz w:val="32"/>
          <w:szCs w:val="32"/>
        </w:rPr>
        <w:t>2018</w:t>
      </w:r>
      <w:r>
        <w:rPr>
          <w:rFonts w:ascii="Times New Roman" w:hAnsi="Times New Roman" w:eastAsia="宋体" w:cs="Times New Roman"/>
          <w:color w:val="auto"/>
          <w:sz w:val="30"/>
          <w:szCs w:val="30"/>
        </w:rPr>
        <w:t>〕</w:t>
      </w:r>
      <w:r>
        <w:rPr>
          <w:rFonts w:ascii="Times New Roman" w:hAnsi="Times New Roman" w:eastAsia="方正仿宋_GBK" w:cs="Times New Roman"/>
          <w:color w:val="auto"/>
          <w:sz w:val="32"/>
          <w:szCs w:val="32"/>
        </w:rPr>
        <w:t>267号”，各专家对《水保方案》进行了质量评分，质量评定等级合格。报告编制单位会后对《水保方案》进行了修改完善，202</w:t>
      </w:r>
      <w:r>
        <w:rPr>
          <w:rFonts w:hint="eastAsia" w:ascii="Times New Roman" w:hAnsi="Times New Roman" w:eastAsia="方正仿宋_GBK" w:cs="Times New Roman"/>
          <w:color w:val="auto"/>
          <w:sz w:val="32"/>
          <w:szCs w:val="32"/>
          <w:lang w:val="en-US" w:eastAsia="zh-CN"/>
        </w:rPr>
        <w:t>4</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17</w:t>
      </w:r>
      <w:r>
        <w:rPr>
          <w:rFonts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项目法人提交了修改完善后的《水保方案》。经专家组复核，形成专家评审意见如下：</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一、综合说明</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方案编制所依据的法律法规、部委规章、规范性文件、规范标准和技术文件及采用的资料基本正确。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（二）同意方案设计水平年为2026年。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（三）同意水土流失防治责任范围界定，水土流失防治责任范围面积为84.56hm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，其中：璧山区</w:t>
      </w:r>
      <w:r>
        <w:rPr>
          <w:rFonts w:hint="eastAsia" w:ascii="Times New Roman" w:hAnsi="Times New Roman" w:eastAsia="方正仿宋_GBK" w:cs="Times New Roman"/>
          <w:color w:val="auto"/>
          <w:sz w:val="32"/>
          <w:szCs w:val="32"/>
          <w:vertAlign w:val="baseline"/>
          <w:lang w:val="en-US" w:eastAsia="zh-CN"/>
        </w:rPr>
        <w:t>2.85</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、铜梁区</w:t>
      </w:r>
      <w:r>
        <w:rPr>
          <w:rFonts w:hint="eastAsia" w:ascii="Times New Roman" w:hAnsi="Times New Roman" w:eastAsia="方正仿宋_GBK" w:cs="Times New Roman"/>
          <w:color w:val="auto"/>
          <w:sz w:val="32"/>
          <w:szCs w:val="32"/>
          <w:vertAlign w:val="baseline"/>
          <w:lang w:val="en-US" w:eastAsia="zh-CN"/>
        </w:rPr>
        <w:t>8.58</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、合川区</w:t>
      </w:r>
      <w:r>
        <w:rPr>
          <w:rFonts w:hint="eastAsia" w:ascii="Times New Roman" w:hAnsi="Times New Roman" w:eastAsia="方正仿宋_GBK" w:cs="Times New Roman"/>
          <w:color w:val="auto"/>
          <w:sz w:val="32"/>
          <w:szCs w:val="32"/>
          <w:vertAlign w:val="baseline"/>
          <w:lang w:val="en-US" w:eastAsia="zh-CN"/>
        </w:rPr>
        <w:t>40.12</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、北碚区</w:t>
      </w:r>
      <w:r>
        <w:rPr>
          <w:rFonts w:hint="eastAsia" w:ascii="Times New Roman" w:hAnsi="Times New Roman" w:eastAsia="方正仿宋_GBK" w:cs="Times New Roman"/>
          <w:color w:val="auto"/>
          <w:sz w:val="32"/>
          <w:szCs w:val="32"/>
          <w:vertAlign w:val="baseline"/>
          <w:lang w:val="en-US" w:eastAsia="zh-CN"/>
        </w:rPr>
        <w:t>8.56</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、渝北区</w:t>
      </w:r>
      <w:r>
        <w:rPr>
          <w:rFonts w:hint="eastAsia" w:ascii="Times New Roman" w:hAnsi="Times New Roman" w:eastAsia="方正仿宋_GBK" w:cs="Times New Roman"/>
          <w:color w:val="auto"/>
          <w:sz w:val="32"/>
          <w:szCs w:val="32"/>
          <w:vertAlign w:val="baseline"/>
          <w:lang w:val="en-US" w:eastAsia="zh-CN"/>
        </w:rPr>
        <w:t>22.36</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、长寿区</w:t>
      </w:r>
      <w:r>
        <w:rPr>
          <w:rFonts w:hint="eastAsia" w:ascii="Times New Roman" w:hAnsi="Times New Roman" w:eastAsia="方正仿宋_GBK" w:cs="Times New Roman"/>
          <w:color w:val="auto"/>
          <w:sz w:val="32"/>
          <w:szCs w:val="32"/>
          <w:vertAlign w:val="baseline"/>
          <w:lang w:val="en-US" w:eastAsia="zh-CN"/>
        </w:rPr>
        <w:t>0.89</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、沙坪坝区</w:t>
      </w:r>
      <w:r>
        <w:rPr>
          <w:rFonts w:hint="eastAsia" w:ascii="Times New Roman" w:hAnsi="Times New Roman" w:eastAsia="方正仿宋_GBK" w:cs="Times New Roman"/>
          <w:color w:val="auto"/>
          <w:sz w:val="32"/>
          <w:szCs w:val="32"/>
          <w:vertAlign w:val="baseline"/>
          <w:lang w:val="en-US" w:eastAsia="zh-CN"/>
        </w:rPr>
        <w:t>0.56</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、永川区</w:t>
      </w:r>
      <w:r>
        <w:rPr>
          <w:rFonts w:hint="eastAsia" w:ascii="Times New Roman" w:hAnsi="Times New Roman" w:eastAsia="方正仿宋_GBK" w:cs="Times New Roman"/>
          <w:color w:val="auto"/>
          <w:sz w:val="32"/>
          <w:szCs w:val="32"/>
          <w:vertAlign w:val="baseline"/>
          <w:lang w:val="en-US" w:eastAsia="zh-CN"/>
        </w:rPr>
        <w:t>0.64</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（五）同意水土流失防治目标。其中：水土流失治理度97%，土壤流失控制比1.0，渣土防护率92%，表土保护率92%，林草植被恢复率97%，林草覆盖率25%</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二、项目概况</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项目概况阐述基本清楚。哈密—重庆特高压直流受端500千伏配套送出工程（二期）项目，建设单位为国网重庆市电力公司建设分公司，由变电站工程和线路工程两大部分组成。项目涉及璧山区、铜梁区、长寿区、沙坪坝区、永川区、合川区、北碚区和渝北区等区县。</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变电站部分由九个子项组成：①铜梁1000kV变电站扩建工程本期扩建至重庆换流站500kV出线间隔2个，扩建1组240Mvar低抗，另外原至圣泉2回出线站外改接至陈家桥站，需完善站内相关设备，占地面积0.34hm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。②长寿500千伏变电站本期需将原来至思源2回出线站外改接至重庆换流站，新建HGIS基础及500kV支柱绝缘子支架，占地面积0.73hm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③金山500千伏变电站本期需将原来至明月山2回出线站外改接至重庆换流站，不涉及土建。④明月山500千伏变电站本期需将原来至金山2回出线站外改接至重庆换流站，不涉及土建。⑤思源500千伏变电站本期需将原来至长寿2回出线站外断开，原出线间隔将退出运行，作为备用间隔，不涉及土建。⑥陈家桥500千伏变电站本期需将原来至板桥2回出线站外改接至铜梁1000千伏特高压站，本期对本工程至铜梁特2个间隔出线间隔的相关CT进行改造，将其更换为断路器布置双侧CT，占地面积0.46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。⑦板桥500千伏变电站本期需将原来至陈家桥2回出线站外改接至圣泉500千伏变电站，本期对本工程至铜梁特2个间隔出线间隔的相关CT进行改造，将其更换为断路器布置双侧CT，占地面积0.54hm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⑧圣泉500千伏变电站本期需将原来至铜梁特高压1000千伏变电站的2回500千伏出线改接至板桥站，不涉及土建。⑨石坪500kV变电站改造工程将长寿～明月山、明月山～石坪线路进行增容改造，不涉及土建。金山、明月山、思源、石坪、圣泉5个变电站不纳入本项目防治责任范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变电站部分占地面积2.43hm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永久占地2.07hm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，临时用地0.36hm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。变电站临时堆场区布置在站外空地上，用来堆放表土及材料。</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线路部分由六个子项组成：①金山～明月山500kV线路开断接入渝北换线路工程，新建线路路径长度约4.4km，按同塔双回路设计，同期架设两根72芯OPGW，新建杆塔13基，均在渝北区境内。②思源～长寿500kV线路改接工程，新建线路路径长度约14.1km，按两个单回路设计，同期架设三根48芯OPGW，新建杆塔32基，均在渝北区境内。③渝北换～铜梁特500kV线路工程，新建线路路径长度约111km，按同塔双回路设计，同期架设两根72芯OPGW，新建杆塔256基，途经渝北区、北碚区、合川区、铜梁区。④铜梁特～圣泉、板桥～陈家桥500kV线路换接工程，新建线路路径长度约4.1km，其中2.1km按单回路设计、2.0km按同塔双回路设计，同期架设两根72芯OPGW，新建杆塔10基，均在璧山区境内。⑤思源～长寿500kV线路增容改造工程，对思长一线、思长二线更换耐热导线进行增容，长度约37.479km；思长二线更换为两根OPGW－110（48芯）光缆，路径长度约18.202km，拆除重建1基，位于渝北区。⑥长寿～明月山、明月山～石坪500kV线路温升改造工程，对明石一线、明石二线、长明一线、长明二线进行温升改造，温升改造校验路径长度约91.414km，不新立铁塔，不纳入本项目防治责任范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新建线路总长约133.6km，新建杆塔311基，拆除重建1基。塔基工程占地面积59.78hm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永久占地20.41hm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，临时用地39.37hm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。共布设牵张场32处，占地面积5.64hm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；跨越施工场地7处，占地面积1.12hm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；车行施工便道165条/16621m，人抬道路65条/13116m，总占地面积15.59hm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，均为临时用地。塔基施工场地、表土堆放场等其他临时设施均布置在相应的工程建设范围内。</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本工程总占地面积84.56hm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永久占地22.48hm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，临时占地62.08hm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。工程总挖方19.99万m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（含表土剥离8.99万m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），总填方19.99万m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（含表土回覆8.99万m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），无借方和弃方。工程计划2024年7月开工，2025年12月完工，总工期18个月。本工程线路路径涉及的房屋的拆除由建设单位采取货币一次性补偿的方案。工程建设总投资157356万元，其中土建投资为64690万元。</w:t>
      </w:r>
    </w:p>
    <w:p>
      <w:pPr>
        <w:snapToGrid w:val="0"/>
        <w:spacing w:line="594" w:lineRule="exact"/>
        <w:ind w:firstLine="640" w:firstLineChars="200"/>
        <w:rPr>
          <w:rFonts w:ascii="Times New Roman" w:hAnsi="Times New Roman" w:eastAsia="方正仿宋_GBK" w:cs="Times New Roman"/>
          <w:bCs/>
          <w:color w:val="auto"/>
          <w:sz w:val="32"/>
          <w:szCs w:val="32"/>
        </w:rPr>
      </w:pPr>
      <w:r>
        <w:rPr>
          <w:rFonts w:hint="eastAsia" w:ascii="Times New Roman" w:hAnsi="Times New Roman" w:eastAsia="方正仿宋_GBK" w:cs="Times New Roman"/>
          <w:color w:val="auto"/>
          <w:sz w:val="32"/>
          <w:szCs w:val="32"/>
        </w:rPr>
        <w:t>（二）项目区地形地貌、地质、土壤植被、气象、水文、水土流失及水土保持现状等情况阐述基本清楚</w:t>
      </w:r>
      <w:r>
        <w:rPr>
          <w:rFonts w:ascii="Times New Roman" w:hAnsi="Times New Roman" w:eastAsia="方正仿宋_GBK" w:cs="Times New Roman"/>
          <w:bCs/>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三、项目水土保持评价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主体工程选址（线）水土保持评价。本工程选址（线）涉及北碚区、合川区水土流失重点预防区以及渝北区、合川区、长寿区水土流失重点治理区且无法避让，已经执行水土流失防治最高标准（一级标准），符合法律法规要求。</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（三）对主体工程设计中水土保持措施的界定基本合理</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四、水土流失分析与预测</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同意对项目水土流失现状及影响分析。</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（二）工程扰动地表面积为84.56hm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，施工损坏植被面积为44.60hm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（三）项目建设可能造成水土流失总量为7787t，新增水土流失量为5720t。</w:t>
      </w:r>
    </w:p>
    <w:p>
      <w:pPr>
        <w:snapToGrid w:val="0"/>
        <w:spacing w:line="594" w:lineRule="exact"/>
        <w:ind w:firstLine="640" w:firstLineChars="200"/>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（四）基本同意水土流失的危害性分析</w:t>
      </w:r>
      <w:r>
        <w:rPr>
          <w:rFonts w:hint="eastAsia" w:ascii="Times New Roman" w:hAnsi="Times New Roman" w:eastAsia="方正仿宋_GBK" w:cs="Times New Roman"/>
          <w:color w:val="auto"/>
          <w:sz w:val="32"/>
          <w:szCs w:val="32"/>
          <w:lang w:val="en-US" w:eastAsia="zh-CN"/>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五、水土保持措施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（一）</w:t>
      </w:r>
      <w:r>
        <w:rPr>
          <w:rFonts w:hint="eastAsia" w:ascii="Times New Roman" w:hAnsi="Times New Roman" w:eastAsia="方正仿宋_GBK" w:cs="Times New Roman"/>
          <w:bCs/>
          <w:color w:val="auto"/>
          <w:sz w:val="32"/>
          <w:szCs w:val="32"/>
        </w:rPr>
        <w:t>基本同意项目水土流失防治分区划分为变电站工程、线路工程2个一级防治区</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其中</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变电站工程</w:t>
      </w:r>
      <w:r>
        <w:rPr>
          <w:rFonts w:hint="eastAsia" w:ascii="Times New Roman" w:hAnsi="Times New Roman" w:eastAsia="方正仿宋_GBK" w:cs="Times New Roman"/>
          <w:bCs/>
          <w:color w:val="auto"/>
          <w:sz w:val="32"/>
          <w:szCs w:val="32"/>
          <w:lang w:eastAsia="zh-CN"/>
        </w:rPr>
        <w:t>防治区</w:t>
      </w:r>
      <w:r>
        <w:rPr>
          <w:rFonts w:hint="eastAsia" w:ascii="Times New Roman" w:hAnsi="Times New Roman" w:eastAsia="方正仿宋_GBK" w:cs="Times New Roman"/>
          <w:bCs/>
          <w:color w:val="auto"/>
          <w:sz w:val="32"/>
          <w:szCs w:val="32"/>
        </w:rPr>
        <w:t>划分为主体工程和临时堆场区2个二级防治区；线路工程防治区划分为塔基工程、施工便道、牵张场、跨越施工场地4个二级防治区。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（二）由主体工程设计中具有水土保持功能的措施和本方案新增的水土保持措施所组成的水土保持措施体系基本合理。</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（三）新增防护措施设计基本恰当。</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1.变电站工程防治区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（1）主体工程</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施工前，对变电站改建部分损毁植被区域进行表土剥离，集中堆放在站外临时堆场区。施工完成后，恢复绿化区域进行土地整治并回填表土，然后植草皮。</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（2）临时堆场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对前期剥离的表土上覆彩条布遮盖，四周采用填土编织袋拦挡。施工完成后，对临时堆场区进行土地整治，然后复耕或恢复植被。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2.线路工程防治区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（1）塔基工程</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施工前期，对永久占地范围内的耕地、园地和林草地进行表土剥离，集中堆放于塔基施工区</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平地型塔基四周采用填土编织袋拦挡，坡地及坡顶型塔基在边坡下侧进行拦挡。施工过程中，坡地和坡顶型塔基下边坡设填土编织袋拦挡</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裸露边坡和临时堆土等遇降雨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采用彩条布临时覆盖</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在有汇水的塔基上边坡修建排水沟，接入周边自然沟道</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灌注桩的基础开挖过程中布设沉沙池，当塔基施工区域坡度较大时，在塔基下侧修筑挡土坎，将多余土方填筑在坎内侧，并对余土进行平整。施工后期，场地进行土地整治并回填表土，永久占地撒播种草，临时占地范围内占用耕地和园地的进行复耕、占用林草地的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（2）施工便道</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车行施工便道占地范围内的耕地、园地和林草地进行表土剥离，堆放在塔基临时用地范围内，四周采用填土编织袋拦挡。施工过程中，上坡有汇水的车行施工便道内侧设临时排水沟，接入周边自然沟道，排水沟出口设临时沉沙池；裸露边坡及堆土遇降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采用彩条布临时覆盖。施工后期，对施工便道进行土地整治并回填表土，占用耕地和园地的进行复耕、占用林草地的恢复植被</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人抬施工便道进行土地整治，占用耕地和园地的进行复耕、占用林草地的恢复植被。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（3）牵张场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施工过程中，对整个牵张场地铺垫棕垫进行防护。施工后期，对牵张场进行土地整治，占用耕地的进行复耕、占用林草地的恢复植被。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（4）跨越施工场地</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施工后期，对跨越施工场地进行土地整治，占用耕地的进行复耕、占用林草地的恢复植被。</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Cs/>
          <w:color w:val="auto"/>
          <w:sz w:val="32"/>
          <w:szCs w:val="32"/>
        </w:rPr>
        <w:t>（四）水土保持施工组织设计基本可行</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六、水土保持监测</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基本同意水土保持监测方案</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七、水土保持投资估算及效益分析</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投资概算编制依据正确，费用及定额选择基本合理，编制深度基本满足规范要求。</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（二）经审核，水土保持方案工程静态总投资1267.05万元，其中：主体已列449.02万元，方案新增818.03万元</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工程措施244.61万元，植物措施0.07万元，监测措施70.55万元，施工临时措施255.79万元，独立费用89.03万元，基本预备费39.60万元，水土保持补偿费118.384万元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（三）效益分析方法基本正确，分析结果基本合理</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八、水土保持管理</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本方案中提出的组织管理、水土保持监测、水土保持监理、水土保持施工、水土保持设施验收等水土保持管理要求基本可行。</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sz w:val="32"/>
          <w:szCs w:val="32"/>
        </w:rPr>
        <w:t>九、其他</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项目法人应加强施工组织，优化施工工艺，减少土石方开挖填筑、地表扰动及植被破坏，落实生态恢复措施，严格控制工程建设中水土流失。</w:t>
      </w:r>
    </w:p>
    <w:p>
      <w:pPr>
        <w:snapToGrid w:val="0"/>
        <w:spacing w:line="560" w:lineRule="exact"/>
        <w:ind w:firstLine="640" w:firstLineChars="200"/>
        <w:rPr>
          <w:rFonts w:hint="eastAsia" w:ascii="Times New Roman" w:hAnsi="Times New Roman" w:eastAsia="方正仿宋_GBK" w:cs="Times New Roman"/>
          <w:color w:val="auto"/>
          <w:sz w:val="32"/>
          <w:szCs w:val="32"/>
        </w:rPr>
      </w:pPr>
    </w:p>
    <w:p>
      <w:pPr>
        <w:pStyle w:val="2"/>
        <w:rPr>
          <w:rFonts w:hint="eastAsia"/>
        </w:rPr>
      </w:pPr>
    </w:p>
    <w:p>
      <w:pPr>
        <w:snapToGrid w:val="0"/>
        <w:spacing w:line="560" w:lineRule="exact"/>
        <w:ind w:left="1598" w:leftChars="228" w:hanging="960" w:hangingChars="3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eastAsia="zh-CN"/>
        </w:rPr>
        <w:t>哈密—重庆特高压直流受端500千伏配套送出工程（二</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期）项目</w:t>
      </w:r>
      <w:r>
        <w:rPr>
          <w:rFonts w:hint="eastAsia" w:ascii="Times New Roman" w:hAnsi="Times New Roman" w:eastAsia="方正仿宋_GBK" w:cs="Times New Roman"/>
          <w:color w:val="auto"/>
          <w:sz w:val="32"/>
          <w:szCs w:val="32"/>
        </w:rPr>
        <w:t>水土保持方案投资估算审核表</w:t>
      </w:r>
      <w:r>
        <w:rPr>
          <w:rFonts w:ascii="Times New Roman" w:hAnsi="Times New Roman" w:eastAsia="方正仿宋_GBK" w:cs="Times New Roman"/>
          <w:color w:val="FF0000"/>
          <w:sz w:val="32"/>
          <w:szCs w:val="32"/>
        </w:rPr>
        <w:t xml:space="preserve">                    </w:t>
      </w:r>
    </w:p>
    <w:p>
      <w:pPr>
        <w:snapToGrid w:val="0"/>
        <w:spacing w:line="594" w:lineRule="exact"/>
        <w:ind w:firstLine="640" w:firstLineChars="200"/>
        <w:jc w:val="left"/>
        <w:rPr>
          <w:rFonts w:ascii="Times New Roman" w:hAnsi="Times New Roman" w:eastAsia="方正仿宋_GBK" w:cs="Times New Roman"/>
          <w:color w:val="FF0000"/>
          <w:sz w:val="32"/>
          <w:szCs w:val="32"/>
        </w:rPr>
      </w:pPr>
      <w:r>
        <w:rPr>
          <w:rFonts w:ascii="Times New Roman" w:hAnsi="Times New Roman" w:eastAsia="方正仿宋_GBK" w:cs="Times New Roman"/>
          <w:color w:val="FF0000"/>
          <w:sz w:val="32"/>
          <w:szCs w:val="32"/>
        </w:rPr>
        <w:t xml:space="preserve">                        </w:t>
      </w:r>
    </w:p>
    <w:p>
      <w:pPr>
        <w:snapToGrid w:val="0"/>
        <w:spacing w:line="594" w:lineRule="exact"/>
        <w:ind w:firstLine="640" w:firstLineChars="200"/>
        <w:jc w:val="left"/>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drawing>
          <wp:anchor distT="0" distB="0" distL="114300" distR="114300" simplePos="0" relativeHeight="251659264" behindDoc="0" locked="0" layoutInCell="1" allowOverlap="1">
            <wp:simplePos x="0" y="0"/>
            <wp:positionH relativeFrom="column">
              <wp:posOffset>4424045</wp:posOffset>
            </wp:positionH>
            <wp:positionV relativeFrom="paragraph">
              <wp:posOffset>325755</wp:posOffset>
            </wp:positionV>
            <wp:extent cx="615315" cy="325120"/>
            <wp:effectExtent l="0" t="0" r="9525"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l="2875" t="5371" r="4675" b="11636"/>
                    <a:stretch>
                      <a:fillRect/>
                    </a:stretch>
                  </pic:blipFill>
                  <pic:spPr>
                    <a:xfrm>
                      <a:off x="0" y="0"/>
                      <a:ext cx="615315" cy="325120"/>
                    </a:xfrm>
                    <a:prstGeom prst="rect">
                      <a:avLst/>
                    </a:prstGeom>
                    <a:noFill/>
                    <a:ln>
                      <a:noFill/>
                    </a:ln>
                  </pic:spPr>
                </pic:pic>
              </a:graphicData>
            </a:graphic>
          </wp:anchor>
        </w:drawing>
      </w:r>
    </w:p>
    <w:p>
      <w:pPr>
        <w:snapToGrid w:val="0"/>
        <w:spacing w:line="240" w:lineRule="auto"/>
        <w:ind w:firstLine="4800" w:firstLineChars="1500"/>
        <w:jc w:val="left"/>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 xml:space="preserve"> 专家组组长：</w:t>
      </w:r>
    </w:p>
    <w:p>
      <w:pPr>
        <w:snapToGrid w:val="0"/>
        <w:spacing w:line="594" w:lineRule="exact"/>
        <w:ind w:firstLine="5120" w:firstLineChars="1600"/>
        <w:rPr>
          <w:rFonts w:eastAsia="方正仿宋_GBK"/>
          <w:color w:val="FF0000"/>
          <w:sz w:val="32"/>
          <w:szCs w:val="32"/>
        </w:rPr>
        <w:sectPr>
          <w:footerReference r:id="rId3" w:type="default"/>
          <w:pgSz w:w="11906" w:h="16838"/>
          <w:pgMar w:top="1985" w:right="1446" w:bottom="1684" w:left="1446" w:header="851" w:footer="1474"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日</w:t>
      </w:r>
      <w:bookmarkStart w:id="0" w:name="_GoBack"/>
      <w:bookmarkEnd w:id="0"/>
    </w:p>
    <w:p>
      <w:pPr>
        <w:snapToGrid w:val="0"/>
        <w:spacing w:line="594" w:lineRule="exact"/>
        <w:jc w:val="left"/>
        <w:rPr>
          <w:rFonts w:ascii="Times New Roman" w:hAnsi="Times New Roman" w:eastAsia="方正黑体_GBK" w:cs="Times New Roman"/>
          <w:color w:val="auto"/>
          <w:w w:val="90"/>
          <w:sz w:val="32"/>
          <w:szCs w:val="32"/>
        </w:rPr>
      </w:pPr>
      <w:r>
        <w:rPr>
          <w:rFonts w:ascii="Times New Roman" w:hAnsi="Times New Roman" w:eastAsia="方正黑体_GBK" w:cs="Times New Roman"/>
          <w:color w:val="auto"/>
          <w:w w:val="90"/>
          <w:sz w:val="32"/>
          <w:szCs w:val="32"/>
        </w:rPr>
        <w:t>附件</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cs="Times New Roman"/>
          <w:color w:val="auto"/>
          <w:spacing w:val="0"/>
          <w:w w:val="100"/>
          <w:sz w:val="32"/>
          <w:szCs w:val="32"/>
        </w:rPr>
      </w:pPr>
      <w:r>
        <w:rPr>
          <w:rFonts w:hint="eastAsia" w:ascii="Times New Roman" w:hAnsi="Times New Roman" w:eastAsia="方正小标宋_GBK" w:cs="Times New Roman"/>
          <w:color w:val="auto"/>
          <w:spacing w:val="0"/>
          <w:w w:val="100"/>
          <w:sz w:val="32"/>
          <w:szCs w:val="32"/>
        </w:rPr>
        <w:t>哈密—重庆特高压直流受端500千伏配套送出工程</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Times New Roman" w:hAnsi="Times New Roman" w:eastAsia="方正小标宋_GBK" w:cs="Times New Roman"/>
          <w:color w:val="auto"/>
          <w:spacing w:val="0"/>
          <w:w w:val="100"/>
          <w:sz w:val="32"/>
          <w:szCs w:val="32"/>
        </w:rPr>
      </w:pPr>
      <w:r>
        <w:rPr>
          <w:rFonts w:hint="eastAsia" w:ascii="Times New Roman" w:hAnsi="Times New Roman" w:eastAsia="方正小标宋_GBK" w:cs="Times New Roman"/>
          <w:color w:val="auto"/>
          <w:spacing w:val="0"/>
          <w:w w:val="100"/>
          <w:sz w:val="32"/>
          <w:szCs w:val="32"/>
        </w:rPr>
        <w:t>（二期）项目</w:t>
      </w:r>
      <w:r>
        <w:rPr>
          <w:rFonts w:ascii="Times New Roman" w:hAnsi="Times New Roman" w:eastAsia="方正小标宋_GBK" w:cs="Times New Roman"/>
          <w:color w:val="auto"/>
          <w:spacing w:val="0"/>
          <w:w w:val="100"/>
          <w:sz w:val="32"/>
          <w:szCs w:val="32"/>
        </w:rPr>
        <w:t>水土保持方案投资估算审核表</w:t>
      </w:r>
    </w:p>
    <w:p>
      <w:pPr>
        <w:widowControl/>
        <w:jc w:val="right"/>
        <w:textAlignment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单位：万元</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2"/>
        <w:gridCol w:w="2273"/>
        <w:gridCol w:w="899"/>
        <w:gridCol w:w="794"/>
        <w:gridCol w:w="1004"/>
        <w:gridCol w:w="899"/>
        <w:gridCol w:w="794"/>
        <w:gridCol w:w="1004"/>
        <w:gridCol w:w="9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序号</w:t>
            </w:r>
          </w:p>
        </w:tc>
        <w:tc>
          <w:tcPr>
            <w:tcW w:w="0" w:type="auto"/>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工程或费用名称</w:t>
            </w:r>
          </w:p>
        </w:tc>
        <w:tc>
          <w:tcPr>
            <w:tcW w:w="0" w:type="auto"/>
            <w:gridSpan w:val="3"/>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设计投资</w:t>
            </w:r>
          </w:p>
        </w:tc>
        <w:tc>
          <w:tcPr>
            <w:tcW w:w="0" w:type="auto"/>
            <w:gridSpan w:val="3"/>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审核投资</w:t>
            </w:r>
          </w:p>
        </w:tc>
        <w:tc>
          <w:tcPr>
            <w:tcW w:w="0" w:type="auto"/>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增减</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0" w:type="auto"/>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方案</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新增</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主体</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已列</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合计</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（万元）</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方案</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新增</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主体</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已列</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合计</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（万元）</w:t>
            </w:r>
          </w:p>
        </w:tc>
        <w:tc>
          <w:tcPr>
            <w:tcW w:w="0" w:type="auto"/>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val="0"/>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第一部分：工程措施</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244.61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320.98</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565.59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244.61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320.98</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565.59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变电工程防治区</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10.94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5.74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16.68</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10.94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5.74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16.68</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线路工程防治区</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233.67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315.24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548.91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233.67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315.24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548.91</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第二部分：植物措施</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0.07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128.04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128.11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0.07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128.04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128.11</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变电工程防治区</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0.07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46.3</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46.37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0.07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46.3</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46.37</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线路工程防治区</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81.74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81.74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81.74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81.74</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第三部分：监测措施</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70.55</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70.55</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70.55</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70.55</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监测运行费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68.97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68.97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68.97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68.97</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1.58</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1.58</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1.58</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1.58</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第四部分：施工临时措施</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255.79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255.79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255.79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255.79</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变电工程防治区</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5.21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5.21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5.21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5.21</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线路工程防治区</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245.69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245.69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245.69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245.69</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其他临时工程</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4.89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4.89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4.89</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4.89</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第五部分：独立费用</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89.03</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89.03</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89.03</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89.03</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技术咨询费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55.71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55.71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55.71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55.71</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水土保持方案编制费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35</w:t>
            </w:r>
            <w:r>
              <w:rPr>
                <w:rFonts w:hint="eastAsia" w:ascii="Times New Roman" w:hAnsi="Times New Roman" w:eastAsia="宋体" w:cs="Times New Roman"/>
                <w:color w:val="000000"/>
                <w:kern w:val="0"/>
                <w:sz w:val="21"/>
                <w:szCs w:val="21"/>
                <w:lang w:val="en-US" w:eastAsia="zh-CN"/>
              </w:rPr>
              <w:t>.00</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35</w:t>
            </w:r>
            <w:r>
              <w:rPr>
                <w:rFonts w:hint="eastAsia" w:ascii="Times New Roman" w:hAnsi="Times New Roman" w:eastAsia="宋体" w:cs="Times New Roman"/>
                <w:color w:val="000000"/>
                <w:kern w:val="0"/>
                <w:sz w:val="21"/>
                <w:szCs w:val="21"/>
                <w:lang w:val="en-US" w:eastAsia="zh-CN"/>
              </w:rPr>
              <w:t>.00</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35</w:t>
            </w:r>
            <w:r>
              <w:rPr>
                <w:rFonts w:hint="eastAsia" w:ascii="Times New Roman" w:hAnsi="Times New Roman" w:eastAsia="宋体" w:cs="Times New Roman"/>
                <w:color w:val="000000"/>
                <w:kern w:val="0"/>
                <w:sz w:val="21"/>
                <w:szCs w:val="21"/>
                <w:lang w:val="en-US" w:eastAsia="zh-CN"/>
              </w:rPr>
              <w:t>.00</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35</w:t>
            </w:r>
            <w:r>
              <w:rPr>
                <w:rFonts w:hint="eastAsia" w:ascii="Times New Roman" w:hAnsi="Times New Roman" w:eastAsia="宋体" w:cs="Times New Roman"/>
                <w:color w:val="000000"/>
                <w:kern w:val="0"/>
                <w:sz w:val="21"/>
                <w:szCs w:val="21"/>
                <w:lang w:val="en-US" w:eastAsia="zh-CN"/>
              </w:rPr>
              <w:t>.00</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水土保持设施验收报告编制费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20.71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20.71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20.71</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20.71</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工程管理费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建设管理费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33.32</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Ⅰ</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第一至五部分合计</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660.05</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449.02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1109.07</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660.05</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449.02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1109.07</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Ⅱ</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基本预备费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39.6</w:t>
            </w:r>
            <w:r>
              <w:rPr>
                <w:rFonts w:hint="eastAsia" w:ascii="Times New Roman" w:hAnsi="Times New Roman" w:eastAsia="宋体" w:cs="Times New Roman"/>
                <w:b/>
                <w:bCs/>
                <w:color w:val="000000"/>
                <w:kern w:val="0"/>
                <w:sz w:val="21"/>
                <w:szCs w:val="21"/>
                <w:lang w:val="en-US" w:eastAsia="zh-CN"/>
              </w:rPr>
              <w:t>0</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39.6</w:t>
            </w:r>
            <w:r>
              <w:rPr>
                <w:rFonts w:hint="eastAsia" w:ascii="Times New Roman" w:hAnsi="Times New Roman" w:eastAsia="宋体" w:cs="Times New Roman"/>
                <w:b/>
                <w:bCs/>
                <w:color w:val="000000"/>
                <w:kern w:val="0"/>
                <w:sz w:val="21"/>
                <w:szCs w:val="21"/>
                <w:lang w:val="en-US" w:eastAsia="zh-CN"/>
              </w:rPr>
              <w:t>0</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39.6</w:t>
            </w:r>
            <w:r>
              <w:rPr>
                <w:rFonts w:hint="eastAsia" w:ascii="Times New Roman" w:hAnsi="Times New Roman" w:eastAsia="宋体" w:cs="Times New Roman"/>
                <w:b/>
                <w:bCs/>
                <w:color w:val="000000"/>
                <w:kern w:val="0"/>
                <w:sz w:val="21"/>
                <w:szCs w:val="21"/>
                <w:lang w:val="en-US" w:eastAsia="zh-CN"/>
              </w:rPr>
              <w:t>0</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39.6</w:t>
            </w:r>
            <w:r>
              <w:rPr>
                <w:rFonts w:hint="eastAsia" w:ascii="Times New Roman" w:hAnsi="Times New Roman" w:eastAsia="宋体" w:cs="Times New Roman"/>
                <w:b/>
                <w:bCs/>
                <w:color w:val="000000"/>
                <w:kern w:val="0"/>
                <w:sz w:val="21"/>
                <w:szCs w:val="21"/>
                <w:lang w:val="en-US" w:eastAsia="zh-CN"/>
              </w:rPr>
              <w:t>0</w:t>
            </w:r>
          </w:p>
        </w:tc>
        <w:tc>
          <w:tcPr>
            <w:tcW w:w="95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Ⅲ</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水土保持补偿费</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118.38</w:t>
            </w:r>
            <w:r>
              <w:rPr>
                <w:rFonts w:hint="default" w:ascii="Times New Roman" w:hAnsi="Times New Roman" w:eastAsia="宋体" w:cs="Times New Roman"/>
                <w:b/>
                <w:bCs/>
                <w:color w:val="auto"/>
                <w:kern w:val="0"/>
                <w:sz w:val="21"/>
                <w:szCs w:val="21"/>
                <w:lang w:val="en-US" w:eastAsia="zh-CN"/>
              </w:rPr>
              <w:t>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118.3</w:t>
            </w:r>
            <w:r>
              <w:rPr>
                <w:rFonts w:hint="default" w:ascii="Times New Roman" w:hAnsi="Times New Roman" w:eastAsia="宋体" w:cs="Times New Roman"/>
                <w:b/>
                <w:bCs/>
                <w:color w:val="auto"/>
                <w:kern w:val="0"/>
                <w:sz w:val="21"/>
                <w:szCs w:val="21"/>
                <w:lang w:val="en-US" w:eastAsia="zh-CN"/>
              </w:rPr>
              <w:t>84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118.38</w:t>
            </w:r>
            <w:r>
              <w:rPr>
                <w:rFonts w:hint="default" w:ascii="Times New Roman" w:hAnsi="Times New Roman" w:eastAsia="宋体" w:cs="Times New Roman"/>
                <w:b/>
                <w:bCs/>
                <w:color w:val="auto"/>
                <w:kern w:val="0"/>
                <w:sz w:val="21"/>
                <w:szCs w:val="21"/>
                <w:lang w:val="en-US" w:eastAsia="zh-CN"/>
              </w:rPr>
              <w:t>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　</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118.38</w:t>
            </w:r>
            <w:r>
              <w:rPr>
                <w:rFonts w:hint="default" w:ascii="Times New Roman" w:hAnsi="Times New Roman" w:eastAsia="宋体" w:cs="Times New Roman"/>
                <w:b/>
                <w:bCs/>
                <w:color w:val="auto"/>
                <w:kern w:val="0"/>
                <w:sz w:val="21"/>
                <w:szCs w:val="21"/>
                <w:lang w:val="en-US" w:eastAsia="zh-CN"/>
              </w:rPr>
              <w:t>4</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0" w:type="auto"/>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总投资（Ⅰ+Ⅱ+Ⅲ）</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818.03</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449.02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1267.05</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818.03</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449.02</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1267.05</w:t>
            </w:r>
          </w:p>
        </w:tc>
        <w:tc>
          <w:tcPr>
            <w:tcW w:w="0" w:type="auto"/>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rPr>
              <w:t>0</w:t>
            </w:r>
            <w:r>
              <w:rPr>
                <w:rFonts w:hint="eastAsia" w:ascii="Times New Roman" w:hAnsi="Times New Roman" w:eastAsia="宋体" w:cs="Times New Roman"/>
                <w:b/>
                <w:bCs/>
                <w:color w:val="000000"/>
                <w:kern w:val="0"/>
                <w:sz w:val="21"/>
                <w:szCs w:val="21"/>
                <w:lang w:val="en-US" w:eastAsia="zh-CN"/>
              </w:rPr>
              <w:t>.00</w:t>
            </w:r>
          </w:p>
        </w:tc>
      </w:tr>
    </w:tbl>
    <w:p>
      <w:pPr>
        <w:widowControl/>
        <w:jc w:val="both"/>
        <w:rPr>
          <w:rFonts w:hint="eastAsia" w:ascii="宋体" w:hAnsi="宋体" w:eastAsia="宋体" w:cs="Times New Roman"/>
          <w:color w:val="FF0000"/>
          <w:kern w:val="0"/>
          <w:sz w:val="21"/>
          <w:szCs w:val="21"/>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wis721 BT">
    <w:altName w:val="Segoe Script"/>
    <w:panose1 w:val="020B05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EF96D0F"/>
    <w:rsid w:val="0F736B0C"/>
    <w:rsid w:val="0F77A613"/>
    <w:rsid w:val="0F7830AF"/>
    <w:rsid w:val="0FEB31A3"/>
    <w:rsid w:val="10C6291E"/>
    <w:rsid w:val="12207CB7"/>
    <w:rsid w:val="136638AB"/>
    <w:rsid w:val="13763A43"/>
    <w:rsid w:val="14706153"/>
    <w:rsid w:val="15D50686"/>
    <w:rsid w:val="17AD1515"/>
    <w:rsid w:val="191F2D4F"/>
    <w:rsid w:val="19E63E0C"/>
    <w:rsid w:val="1AA11BA9"/>
    <w:rsid w:val="1C690C00"/>
    <w:rsid w:val="1D2C5FE8"/>
    <w:rsid w:val="1DFB7D1C"/>
    <w:rsid w:val="1E69485B"/>
    <w:rsid w:val="1E9C00A0"/>
    <w:rsid w:val="1F3B6715"/>
    <w:rsid w:val="1F5CA05E"/>
    <w:rsid w:val="1F6F63CD"/>
    <w:rsid w:val="1FFD4D5A"/>
    <w:rsid w:val="219C1C67"/>
    <w:rsid w:val="21A73E45"/>
    <w:rsid w:val="220F0EDB"/>
    <w:rsid w:val="23CC7B8D"/>
    <w:rsid w:val="24432410"/>
    <w:rsid w:val="24D523AF"/>
    <w:rsid w:val="2571113E"/>
    <w:rsid w:val="25C83420"/>
    <w:rsid w:val="261F1106"/>
    <w:rsid w:val="275C69CE"/>
    <w:rsid w:val="290A7315"/>
    <w:rsid w:val="29C10E64"/>
    <w:rsid w:val="2A341411"/>
    <w:rsid w:val="2B1706DC"/>
    <w:rsid w:val="2B17EBFE"/>
    <w:rsid w:val="2CBE2431"/>
    <w:rsid w:val="2E5F3D4F"/>
    <w:rsid w:val="2ECB239C"/>
    <w:rsid w:val="2FEB4B9F"/>
    <w:rsid w:val="2FEB6799"/>
    <w:rsid w:val="30914434"/>
    <w:rsid w:val="31D921A4"/>
    <w:rsid w:val="32BF7018"/>
    <w:rsid w:val="33AFCDDC"/>
    <w:rsid w:val="34581908"/>
    <w:rsid w:val="35020712"/>
    <w:rsid w:val="35065A3A"/>
    <w:rsid w:val="35D5328C"/>
    <w:rsid w:val="370D16B3"/>
    <w:rsid w:val="37C51145"/>
    <w:rsid w:val="37D34713"/>
    <w:rsid w:val="37FFA73D"/>
    <w:rsid w:val="386510FC"/>
    <w:rsid w:val="39BA7744"/>
    <w:rsid w:val="3AB853C8"/>
    <w:rsid w:val="3B9F2014"/>
    <w:rsid w:val="3BA26649"/>
    <w:rsid w:val="3BEB2DD8"/>
    <w:rsid w:val="3BEFAF9D"/>
    <w:rsid w:val="3C9A35A3"/>
    <w:rsid w:val="3D7F5882"/>
    <w:rsid w:val="3DBB3E02"/>
    <w:rsid w:val="3DD030B8"/>
    <w:rsid w:val="3DDE5100"/>
    <w:rsid w:val="3E63500C"/>
    <w:rsid w:val="3E81138A"/>
    <w:rsid w:val="3EE58A66"/>
    <w:rsid w:val="3EFE8C2A"/>
    <w:rsid w:val="3F7F5A6A"/>
    <w:rsid w:val="3F7F6E9A"/>
    <w:rsid w:val="3FA43F19"/>
    <w:rsid w:val="3FBF6162"/>
    <w:rsid w:val="3FDF6E79"/>
    <w:rsid w:val="3FFB0F51"/>
    <w:rsid w:val="41285076"/>
    <w:rsid w:val="42AD5BED"/>
    <w:rsid w:val="43396CC2"/>
    <w:rsid w:val="43723646"/>
    <w:rsid w:val="439D17F4"/>
    <w:rsid w:val="46BF18E1"/>
    <w:rsid w:val="46E66BFD"/>
    <w:rsid w:val="473E4D14"/>
    <w:rsid w:val="489A0AE6"/>
    <w:rsid w:val="4A9317A2"/>
    <w:rsid w:val="4B4D65A7"/>
    <w:rsid w:val="4D2370E7"/>
    <w:rsid w:val="4DECC0FF"/>
    <w:rsid w:val="4E7647D3"/>
    <w:rsid w:val="4E8C447A"/>
    <w:rsid w:val="4F502494"/>
    <w:rsid w:val="4FBEF9B5"/>
    <w:rsid w:val="4FC55E23"/>
    <w:rsid w:val="509A7964"/>
    <w:rsid w:val="53D72F5A"/>
    <w:rsid w:val="53FDACB5"/>
    <w:rsid w:val="54510FE5"/>
    <w:rsid w:val="55FFF0DB"/>
    <w:rsid w:val="56020BB4"/>
    <w:rsid w:val="571E02A3"/>
    <w:rsid w:val="57EB1FC0"/>
    <w:rsid w:val="57FD7E1B"/>
    <w:rsid w:val="584843AC"/>
    <w:rsid w:val="5A7E2231"/>
    <w:rsid w:val="5ABF87E8"/>
    <w:rsid w:val="5ADF6823"/>
    <w:rsid w:val="5B175D16"/>
    <w:rsid w:val="5B1A0782"/>
    <w:rsid w:val="5C624A97"/>
    <w:rsid w:val="5DDA3951"/>
    <w:rsid w:val="5DFA145B"/>
    <w:rsid w:val="5E5AF9EE"/>
    <w:rsid w:val="5F7DCD7F"/>
    <w:rsid w:val="5FA95F49"/>
    <w:rsid w:val="5FBF8763"/>
    <w:rsid w:val="5FD602F2"/>
    <w:rsid w:val="5FEF0E87"/>
    <w:rsid w:val="61CB412D"/>
    <w:rsid w:val="61E274FB"/>
    <w:rsid w:val="63270190"/>
    <w:rsid w:val="63C07097"/>
    <w:rsid w:val="63F6BC28"/>
    <w:rsid w:val="654340E7"/>
    <w:rsid w:val="664F3B20"/>
    <w:rsid w:val="675B5FBD"/>
    <w:rsid w:val="6788382C"/>
    <w:rsid w:val="67BED0C3"/>
    <w:rsid w:val="6826391B"/>
    <w:rsid w:val="6867608D"/>
    <w:rsid w:val="68EF42C4"/>
    <w:rsid w:val="6A7FB000"/>
    <w:rsid w:val="6A956400"/>
    <w:rsid w:val="6ABF5399"/>
    <w:rsid w:val="6B6E072A"/>
    <w:rsid w:val="6BBB6541"/>
    <w:rsid w:val="6C67536A"/>
    <w:rsid w:val="6D4D31CC"/>
    <w:rsid w:val="6E504A7B"/>
    <w:rsid w:val="6EFE9375"/>
    <w:rsid w:val="6F5A0D30"/>
    <w:rsid w:val="6F5A677D"/>
    <w:rsid w:val="6F9F2C42"/>
    <w:rsid w:val="6FDB23B1"/>
    <w:rsid w:val="6FDF0059"/>
    <w:rsid w:val="6FE6DE43"/>
    <w:rsid w:val="6FFF2707"/>
    <w:rsid w:val="700A63FA"/>
    <w:rsid w:val="71180D83"/>
    <w:rsid w:val="71F95C1E"/>
    <w:rsid w:val="72836946"/>
    <w:rsid w:val="728B5B6F"/>
    <w:rsid w:val="72C3149E"/>
    <w:rsid w:val="73661CF5"/>
    <w:rsid w:val="73AC6CAF"/>
    <w:rsid w:val="73DC4B44"/>
    <w:rsid w:val="73F8977C"/>
    <w:rsid w:val="743E4BED"/>
    <w:rsid w:val="744A0831"/>
    <w:rsid w:val="746DE58C"/>
    <w:rsid w:val="75DFB322"/>
    <w:rsid w:val="75FF1D72"/>
    <w:rsid w:val="76862FBE"/>
    <w:rsid w:val="76AE5741"/>
    <w:rsid w:val="76F61301"/>
    <w:rsid w:val="77052688"/>
    <w:rsid w:val="774E327C"/>
    <w:rsid w:val="779656C4"/>
    <w:rsid w:val="779FFD24"/>
    <w:rsid w:val="77BE3158"/>
    <w:rsid w:val="77D116E6"/>
    <w:rsid w:val="77F6D61D"/>
    <w:rsid w:val="788619C9"/>
    <w:rsid w:val="78D4654C"/>
    <w:rsid w:val="797DEB38"/>
    <w:rsid w:val="79AE4707"/>
    <w:rsid w:val="7AFB0652"/>
    <w:rsid w:val="7B56DDA2"/>
    <w:rsid w:val="7B5C206A"/>
    <w:rsid w:val="7B5F60E6"/>
    <w:rsid w:val="7BDD098F"/>
    <w:rsid w:val="7BEBF7D2"/>
    <w:rsid w:val="7BF66A1A"/>
    <w:rsid w:val="7BF7DAD7"/>
    <w:rsid w:val="7C096B97"/>
    <w:rsid w:val="7CAF6D1A"/>
    <w:rsid w:val="7CB461A6"/>
    <w:rsid w:val="7CDEF532"/>
    <w:rsid w:val="7CDF640F"/>
    <w:rsid w:val="7CFF4FA0"/>
    <w:rsid w:val="7D7563CA"/>
    <w:rsid w:val="7DAF588E"/>
    <w:rsid w:val="7DDFD50E"/>
    <w:rsid w:val="7DFDC076"/>
    <w:rsid w:val="7DFF30FE"/>
    <w:rsid w:val="7EBCA161"/>
    <w:rsid w:val="7EBF0104"/>
    <w:rsid w:val="7EF7C809"/>
    <w:rsid w:val="7EF7EA39"/>
    <w:rsid w:val="7EFB34CC"/>
    <w:rsid w:val="7EFDE791"/>
    <w:rsid w:val="7F2F2086"/>
    <w:rsid w:val="7F3BAD2F"/>
    <w:rsid w:val="7F7583FE"/>
    <w:rsid w:val="7FBB89BF"/>
    <w:rsid w:val="7FBE84CD"/>
    <w:rsid w:val="7FBF3A79"/>
    <w:rsid w:val="7FBFA7FC"/>
    <w:rsid w:val="7FCDF859"/>
    <w:rsid w:val="7FDF2A49"/>
    <w:rsid w:val="7FDF8CBE"/>
    <w:rsid w:val="7FEEDE92"/>
    <w:rsid w:val="7FEFABF9"/>
    <w:rsid w:val="7FF2B72A"/>
    <w:rsid w:val="7FF878E2"/>
    <w:rsid w:val="7FFAE9C3"/>
    <w:rsid w:val="7FFB35A7"/>
    <w:rsid w:val="7FFD9F55"/>
    <w:rsid w:val="97C778E7"/>
    <w:rsid w:val="9BDF6923"/>
    <w:rsid w:val="9D5E0256"/>
    <w:rsid w:val="9DFF8143"/>
    <w:rsid w:val="9EDFA34A"/>
    <w:rsid w:val="9F7FDC93"/>
    <w:rsid w:val="9F8E2DAF"/>
    <w:rsid w:val="9FC5E453"/>
    <w:rsid w:val="A4A9E009"/>
    <w:rsid w:val="AEDCFD40"/>
    <w:rsid w:val="AF3FC071"/>
    <w:rsid w:val="AF7F5AB7"/>
    <w:rsid w:val="AFFB4A21"/>
    <w:rsid w:val="B0FFBD46"/>
    <w:rsid w:val="B5C121B5"/>
    <w:rsid w:val="B5DE0672"/>
    <w:rsid w:val="B5EE9E49"/>
    <w:rsid w:val="B5F7B175"/>
    <w:rsid w:val="B7CC7FAC"/>
    <w:rsid w:val="B97F7191"/>
    <w:rsid w:val="BBFF5877"/>
    <w:rsid w:val="BBFF66F1"/>
    <w:rsid w:val="BCCF1D1D"/>
    <w:rsid w:val="BD7CAE0B"/>
    <w:rsid w:val="BDFBD4BA"/>
    <w:rsid w:val="BDFEA223"/>
    <w:rsid w:val="BDFF872F"/>
    <w:rsid w:val="BEBB3247"/>
    <w:rsid w:val="BEF9CC09"/>
    <w:rsid w:val="BF6E9522"/>
    <w:rsid w:val="BFD5F831"/>
    <w:rsid w:val="BFDF0CA2"/>
    <w:rsid w:val="BFF597B2"/>
    <w:rsid w:val="BFF7D093"/>
    <w:rsid w:val="BFFD2A76"/>
    <w:rsid w:val="BFFE1C57"/>
    <w:rsid w:val="CFDEA72F"/>
    <w:rsid w:val="D6F795FC"/>
    <w:rsid w:val="D6FD671B"/>
    <w:rsid w:val="D7D7DDCC"/>
    <w:rsid w:val="D8DCEDE1"/>
    <w:rsid w:val="DAFBCEB0"/>
    <w:rsid w:val="DB726C3A"/>
    <w:rsid w:val="DB7EC993"/>
    <w:rsid w:val="DBF76714"/>
    <w:rsid w:val="DDA208C1"/>
    <w:rsid w:val="DEF75473"/>
    <w:rsid w:val="DF6A0073"/>
    <w:rsid w:val="DF780174"/>
    <w:rsid w:val="DFCBC77F"/>
    <w:rsid w:val="DFD77326"/>
    <w:rsid w:val="DFDD30F9"/>
    <w:rsid w:val="DFF5A64B"/>
    <w:rsid w:val="DFFDF19D"/>
    <w:rsid w:val="DFFF810B"/>
    <w:rsid w:val="DFFFB97E"/>
    <w:rsid w:val="E3DFABFC"/>
    <w:rsid w:val="E7E2616F"/>
    <w:rsid w:val="E7FF481B"/>
    <w:rsid w:val="E97FB2C3"/>
    <w:rsid w:val="EABFCD06"/>
    <w:rsid w:val="EAD5273E"/>
    <w:rsid w:val="EAD788B5"/>
    <w:rsid w:val="EAFB0206"/>
    <w:rsid w:val="ED7CB6BF"/>
    <w:rsid w:val="EE369E02"/>
    <w:rsid w:val="EF779F32"/>
    <w:rsid w:val="EF8FE4BA"/>
    <w:rsid w:val="EF9EF7A3"/>
    <w:rsid w:val="EFBBA1E8"/>
    <w:rsid w:val="EFBEAD07"/>
    <w:rsid w:val="EFEFCEF3"/>
    <w:rsid w:val="EFFD85C2"/>
    <w:rsid w:val="EFFE7920"/>
    <w:rsid w:val="EFFF2025"/>
    <w:rsid w:val="EFFF494D"/>
    <w:rsid w:val="F277D181"/>
    <w:rsid w:val="F3DB6D33"/>
    <w:rsid w:val="F3EDF549"/>
    <w:rsid w:val="F4C9127B"/>
    <w:rsid w:val="F4E309F0"/>
    <w:rsid w:val="F67188B8"/>
    <w:rsid w:val="F6FC2EBA"/>
    <w:rsid w:val="F6FD84FB"/>
    <w:rsid w:val="F71C4126"/>
    <w:rsid w:val="F72F39FB"/>
    <w:rsid w:val="F73DF6FB"/>
    <w:rsid w:val="F77BA6A3"/>
    <w:rsid w:val="F77F1B90"/>
    <w:rsid w:val="F7FF3781"/>
    <w:rsid w:val="F8AF765D"/>
    <w:rsid w:val="F9631D36"/>
    <w:rsid w:val="F97D229C"/>
    <w:rsid w:val="F9AFB6F0"/>
    <w:rsid w:val="F9F9C2D3"/>
    <w:rsid w:val="F9FF4C20"/>
    <w:rsid w:val="FA576F15"/>
    <w:rsid w:val="FA7BB5FD"/>
    <w:rsid w:val="FADC04E4"/>
    <w:rsid w:val="FB6E0296"/>
    <w:rsid w:val="FBAD5CE8"/>
    <w:rsid w:val="FBBD53BA"/>
    <w:rsid w:val="FBDF2122"/>
    <w:rsid w:val="FBEE1844"/>
    <w:rsid w:val="FBEF2C87"/>
    <w:rsid w:val="FBF76626"/>
    <w:rsid w:val="FBFF379E"/>
    <w:rsid w:val="FCCBB202"/>
    <w:rsid w:val="FCDB6888"/>
    <w:rsid w:val="FDBFC382"/>
    <w:rsid w:val="FDBFFB3F"/>
    <w:rsid w:val="FDEDFE4B"/>
    <w:rsid w:val="FDEE69C7"/>
    <w:rsid w:val="FDEFDB4A"/>
    <w:rsid w:val="FDF51AF1"/>
    <w:rsid w:val="FDF531D4"/>
    <w:rsid w:val="FDFD021C"/>
    <w:rsid w:val="FE692C48"/>
    <w:rsid w:val="FEC7CF0B"/>
    <w:rsid w:val="FECC11A6"/>
    <w:rsid w:val="FF18DFEE"/>
    <w:rsid w:val="FF5EF1C1"/>
    <w:rsid w:val="FF7ACDEB"/>
    <w:rsid w:val="FF7DB9F7"/>
    <w:rsid w:val="FFBF5332"/>
    <w:rsid w:val="FFCF68DB"/>
    <w:rsid w:val="FFDB4941"/>
    <w:rsid w:val="FFDB89D3"/>
    <w:rsid w:val="FFEF0BE6"/>
    <w:rsid w:val="FFFF83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3"/>
    <w:qFormat/>
    <w:uiPriority w:val="0"/>
    <w:pPr>
      <w:ind w:firstLine="420"/>
    </w:pPr>
    <w:rPr>
      <w:rFonts w:ascii="宋体"/>
      <w:szCs w:val="20"/>
    </w:rPr>
  </w:style>
  <w:style w:type="paragraph" w:styleId="7">
    <w:name w:val="Document Map"/>
    <w:basedOn w:val="1"/>
    <w:link w:val="24"/>
    <w:qFormat/>
    <w:uiPriority w:val="0"/>
    <w:pPr>
      <w:shd w:val="clear" w:color="auto" w:fill="000080"/>
    </w:pPr>
  </w:style>
  <w:style w:type="paragraph" w:styleId="8">
    <w:name w:val="annotation text"/>
    <w:basedOn w:val="1"/>
    <w:link w:val="25"/>
    <w:qFormat/>
    <w:uiPriority w:val="0"/>
    <w:pPr>
      <w:widowControl/>
      <w:jc w:val="left"/>
    </w:pPr>
    <w:rPr>
      <w:rFonts w:ascii="宋体" w:hAnsi="宋体" w:cs="宋体"/>
      <w:kern w:val="0"/>
      <w:sz w:val="24"/>
    </w:rPr>
  </w:style>
  <w:style w:type="paragraph" w:styleId="9">
    <w:name w:val="Body Text"/>
    <w:basedOn w:val="1"/>
    <w:next w:val="1"/>
    <w:link w:val="26"/>
    <w:qFormat/>
    <w:uiPriority w:val="0"/>
    <w:pPr>
      <w:spacing w:after="120" w:afterLines="0"/>
    </w:pPr>
    <w:rPr>
      <w:sz w:val="21"/>
    </w:rPr>
  </w:style>
  <w:style w:type="paragraph" w:styleId="10">
    <w:name w:val="Body Text Indent"/>
    <w:basedOn w:val="1"/>
    <w:semiHidden/>
    <w:unhideWhenUsed/>
    <w:qFormat/>
    <w:uiPriority w:val="99"/>
    <w:pPr>
      <w:spacing w:after="120"/>
      <w:ind w:left="420" w:leftChars="200"/>
    </w:pPr>
  </w:style>
  <w:style w:type="paragraph" w:styleId="11">
    <w:name w:val="Body Text Indent 2"/>
    <w:basedOn w:val="1"/>
    <w:qFormat/>
    <w:uiPriority w:val="0"/>
    <w:pPr>
      <w:spacing w:after="120" w:afterLines="0" w:line="480" w:lineRule="auto"/>
      <w:ind w:left="420" w:leftChars="200"/>
    </w:pPr>
    <w:rPr>
      <w:sz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2"/>
    <w:qFormat/>
    <w:uiPriority w:val="0"/>
    <w:rPr>
      <w:rFonts w:ascii="宋体" w:hAnsi="宋体" w:eastAsia="宋体"/>
      <w:b/>
      <w:kern w:val="2"/>
      <w:sz w:val="24"/>
      <w:lang w:val="en-US" w:eastAsia="zh-CN" w:bidi="ar-SA"/>
    </w:rPr>
  </w:style>
  <w:style w:type="character" w:customStyle="1" w:styleId="23">
    <w:name w:val="正文缩进 字符"/>
    <w:link w:val="6"/>
    <w:qFormat/>
    <w:uiPriority w:val="0"/>
    <w:rPr>
      <w:rFonts w:ascii="宋体" w:eastAsia="宋体"/>
      <w:kern w:val="2"/>
      <w:sz w:val="28"/>
      <w:lang w:val="en-US" w:eastAsia="zh-CN" w:bidi="ar-SA"/>
    </w:rPr>
  </w:style>
  <w:style w:type="character" w:customStyle="1" w:styleId="24">
    <w:name w:val="文档结构图 字符"/>
    <w:link w:val="7"/>
    <w:qFormat/>
    <w:uiPriority w:val="0"/>
    <w:rPr>
      <w:rFonts w:eastAsia="宋体"/>
      <w:kern w:val="2"/>
      <w:sz w:val="28"/>
      <w:szCs w:val="24"/>
      <w:lang w:val="en-US" w:eastAsia="zh-CN" w:bidi="ar-SA"/>
    </w:rPr>
  </w:style>
  <w:style w:type="character" w:customStyle="1" w:styleId="25">
    <w:name w:val="批注文字 字符"/>
    <w:link w:val="8"/>
    <w:qFormat/>
    <w:uiPriority w:val="0"/>
    <w:rPr>
      <w:rFonts w:ascii="宋体" w:hAnsi="宋体" w:eastAsia="宋体" w:cs="宋体"/>
      <w:sz w:val="24"/>
      <w:szCs w:val="24"/>
      <w:lang w:val="en-US" w:eastAsia="zh-CN" w:bidi="ar-SA"/>
    </w:rPr>
  </w:style>
  <w:style w:type="character" w:customStyle="1" w:styleId="26">
    <w:name w:val="正文文本 字符"/>
    <w:link w:val="9"/>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2">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character" w:customStyle="1" w:styleId="83">
    <w:name w:val="正文啊 Char"/>
    <w:link w:val="84"/>
    <w:qFormat/>
    <w:uiPriority w:val="0"/>
    <w:rPr>
      <w:rFonts w:ascii="仿宋_GB2312" w:eastAsia="仿宋_GB2312"/>
      <w:kern w:val="0"/>
      <w:sz w:val="28"/>
      <w:szCs w:val="22"/>
      <w:lang w:val="en-US" w:eastAsia="zh-CN" w:bidi="ar-SA"/>
    </w:rPr>
  </w:style>
  <w:style w:type="paragraph" w:customStyle="1" w:styleId="84">
    <w:name w:val="正文啊"/>
    <w:link w:val="83"/>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paragraph" w:customStyle="1" w:styleId="85">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86">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1032</Words>
  <Characters>5886</Characters>
  <Lines>49</Lines>
  <Paragraphs>13</Paragraphs>
  <TotalTime>5</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2021-07-23T19:38:00Z</dcterms:created>
  <dc:creator>张艺馨</dc:creator>
  <cp:lastModifiedBy>zyj</cp:lastModifiedBy>
  <cp:lastPrinted>2022-11-12T11:20:00Z</cp:lastPrinted>
  <dcterms:modified xsi:type="dcterms:W3CDTF">2024-06-27T09:11:19Z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B69D179690974895BF91370F7CF3E62E</vt:lpwstr>
  </property>
</Properties>
</file>