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垫江至丰都至武隆高速公路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eastAsia="方正小标宋_GBK" w:cs="方正小标宋_GBK"/>
          <w:b w:val="0"/>
          <w:color w:val="000000"/>
          <w:sz w:val="44"/>
          <w:szCs w:val="44"/>
          <w:lang w:eastAsia="zh-CN"/>
        </w:rPr>
        <w:t>（垫江至丰都段）</w:t>
      </w: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重庆成渝垫丰武高速公路有限公司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垫江至丰都至武隆高速公路（垫江至丰都段）</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default" w:ascii="Times New Roman" w:hAnsi="Times New Roman" w:eastAsia="方正仿宋_GBK" w:cs="Times New Roman"/>
          <w:color w:val="auto"/>
          <w:sz w:val="32"/>
          <w:szCs w:val="32"/>
          <w:lang w:val="en-US" w:eastAsia="zh-CN"/>
        </w:rPr>
        <w:t>2020-500000-01-01-134549</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垫江至丰都至武隆高速公路（垫江至丰都段）</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（三）同意水土流失防治责任范围界定，水土流失防治责任范围面积为793.10hm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（垫江县462.37 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，丰都县330.73 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%，表土保护率92%，林草植被恢复率97%，林草覆盖率2</w:t>
      </w: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bCs/>
          <w:color w:val="auto"/>
          <w:sz w:val="32"/>
          <w:szCs w:val="32"/>
          <w:lang w:bidi="ar"/>
        </w:rPr>
        <w:t>水土保持方案工程静态总投资67684.17万元，</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主体已列54296.50万元，方案新增13387.67万元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工程措施6344.87万元，植物措施110.25万元，监测措施462.74万元，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临时措施3551.49万元，独立费1113.04万元，预备费694.94万元，水土保持补偿费1110.34</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eastAsia="方正仿宋_GBK"/>
          <w:snapToGrid w:val="0"/>
          <w:color w:val="auto"/>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垫江至丰都至武隆高速公路（垫江至丰都段）</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垫江至丰都至武隆高速公路（垫江至丰都段）</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4</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3</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FF0000"/>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44"/>
          <w:szCs w:val="44"/>
          <w:lang w:eastAsia="zh-CN"/>
        </w:rPr>
      </w:pPr>
      <w:r>
        <w:rPr>
          <w:rFonts w:hint="eastAsia" w:eastAsia="方正小标宋_GBK" w:cs="方正小标宋_GBK"/>
          <w:bCs/>
          <w:color w:val="auto"/>
          <w:spacing w:val="0"/>
          <w:w w:val="100"/>
          <w:sz w:val="44"/>
          <w:szCs w:val="44"/>
          <w:lang w:eastAsia="zh-CN"/>
        </w:rPr>
        <w:t>垫江至丰都至武隆高速公路（垫江至丰都段）</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ascii="Times New Roman" w:hAnsi="Times New Roman" w:eastAsia="方正黑体_GBK" w:cs="Times New Roman"/>
          <w:color w:val="auto"/>
          <w:sz w:val="44"/>
          <w:szCs w:val="44"/>
        </w:rPr>
      </w:pPr>
      <w:r>
        <w:rPr>
          <w:rFonts w:hint="eastAsia" w:ascii="Times New Roman" w:hAnsi="Times New Roman" w:eastAsia="方正小标宋_GBK" w:cs="方正小标宋_GBK"/>
          <w:bCs/>
          <w:color w:val="auto"/>
          <w:spacing w:val="0"/>
          <w:w w:val="100"/>
          <w:sz w:val="44"/>
          <w:szCs w:val="44"/>
        </w:rPr>
        <w:t>水土保持方案</w:t>
      </w:r>
      <w:r>
        <w:rPr>
          <w:rFonts w:hint="eastAsia" w:ascii="Times New Roman" w:hAnsi="Times New Roman" w:eastAsia="方正小标宋_GBK" w:cs="方正小标宋_GBK"/>
          <w:bCs/>
          <w:snapToGrid w:val="0"/>
          <w:color w:val="auto"/>
          <w:spacing w:val="0"/>
          <w:w w:val="100"/>
          <w:kern w:val="0"/>
          <w:sz w:val="44"/>
          <w:szCs w:val="44"/>
        </w:rPr>
        <w:t>特性表</w:t>
      </w:r>
    </w:p>
    <w:tbl>
      <w:tblPr>
        <w:tblStyle w:val="17"/>
        <w:tblW w:w="92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720"/>
        <w:gridCol w:w="281"/>
        <w:gridCol w:w="1192"/>
        <w:gridCol w:w="337"/>
        <w:gridCol w:w="1451"/>
        <w:gridCol w:w="1414"/>
        <w:gridCol w:w="667"/>
        <w:gridCol w:w="93"/>
        <w:gridCol w:w="368"/>
        <w:gridCol w:w="631"/>
        <w:gridCol w:w="13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36"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项目名称</w:t>
            </w:r>
          </w:p>
        </w:tc>
        <w:tc>
          <w:tcPr>
            <w:tcW w:w="3261"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垫江至丰都至武隆高速公路（垫江至丰都段）</w:t>
            </w:r>
          </w:p>
        </w:tc>
        <w:tc>
          <w:tcPr>
            <w:tcW w:w="3173"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流域管理机构</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36"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涉及省</w:t>
            </w:r>
          </w:p>
        </w:tc>
        <w:tc>
          <w:tcPr>
            <w:tcW w:w="1473"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重庆市</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涉及地市或个数</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重庆市</w:t>
            </w:r>
          </w:p>
        </w:tc>
        <w:tc>
          <w:tcPr>
            <w:tcW w:w="175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涉及县或个数</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垫江县、</w:t>
            </w:r>
            <w:r>
              <w:rPr>
                <w:rFonts w:cs="Times New Roman"/>
                <w:color w:val="auto"/>
                <w:kern w:val="0"/>
                <w:sz w:val="18"/>
                <w:szCs w:val="18"/>
                <w:highlight w:val="none"/>
              </w:rPr>
              <w:t>丰都县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36"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项目规模</w:t>
            </w:r>
          </w:p>
        </w:tc>
        <w:tc>
          <w:tcPr>
            <w:tcW w:w="1473"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全长</w:t>
            </w:r>
            <w:r>
              <w:rPr>
                <w:rFonts w:cs="Times New Roman"/>
                <w:color w:val="auto"/>
                <w:kern w:val="0"/>
                <w:sz w:val="18"/>
                <w:szCs w:val="18"/>
                <w:highlight w:val="none"/>
              </w:rPr>
              <w:t>78.258</w:t>
            </w:r>
            <w:r>
              <w:rPr>
                <w:rFonts w:hint="eastAsia" w:cs="Times New Roman"/>
                <w:color w:val="auto"/>
                <w:kern w:val="0"/>
                <w:sz w:val="18"/>
                <w:szCs w:val="18"/>
                <w:highlight w:val="none"/>
              </w:rPr>
              <w:t>km</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总投资（万元）</w:t>
            </w:r>
          </w:p>
        </w:tc>
        <w:tc>
          <w:tcPr>
            <w:tcW w:w="1414" w:type="dxa"/>
            <w:noWrap w:val="0"/>
            <w:vAlign w:val="center"/>
          </w:tcPr>
          <w:p>
            <w:pPr>
              <w:pStyle w:val="85"/>
              <w:keepNext w:val="0"/>
              <w:keepLines w:val="0"/>
              <w:suppressLineNumbers w:val="0"/>
              <w:spacing w:before="0" w:beforeAutospacing="0" w:after="0" w:afterAutospacing="0"/>
              <w:ind w:left="0" w:right="0"/>
              <w:rPr>
                <w:rFonts w:hint="eastAsia" w:cs="Times New Roman"/>
                <w:color w:val="auto"/>
                <w:kern w:val="0"/>
                <w:sz w:val="18"/>
                <w:szCs w:val="18"/>
                <w:highlight w:val="none"/>
              </w:rPr>
            </w:pPr>
            <w:r>
              <w:rPr>
                <w:rFonts w:hint="eastAsia" w:cs="Times New Roman"/>
                <w:color w:val="auto"/>
                <w:kern w:val="0"/>
                <w:sz w:val="18"/>
                <w:szCs w:val="18"/>
                <w:highlight w:val="none"/>
              </w:rPr>
              <w:t>1531993</w:t>
            </w:r>
          </w:p>
        </w:tc>
        <w:tc>
          <w:tcPr>
            <w:tcW w:w="175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土建投资（万元）</w:t>
            </w:r>
          </w:p>
        </w:tc>
        <w:tc>
          <w:tcPr>
            <w:tcW w:w="1348" w:type="dxa"/>
            <w:noWrap w:val="0"/>
            <w:vAlign w:val="center"/>
          </w:tcPr>
          <w:p>
            <w:pPr>
              <w:pStyle w:val="85"/>
              <w:keepNext w:val="0"/>
              <w:keepLines w:val="0"/>
              <w:suppressLineNumbers w:val="0"/>
              <w:spacing w:before="0" w:beforeAutospacing="0" w:after="0" w:afterAutospacing="0"/>
              <w:ind w:left="0" w:right="0"/>
              <w:rPr>
                <w:rFonts w:hint="eastAsia" w:cs="Times New Roman"/>
                <w:color w:val="auto"/>
                <w:kern w:val="0"/>
                <w:sz w:val="18"/>
                <w:szCs w:val="18"/>
                <w:highlight w:val="none"/>
              </w:rPr>
            </w:pPr>
            <w:r>
              <w:rPr>
                <w:rFonts w:hint="eastAsia" w:cs="Times New Roman"/>
                <w:color w:val="auto"/>
                <w:kern w:val="0"/>
                <w:sz w:val="18"/>
                <w:szCs w:val="18"/>
                <w:highlight w:val="none"/>
              </w:rPr>
              <w:t>1101632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36"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动工时间</w:t>
            </w:r>
          </w:p>
        </w:tc>
        <w:tc>
          <w:tcPr>
            <w:tcW w:w="1473"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2024年</w:t>
            </w:r>
            <w:r>
              <w:rPr>
                <w:rFonts w:hint="eastAsia" w:cs="Times New Roman"/>
                <w:color w:val="auto"/>
                <w:kern w:val="0"/>
                <w:sz w:val="18"/>
                <w:szCs w:val="18"/>
                <w:highlight w:val="none"/>
                <w:lang w:val="en-US" w:eastAsia="zh-CN"/>
              </w:rPr>
              <w:t>4</w:t>
            </w:r>
            <w:r>
              <w:rPr>
                <w:rFonts w:cs="Times New Roman"/>
                <w:color w:val="auto"/>
                <w:kern w:val="0"/>
                <w:sz w:val="18"/>
                <w:szCs w:val="18"/>
                <w:highlight w:val="none"/>
              </w:rPr>
              <w:t>月</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完工时间</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202</w:t>
            </w:r>
            <w:r>
              <w:rPr>
                <w:rFonts w:hint="eastAsia" w:cs="Times New Roman"/>
                <w:color w:val="auto"/>
                <w:kern w:val="0"/>
                <w:sz w:val="18"/>
                <w:szCs w:val="18"/>
                <w:highlight w:val="none"/>
                <w:lang w:val="en-US" w:eastAsia="zh-CN"/>
              </w:rPr>
              <w:t>9</w:t>
            </w:r>
            <w:r>
              <w:rPr>
                <w:rFonts w:cs="Times New Roman"/>
                <w:color w:val="auto"/>
                <w:kern w:val="0"/>
                <w:sz w:val="18"/>
                <w:szCs w:val="18"/>
                <w:highlight w:val="none"/>
              </w:rPr>
              <w:t>年</w:t>
            </w:r>
            <w:r>
              <w:rPr>
                <w:rFonts w:hint="eastAsia" w:cs="Times New Roman"/>
                <w:color w:val="auto"/>
                <w:kern w:val="0"/>
                <w:sz w:val="18"/>
                <w:szCs w:val="18"/>
                <w:highlight w:val="none"/>
                <w:lang w:val="en-US" w:eastAsia="zh-CN"/>
              </w:rPr>
              <w:t>3</w:t>
            </w:r>
            <w:r>
              <w:rPr>
                <w:rFonts w:cs="Times New Roman"/>
                <w:color w:val="auto"/>
                <w:kern w:val="0"/>
                <w:sz w:val="18"/>
                <w:szCs w:val="18"/>
                <w:highlight w:val="none"/>
              </w:rPr>
              <w:t>月</w:t>
            </w:r>
          </w:p>
        </w:tc>
        <w:tc>
          <w:tcPr>
            <w:tcW w:w="175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设计水平年</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20</w:t>
            </w:r>
            <w:r>
              <w:rPr>
                <w:rFonts w:hint="eastAsia" w:cs="Times New Roman"/>
                <w:color w:val="auto"/>
                <w:kern w:val="0"/>
                <w:sz w:val="18"/>
                <w:szCs w:val="18"/>
                <w:highlight w:val="none"/>
                <w:lang w:val="en-US" w:eastAsia="zh-CN"/>
              </w:rPr>
              <w:t>29</w:t>
            </w:r>
            <w:r>
              <w:rPr>
                <w:rFonts w:cs="Times New Roman"/>
                <w:color w:val="auto"/>
                <w:kern w:val="0"/>
                <w:sz w:val="18"/>
                <w:szCs w:val="18"/>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36"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工程占地（h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tc>
        <w:tc>
          <w:tcPr>
            <w:tcW w:w="1473" w:type="dxa"/>
            <w:gridSpan w:val="2"/>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793.10</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永久占地（h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587.35</w:t>
            </w:r>
          </w:p>
        </w:tc>
        <w:tc>
          <w:tcPr>
            <w:tcW w:w="175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临时占地（h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tc>
        <w:tc>
          <w:tcPr>
            <w:tcW w:w="1348" w:type="dxa"/>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205.75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vMerge w:val="restart"/>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土石方量（万</w:t>
            </w:r>
            <w:r>
              <w:rPr>
                <w:rFonts w:hint="default" w:cs="Times New Roman"/>
                <w:highlight w:val="none"/>
                <w:lang w:val="en-US" w:eastAsia="zh-CN"/>
              </w:rPr>
              <w:t>m</w:t>
            </w:r>
            <w:r>
              <w:rPr>
                <w:rFonts w:hint="default" w:cs="Times New Roman"/>
                <w:highlight w:val="none"/>
                <w:vertAlign w:val="superscript"/>
                <w:lang w:val="en-US" w:eastAsia="zh-CN"/>
              </w:rPr>
              <w:t>3</w:t>
            </w:r>
            <w:r>
              <w:rPr>
                <w:rFonts w:cs="Times New Roman"/>
                <w:color w:val="auto"/>
                <w:kern w:val="0"/>
                <w:sz w:val="18"/>
                <w:szCs w:val="18"/>
                <w:highlight w:val="none"/>
              </w:rPr>
              <w:t>）</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挖方</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填方</w:t>
            </w:r>
          </w:p>
        </w:tc>
        <w:tc>
          <w:tcPr>
            <w:tcW w:w="760" w:type="dxa"/>
            <w:gridSpan w:val="2"/>
            <w:tcBorders>
              <w:right w:val="single" w:color="auto" w:sz="4" w:space="0"/>
            </w:tcBorders>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借方</w:t>
            </w:r>
          </w:p>
        </w:tc>
        <w:tc>
          <w:tcPr>
            <w:tcW w:w="999" w:type="dxa"/>
            <w:gridSpan w:val="2"/>
            <w:tcBorders>
              <w:left w:val="single" w:color="auto" w:sz="4" w:space="0"/>
            </w:tcBorders>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综合利用</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vMerge w:val="continue"/>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p>
        </w:tc>
        <w:tc>
          <w:tcPr>
            <w:tcW w:w="1788" w:type="dxa"/>
            <w:gridSpan w:val="2"/>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3159.55</w:t>
            </w:r>
          </w:p>
        </w:tc>
        <w:tc>
          <w:tcPr>
            <w:tcW w:w="1414" w:type="dxa"/>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1952.10</w:t>
            </w:r>
          </w:p>
        </w:tc>
        <w:tc>
          <w:tcPr>
            <w:tcW w:w="760" w:type="dxa"/>
            <w:gridSpan w:val="2"/>
            <w:tcBorders>
              <w:right w:val="single" w:color="auto" w:sz="4" w:space="0"/>
            </w:tcBorders>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0</w:t>
            </w:r>
          </w:p>
        </w:tc>
        <w:tc>
          <w:tcPr>
            <w:tcW w:w="999" w:type="dxa"/>
            <w:gridSpan w:val="2"/>
            <w:tcBorders>
              <w:left w:val="single" w:color="auto" w:sz="4" w:space="0"/>
            </w:tcBorders>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171.68</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1035.77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重点防治区名称</w:t>
            </w:r>
          </w:p>
        </w:tc>
        <w:tc>
          <w:tcPr>
            <w:tcW w:w="6309" w:type="dxa"/>
            <w:gridSpan w:val="8"/>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三峡库区国家级水土流失重点治理区、重庆市水土流失重点治理区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地貌类型</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中低山</w:t>
            </w:r>
          </w:p>
        </w:tc>
        <w:tc>
          <w:tcPr>
            <w:tcW w:w="2542"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水土保持区划</w:t>
            </w:r>
          </w:p>
        </w:tc>
        <w:tc>
          <w:tcPr>
            <w:tcW w:w="1979"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土壤侵蚀类型</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水力侵蚀</w:t>
            </w:r>
          </w:p>
        </w:tc>
        <w:tc>
          <w:tcPr>
            <w:tcW w:w="2542"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土壤侵蚀强度</w:t>
            </w:r>
          </w:p>
        </w:tc>
        <w:tc>
          <w:tcPr>
            <w:tcW w:w="1979"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防治责任范围面积（h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793.10</w:t>
            </w:r>
          </w:p>
        </w:tc>
        <w:tc>
          <w:tcPr>
            <w:tcW w:w="2542"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容许土壤流失量〔t/（k</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•a）〕</w:t>
            </w:r>
          </w:p>
        </w:tc>
        <w:tc>
          <w:tcPr>
            <w:tcW w:w="1979"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土壤流失预测总量（万t）</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19.02</w:t>
            </w:r>
          </w:p>
        </w:tc>
        <w:tc>
          <w:tcPr>
            <w:tcW w:w="2542"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新增土壤流失量（万t）</w:t>
            </w:r>
          </w:p>
        </w:tc>
        <w:tc>
          <w:tcPr>
            <w:tcW w:w="1979" w:type="dxa"/>
            <w:gridSpan w:val="2"/>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90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水土流失防治标准执行等级</w:t>
            </w:r>
          </w:p>
        </w:tc>
        <w:tc>
          <w:tcPr>
            <w:tcW w:w="6309" w:type="dxa"/>
            <w:gridSpan w:val="8"/>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西南紫色土区一级标准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restart"/>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防治</w:t>
            </w:r>
          </w:p>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指标</w:t>
            </w:r>
          </w:p>
        </w:tc>
        <w:tc>
          <w:tcPr>
            <w:tcW w:w="2193"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水土流失治理度（%）</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97</w:t>
            </w:r>
          </w:p>
        </w:tc>
        <w:tc>
          <w:tcPr>
            <w:tcW w:w="3173"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土壤流失控制比</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p>
        </w:tc>
        <w:tc>
          <w:tcPr>
            <w:tcW w:w="2193"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渣土挡护率（%）</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9</w:t>
            </w:r>
            <w:r>
              <w:rPr>
                <w:rFonts w:hint="eastAsia" w:cs="Times New Roman"/>
                <w:color w:val="auto"/>
                <w:kern w:val="0"/>
                <w:sz w:val="18"/>
                <w:szCs w:val="18"/>
                <w:highlight w:val="none"/>
              </w:rPr>
              <w:t>4</w:t>
            </w:r>
          </w:p>
        </w:tc>
        <w:tc>
          <w:tcPr>
            <w:tcW w:w="3173"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表土保护率（%）</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p>
        </w:tc>
        <w:tc>
          <w:tcPr>
            <w:tcW w:w="2193"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林草植被恢复率（%）</w:t>
            </w:r>
          </w:p>
        </w:tc>
        <w:tc>
          <w:tcPr>
            <w:tcW w:w="1788"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97</w:t>
            </w:r>
          </w:p>
        </w:tc>
        <w:tc>
          <w:tcPr>
            <w:tcW w:w="3173"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林草覆盖率（%）</w:t>
            </w:r>
          </w:p>
        </w:tc>
        <w:tc>
          <w:tcPr>
            <w:tcW w:w="1348"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2</w:t>
            </w:r>
            <w:r>
              <w:rPr>
                <w:rFonts w:hint="eastAsia" w:cs="Times New Roman"/>
                <w:color w:val="auto"/>
                <w:kern w:val="0"/>
                <w:sz w:val="18"/>
                <w:szCs w:val="18"/>
                <w:highlight w:val="none"/>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restart"/>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r>
              <w:rPr>
                <w:rFonts w:cs="Times New Roman"/>
                <w:color w:val="auto"/>
                <w:kern w:val="0"/>
                <w:sz w:val="18"/>
                <w:szCs w:val="18"/>
                <w:highlight w:val="none"/>
              </w:rPr>
              <w:t>防治措施及工程量</w:t>
            </w: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防治分区</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工程措施</w:t>
            </w:r>
          </w:p>
        </w:tc>
        <w:tc>
          <w:tcPr>
            <w:tcW w:w="208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植物措施</w:t>
            </w:r>
          </w:p>
        </w:tc>
        <w:tc>
          <w:tcPr>
            <w:tcW w:w="2440"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路基工程防治区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w:t>
            </w:r>
            <w:r>
              <w:rPr>
                <w:rFonts w:cs="Times New Roman"/>
                <w:color w:val="auto"/>
                <w:kern w:val="0"/>
                <w:sz w:val="18"/>
                <w:szCs w:val="18"/>
                <w:highlight w:val="none"/>
              </w:rPr>
              <w:t>排水沟</w:t>
            </w:r>
            <w:r>
              <w:rPr>
                <w:rFonts w:hint="eastAsia" w:cs="Times New Roman"/>
                <w:color w:val="auto"/>
                <w:kern w:val="0"/>
                <w:sz w:val="18"/>
                <w:szCs w:val="18"/>
                <w:highlight w:val="none"/>
              </w:rPr>
              <w:t>32469m</w:t>
            </w:r>
            <w:r>
              <w:rPr>
                <w:rFonts w:cs="Times New Roman"/>
                <w:color w:val="auto"/>
                <w:kern w:val="0"/>
                <w:sz w:val="18"/>
                <w:szCs w:val="18"/>
                <w:highlight w:val="none"/>
              </w:rPr>
              <w:t>、边沟</w:t>
            </w:r>
            <w:r>
              <w:rPr>
                <w:rFonts w:hint="eastAsia" w:cs="Times New Roman"/>
                <w:color w:val="auto"/>
                <w:kern w:val="0"/>
                <w:sz w:val="18"/>
                <w:szCs w:val="18"/>
                <w:highlight w:val="none"/>
              </w:rPr>
              <w:t>22231m</w:t>
            </w:r>
            <w:r>
              <w:rPr>
                <w:rFonts w:cs="Times New Roman"/>
                <w:color w:val="auto"/>
                <w:kern w:val="0"/>
                <w:sz w:val="18"/>
                <w:szCs w:val="18"/>
                <w:highlight w:val="none"/>
              </w:rPr>
              <w:t>、截水沟</w:t>
            </w:r>
            <w:r>
              <w:rPr>
                <w:rFonts w:hint="eastAsia" w:cs="Times New Roman"/>
                <w:color w:val="auto"/>
                <w:kern w:val="0"/>
                <w:sz w:val="18"/>
                <w:szCs w:val="18"/>
                <w:highlight w:val="none"/>
              </w:rPr>
              <w:t>37001m</w:t>
            </w:r>
            <w:r>
              <w:rPr>
                <w:rFonts w:cs="Times New Roman"/>
                <w:color w:val="auto"/>
                <w:kern w:val="0"/>
                <w:sz w:val="18"/>
                <w:szCs w:val="18"/>
                <w:highlight w:val="none"/>
              </w:rPr>
              <w:t>、急流槽</w:t>
            </w:r>
            <w:r>
              <w:rPr>
                <w:rFonts w:hint="eastAsia" w:cs="Times New Roman"/>
                <w:color w:val="auto"/>
                <w:kern w:val="0"/>
                <w:sz w:val="18"/>
                <w:szCs w:val="18"/>
                <w:highlight w:val="none"/>
              </w:rPr>
              <w:t>7430m</w:t>
            </w:r>
            <w:r>
              <w:rPr>
                <w:rFonts w:cs="Times New Roman"/>
                <w:color w:val="auto"/>
                <w:kern w:val="0"/>
                <w:sz w:val="18"/>
                <w:szCs w:val="18"/>
                <w:highlight w:val="none"/>
              </w:rPr>
              <w:t>、沉沙池</w:t>
            </w:r>
            <w:r>
              <w:rPr>
                <w:rFonts w:hint="eastAsia" w:cs="Times New Roman"/>
                <w:color w:val="auto"/>
                <w:kern w:val="0"/>
                <w:sz w:val="18"/>
                <w:szCs w:val="18"/>
                <w:highlight w:val="none"/>
              </w:rPr>
              <w:t>60座</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表土剥离</w:t>
            </w:r>
            <w:r>
              <w:rPr>
                <w:rFonts w:hint="eastAsia" w:cs="Times New Roman"/>
                <w:color w:val="auto"/>
                <w:kern w:val="0"/>
                <w:sz w:val="18"/>
                <w:szCs w:val="18"/>
                <w:highlight w:val="none"/>
              </w:rPr>
              <w:t>61.5万</w:t>
            </w:r>
            <w:r>
              <w:rPr>
                <w:rFonts w:hint="default" w:cs="Times New Roman"/>
                <w:highlight w:val="none"/>
                <w:lang w:val="en-US" w:eastAsia="zh-CN"/>
              </w:rPr>
              <w:t>m</w:t>
            </w:r>
            <w:r>
              <w:rPr>
                <w:rFonts w:hint="default" w:cs="Times New Roman"/>
                <w:highlight w:val="none"/>
                <w:vertAlign w:val="superscript"/>
                <w:lang w:val="en-US" w:eastAsia="zh-CN"/>
              </w:rPr>
              <w:t>3</w:t>
            </w:r>
            <w:r>
              <w:rPr>
                <w:rFonts w:cs="Times New Roman"/>
                <w:color w:val="auto"/>
                <w:kern w:val="0"/>
                <w:sz w:val="18"/>
                <w:szCs w:val="18"/>
                <w:highlight w:val="none"/>
              </w:rPr>
              <w:t>、表土回覆</w:t>
            </w:r>
            <w:r>
              <w:rPr>
                <w:rFonts w:hint="eastAsia" w:cs="Times New Roman"/>
                <w:color w:val="auto"/>
                <w:kern w:val="0"/>
                <w:sz w:val="18"/>
                <w:szCs w:val="18"/>
                <w:highlight w:val="none"/>
                <w:lang w:val="en-US" w:eastAsia="zh-CN"/>
              </w:rPr>
              <w:t>32.64</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rPr>
              <w:t>主体设计：综合绿化面积46.97</w:t>
            </w:r>
            <w:r>
              <w:rPr>
                <w:rFonts w:hint="eastAsia" w:cs="Times New Roman"/>
                <w:color w:val="auto"/>
                <w:kern w:val="0"/>
                <w:sz w:val="18"/>
                <w:szCs w:val="18"/>
                <w:highlight w:val="none"/>
                <w:lang w:val="en-US" w:eastAsia="zh-CN"/>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（包含植物护坡面积，共植乔木36312株、植灌木30166株、植草469729</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hint="eastAsia" w:cs="Times New Roman"/>
                <w:color w:val="auto"/>
                <w:kern w:val="0"/>
                <w:sz w:val="18"/>
                <w:szCs w:val="18"/>
                <w:highlight w:val="none"/>
                <w:lang w:eastAsia="zh-CN"/>
              </w:rPr>
              <w:t>、</w:t>
            </w:r>
            <w:r>
              <w:rPr>
                <w:rFonts w:hint="eastAsia" w:cs="Times New Roman"/>
                <w:color w:val="auto"/>
                <w:kern w:val="0"/>
                <w:sz w:val="18"/>
                <w:szCs w:val="18"/>
                <w:highlight w:val="none"/>
              </w:rPr>
              <w:t>喷播植草护坡39242</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、挂三维网植草护坡56280</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、方格网植草护坡379</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cs="Times New Roman"/>
                <w:color w:val="auto"/>
                <w:kern w:val="0"/>
                <w:sz w:val="18"/>
                <w:szCs w:val="18"/>
                <w:highlight w:val="none"/>
              </w:rPr>
              <w:t>拱形骨架植草护坡</w:t>
            </w:r>
            <w:r>
              <w:rPr>
                <w:rFonts w:hint="eastAsia" w:cs="Times New Roman"/>
                <w:color w:val="auto"/>
                <w:kern w:val="0"/>
                <w:sz w:val="18"/>
                <w:szCs w:val="18"/>
                <w:highlight w:val="none"/>
              </w:rPr>
              <w:t>234838</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、挂CF网植草护坡44710</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、锚杆框架梁植草护坡81043</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、窗孔式护面墙植草护坡5251</w:t>
            </w:r>
            <w:r>
              <w:rPr>
                <w:rFonts w:cs="Times New Roman"/>
                <w:b w:val="0"/>
                <w:bCs w:val="0"/>
                <w:color w:val="auto"/>
                <w:highlight w:val="none"/>
              </w:rPr>
              <w:t>m</w:t>
            </w:r>
            <w:r>
              <w:rPr>
                <w:rFonts w:cs="Times New Roman"/>
                <w:b w:val="0"/>
                <w:bCs w:val="0"/>
                <w:color w:val="auto"/>
                <w:highlight w:val="none"/>
                <w:vertAlign w:val="superscript"/>
              </w:rPr>
              <w:t>2</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方案新增：临时拦水坎14530m、临时急流槽21800m、临时排水沟58700m、临时沉沙池84座、编织土袋挡墙临时拦挡18354m、无纺布临时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盖544940</w:t>
            </w:r>
            <w:r>
              <w:rPr>
                <w:rFonts w:cs="Times New Roman"/>
                <w:b w:val="0"/>
                <w:bCs w:val="0"/>
                <w:color w:val="auto"/>
                <w:highlight w:val="none"/>
              </w:rPr>
              <w:t>m</w:t>
            </w:r>
            <w:r>
              <w:rPr>
                <w:rFonts w:cs="Times New Roman"/>
                <w:b w:val="0"/>
                <w:bCs w:val="0"/>
                <w:color w:val="auto"/>
                <w:highlight w:val="none"/>
                <w:vertAlign w:val="superscript"/>
              </w:rPr>
              <w:t>2</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桥梁工程防治区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表土剥离</w:t>
            </w:r>
            <w:r>
              <w:rPr>
                <w:rFonts w:hint="eastAsia" w:cs="Times New Roman"/>
                <w:color w:val="auto"/>
                <w:kern w:val="0"/>
                <w:sz w:val="18"/>
                <w:szCs w:val="18"/>
                <w:highlight w:val="none"/>
              </w:rPr>
              <w:t>12.26万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9.86</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w:t>
            </w:r>
            <w:r>
              <w:rPr>
                <w:rFonts w:cs="Times New Roman"/>
                <w:color w:val="auto"/>
                <w:kern w:val="0"/>
                <w:sz w:val="18"/>
                <w:szCs w:val="18"/>
                <w:highlight w:val="none"/>
              </w:rPr>
              <w:t>土地整治</w:t>
            </w:r>
            <w:r>
              <w:rPr>
                <w:rFonts w:hint="eastAsia" w:cs="Times New Roman"/>
                <w:color w:val="auto"/>
                <w:kern w:val="0"/>
                <w:sz w:val="18"/>
                <w:szCs w:val="18"/>
                <w:highlight w:val="none"/>
              </w:rPr>
              <w:t>19.71</w:t>
            </w:r>
            <w:r>
              <w:rPr>
                <w:rFonts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方案新增：植被恢复19.71</w:t>
            </w:r>
            <w:r>
              <w:rPr>
                <w:rFonts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（植草）</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方案新增：临时排水沟28830m、临时沉沙池186座、编织土袋挡墙临时拦挡24920m、无纺布临时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盖54100</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隧道工程防治区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主体设计：洞外排水沟</w:t>
            </w:r>
            <w:r>
              <w:rPr>
                <w:rFonts w:hint="eastAsia" w:cs="Times New Roman"/>
                <w:color w:val="auto"/>
                <w:kern w:val="0"/>
                <w:sz w:val="18"/>
                <w:szCs w:val="18"/>
                <w:highlight w:val="none"/>
                <w:lang w:eastAsia="zh-CN"/>
              </w:rPr>
              <w:t>461</w:t>
            </w:r>
            <w:r>
              <w:rPr>
                <w:rFonts w:hint="eastAsia" w:cs="Times New Roman"/>
                <w:color w:val="auto"/>
                <w:kern w:val="0"/>
                <w:sz w:val="18"/>
                <w:szCs w:val="18"/>
                <w:highlight w:val="none"/>
              </w:rPr>
              <w:t>m、洞外截水沟</w:t>
            </w:r>
            <w:r>
              <w:rPr>
                <w:rFonts w:hint="eastAsia" w:cs="Times New Roman"/>
                <w:color w:val="auto"/>
                <w:kern w:val="0"/>
                <w:sz w:val="18"/>
                <w:szCs w:val="18"/>
                <w:highlight w:val="none"/>
                <w:lang w:eastAsia="zh-CN"/>
              </w:rPr>
              <w:t>2595</w:t>
            </w:r>
            <w:r>
              <w:rPr>
                <w:rFonts w:hint="eastAsia" w:cs="Times New Roman"/>
                <w:color w:val="auto"/>
                <w:kern w:val="0"/>
                <w:sz w:val="18"/>
                <w:szCs w:val="18"/>
                <w:highlight w:val="none"/>
              </w:rPr>
              <w:t>m、盲沟1598m、</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表土剥离</w:t>
            </w:r>
            <w:r>
              <w:rPr>
                <w:rFonts w:hint="eastAsia" w:cs="Times New Roman"/>
                <w:color w:val="auto"/>
                <w:kern w:val="0"/>
                <w:sz w:val="18"/>
                <w:szCs w:val="18"/>
                <w:highlight w:val="none"/>
              </w:rPr>
              <w:t>2.24万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1.94</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hint="eastAsia" w:eastAsia="仿宋_GB2312" w:cs="Times New Roman"/>
                <w:color w:val="FF0000"/>
                <w:kern w:val="0"/>
                <w:sz w:val="18"/>
                <w:szCs w:val="18"/>
                <w:highlight w:val="none"/>
                <w:lang w:eastAsia="zh-CN"/>
              </w:rPr>
            </w:pPr>
            <w:r>
              <w:rPr>
                <w:rFonts w:hint="eastAsia" w:cs="Times New Roman"/>
                <w:color w:val="auto"/>
                <w:kern w:val="0"/>
                <w:sz w:val="18"/>
                <w:szCs w:val="18"/>
                <w:highlight w:val="none"/>
              </w:rPr>
              <w:t>主体设计：综合绿化4.71h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（包含植物护坡面积，共植乔木2903株、植灌木75530株、植草47127</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hint="eastAsia" w:cs="Times New Roman"/>
                <w:color w:val="auto"/>
                <w:kern w:val="0"/>
                <w:sz w:val="18"/>
                <w:szCs w:val="18"/>
                <w:highlight w:val="none"/>
                <w:lang w:eastAsia="zh-CN"/>
              </w:rPr>
              <w:t>、挂网喷播植草1909</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方案新增：临时排水沟15200m、临时沉沙池16座、编织土袋挡墙临时拦挡</w:t>
            </w:r>
            <w:r>
              <w:rPr>
                <w:rFonts w:hint="eastAsia" w:cs="Times New Roman"/>
                <w:color w:val="auto"/>
                <w:kern w:val="0"/>
                <w:sz w:val="18"/>
                <w:szCs w:val="18"/>
                <w:highlight w:val="none"/>
                <w:lang w:val="en-US" w:eastAsia="zh-CN"/>
              </w:rPr>
              <w:t>4064</w:t>
            </w:r>
            <w:r>
              <w:rPr>
                <w:rFonts w:hint="eastAsia" w:cs="Times New Roman"/>
                <w:color w:val="auto"/>
                <w:kern w:val="0"/>
                <w:sz w:val="18"/>
                <w:szCs w:val="18"/>
                <w:highlight w:val="none"/>
              </w:rPr>
              <w:t>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w:t>
            </w:r>
          </w:p>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lang w:val="en-US" w:eastAsia="zh-CN"/>
              </w:rPr>
              <w:t>37</w:t>
            </w:r>
            <w:r>
              <w:rPr>
                <w:rFonts w:hint="eastAsia" w:cs="Times New Roman"/>
                <w:color w:val="auto"/>
                <w:kern w:val="0"/>
                <w:sz w:val="18"/>
                <w:szCs w:val="18"/>
                <w:highlight w:val="none"/>
              </w:rPr>
              <w:t>800</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互通工程</w:t>
            </w:r>
            <w:r>
              <w:rPr>
                <w:rFonts w:cs="Times New Roman"/>
                <w:color w:val="auto"/>
                <w:kern w:val="0"/>
                <w:sz w:val="18"/>
                <w:szCs w:val="18"/>
                <w:highlight w:val="none"/>
              </w:rPr>
              <w:t>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主体设计：排水沟34464m、纵向排水沟748</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、边沟30514m、坡顶截水沟7083m、平台截水沟10008m、急流槽153m、实体护坡1389</w:t>
            </w:r>
            <w:r>
              <w:rPr>
                <w:rFonts w:hint="default" w:cs="Times New Roman"/>
                <w:highlight w:val="none"/>
                <w:lang w:val="en-US" w:eastAsia="zh-CN"/>
              </w:rPr>
              <w:t>m</w:t>
            </w:r>
            <w:r>
              <w:rPr>
                <w:rFonts w:hint="default" w:cs="Times New Roman"/>
                <w:highlight w:val="none"/>
                <w:vertAlign w:val="superscript"/>
                <w:lang w:val="en-US" w:eastAsia="zh-CN"/>
              </w:rPr>
              <w:t>3</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表土剥离</w:t>
            </w:r>
            <w:r>
              <w:rPr>
                <w:rFonts w:hint="eastAsia" w:cs="Times New Roman"/>
                <w:color w:val="auto"/>
                <w:kern w:val="0"/>
                <w:sz w:val="18"/>
                <w:szCs w:val="18"/>
                <w:highlight w:val="none"/>
              </w:rPr>
              <w:t>47.86万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29.41</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hint="eastAsia" w:eastAsia="仿宋_GB2312" w:cs="Times New Roman"/>
                <w:color w:val="FF0000"/>
                <w:kern w:val="0"/>
                <w:sz w:val="18"/>
                <w:szCs w:val="18"/>
                <w:highlight w:val="none"/>
                <w:lang w:eastAsia="zh-CN"/>
              </w:rPr>
            </w:pPr>
            <w:r>
              <w:rPr>
                <w:rFonts w:hint="eastAsia" w:cs="Times New Roman"/>
                <w:color w:val="auto"/>
                <w:kern w:val="0"/>
                <w:sz w:val="18"/>
                <w:szCs w:val="18"/>
                <w:highlight w:val="none"/>
              </w:rPr>
              <w:t>主体设计：综合绿化23.59h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（包含植物护坡面积，共植乔木5962株、植灌木44370株、植草235858</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hint="eastAsia" w:cs="Times New Roman"/>
                <w:color w:val="auto"/>
                <w:kern w:val="0"/>
                <w:sz w:val="18"/>
                <w:szCs w:val="18"/>
                <w:highlight w:val="none"/>
                <w:lang w:eastAsia="zh-CN"/>
              </w:rPr>
              <w:t>、喷播</w:t>
            </w:r>
            <w:r>
              <w:rPr>
                <w:rFonts w:hint="eastAsia" w:cs="Times New Roman"/>
                <w:color w:val="auto"/>
                <w:kern w:val="0"/>
                <w:sz w:val="18"/>
                <w:szCs w:val="18"/>
                <w:highlight w:val="none"/>
              </w:rPr>
              <w:t>植草101892</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、三维网植草145300</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、CF网植草35105</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、拱形骨架植草144423</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、锚杆框架梁植草27134</w:t>
            </w:r>
            <w:r>
              <w:rPr>
                <w:rFonts w:cs="Times New Roman"/>
                <w:b w:val="0"/>
                <w:bCs w:val="0"/>
                <w:color w:val="auto"/>
                <w:highlight w:val="none"/>
              </w:rPr>
              <w:t>m</w:t>
            </w:r>
            <w:r>
              <w:rPr>
                <w:rFonts w:cs="Times New Roman"/>
                <w:b w:val="0"/>
                <w:bCs w:val="0"/>
                <w:color w:val="auto"/>
                <w:highlight w:val="none"/>
                <w:vertAlign w:val="superscript"/>
              </w:rPr>
              <w:t>2</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方案新增：临时拦水坎20040m、临时急流槽30060m、临时排水沟76300m、临时沉沙池20座、编织土袋挡墙临时拦挡27130m、无纺布临时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盖488850</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、表土撒播草籽（过渡性绿化）3.5h</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restart"/>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r>
              <w:rPr>
                <w:rFonts w:cs="Times New Roman"/>
                <w:color w:val="auto"/>
                <w:kern w:val="0"/>
                <w:sz w:val="18"/>
                <w:szCs w:val="18"/>
                <w:highlight w:val="none"/>
              </w:rPr>
              <w:t>防治措施及工程量</w:t>
            </w: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r>
              <w:rPr>
                <w:rFonts w:cs="Times New Roman"/>
                <w:color w:val="auto"/>
                <w:kern w:val="0"/>
                <w:sz w:val="18"/>
                <w:szCs w:val="18"/>
                <w:highlight w:val="none"/>
              </w:rPr>
              <w:t>沿线设施防治区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主体设计：排水沟4127m、边沟1014m、坡顶截水沟1050m、平台截水沟2448m、急流槽1132m、</w:t>
            </w:r>
          </w:p>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表土剥离</w:t>
            </w:r>
            <w:r>
              <w:rPr>
                <w:rFonts w:hint="eastAsia" w:cs="Times New Roman"/>
                <w:color w:val="auto"/>
                <w:kern w:val="0"/>
                <w:sz w:val="18"/>
                <w:szCs w:val="18"/>
                <w:highlight w:val="none"/>
              </w:rPr>
              <w:t>18.6万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5.48</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hint="eastAsia" w:eastAsia="仿宋_GB2312" w:cs="Times New Roman"/>
                <w:color w:val="FF0000"/>
                <w:kern w:val="0"/>
                <w:sz w:val="18"/>
                <w:szCs w:val="18"/>
                <w:highlight w:val="none"/>
                <w:lang w:eastAsia="zh-CN"/>
              </w:rPr>
            </w:pPr>
            <w:r>
              <w:rPr>
                <w:rFonts w:hint="eastAsia" w:cs="Times New Roman"/>
                <w:color w:val="auto"/>
                <w:kern w:val="0"/>
                <w:sz w:val="18"/>
                <w:szCs w:val="18"/>
                <w:highlight w:val="none"/>
              </w:rPr>
              <w:t>主体设计：综合绿化2.57h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（包含植物护坡面积，共植乔木1342株、植灌木367371株、植草25669</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hint="eastAsia" w:cs="Times New Roman"/>
                <w:color w:val="auto"/>
                <w:kern w:val="0"/>
                <w:sz w:val="18"/>
                <w:szCs w:val="18"/>
                <w:highlight w:val="none"/>
                <w:lang w:eastAsia="zh-CN"/>
              </w:rPr>
              <w:t>、</w:t>
            </w:r>
            <w:r>
              <w:rPr>
                <w:rFonts w:hint="eastAsia" w:cs="Times New Roman"/>
                <w:color w:val="auto"/>
                <w:kern w:val="0"/>
                <w:sz w:val="18"/>
                <w:szCs w:val="18"/>
                <w:highlight w:val="none"/>
              </w:rPr>
              <w:t>喷播植草3646</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、三维网植草5795</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、拱形骨架护坡植草138968</w:t>
            </w:r>
            <w:r>
              <w:rPr>
                <w:rFonts w:cs="Times New Roman"/>
                <w:b w:val="0"/>
                <w:bCs w:val="0"/>
                <w:color w:val="auto"/>
                <w:highlight w:val="none"/>
              </w:rPr>
              <w:t>m</w:t>
            </w:r>
            <w:r>
              <w:rPr>
                <w:rFonts w:cs="Times New Roman"/>
                <w:b w:val="0"/>
                <w:bCs w:val="0"/>
                <w:color w:val="auto"/>
                <w:highlight w:val="none"/>
                <w:vertAlign w:val="superscript"/>
              </w:rPr>
              <w:t>2</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方案新增：临时拦水坎1950m、临时急流槽2925m、临时排水沟6020m、临时沉沙池20座、编织土袋挡墙临时拦挡</w:t>
            </w:r>
            <w:r>
              <w:rPr>
                <w:rFonts w:hint="eastAsia" w:cs="Times New Roman"/>
                <w:color w:val="auto"/>
                <w:kern w:val="0"/>
                <w:sz w:val="18"/>
                <w:szCs w:val="18"/>
                <w:highlight w:val="none"/>
                <w:lang w:val="en-US" w:eastAsia="zh-CN"/>
              </w:rPr>
              <w:t>3</w:t>
            </w:r>
            <w:r>
              <w:rPr>
                <w:rFonts w:hint="eastAsia" w:cs="Times New Roman"/>
                <w:color w:val="auto"/>
                <w:kern w:val="0"/>
                <w:sz w:val="18"/>
                <w:szCs w:val="18"/>
                <w:highlight w:val="none"/>
              </w:rPr>
              <w:t>570m、无纺布临时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盖3</w:t>
            </w:r>
            <w:r>
              <w:rPr>
                <w:rFonts w:hint="eastAsia" w:cs="Times New Roman"/>
                <w:color w:val="auto"/>
                <w:kern w:val="0"/>
                <w:sz w:val="18"/>
                <w:szCs w:val="18"/>
                <w:highlight w:val="none"/>
                <w:lang w:val="en-US" w:eastAsia="zh-CN"/>
              </w:rPr>
              <w:t>9</w:t>
            </w:r>
            <w:r>
              <w:rPr>
                <w:rFonts w:hint="eastAsia" w:cs="Times New Roman"/>
                <w:color w:val="auto"/>
                <w:kern w:val="0"/>
                <w:sz w:val="18"/>
                <w:szCs w:val="18"/>
                <w:highlight w:val="none"/>
              </w:rPr>
              <w:t>9400</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、表土撒播草籽（过渡性绿化）13.14h</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改移工程防治区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lang w:val="en-US" w:eastAsia="zh-CN"/>
              </w:rPr>
            </w:pPr>
            <w:r>
              <w:rPr>
                <w:rFonts w:hint="eastAsia" w:cs="Times New Roman"/>
                <w:color w:val="auto"/>
                <w:kern w:val="0"/>
                <w:sz w:val="18"/>
                <w:szCs w:val="18"/>
                <w:highlight w:val="none"/>
              </w:rPr>
              <w:t>主体设计：边沟24405m、</w:t>
            </w:r>
            <w:r>
              <w:rPr>
                <w:rFonts w:hint="eastAsia" w:cs="Times New Roman"/>
                <w:color w:val="auto"/>
                <w:kern w:val="0"/>
                <w:sz w:val="18"/>
                <w:szCs w:val="18"/>
                <w:highlight w:val="none"/>
                <w:lang w:val="en-US" w:eastAsia="zh-CN"/>
              </w:rPr>
              <w:t>片石混凝土护坡4054</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lang w:val="en-US" w:eastAsia="zh-CN"/>
              </w:rPr>
              <w:t>。</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方案新增：表土剥离3.61万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1.64</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p>
        </w:tc>
        <w:tc>
          <w:tcPr>
            <w:tcW w:w="2081" w:type="dxa"/>
            <w:gridSpan w:val="2"/>
            <w:noWrap w:val="0"/>
            <w:vAlign w:val="center"/>
          </w:tcPr>
          <w:p>
            <w:pPr>
              <w:pStyle w:val="85"/>
              <w:keepNext w:val="0"/>
              <w:keepLines w:val="0"/>
              <w:suppressLineNumbers w:val="0"/>
              <w:spacing w:before="0" w:beforeAutospacing="0" w:after="0" w:afterAutospacing="0"/>
              <w:ind w:left="0" w:right="0"/>
              <w:rPr>
                <w:rFonts w:hint="eastAsia" w:cs="Times New Roman"/>
                <w:color w:val="FF0000"/>
                <w:kern w:val="0"/>
                <w:sz w:val="18"/>
                <w:szCs w:val="18"/>
                <w:highlight w:val="none"/>
              </w:rPr>
            </w:pPr>
            <w:r>
              <w:rPr>
                <w:rFonts w:hint="eastAsia" w:cs="Times New Roman"/>
                <w:color w:val="auto"/>
                <w:kern w:val="0"/>
                <w:sz w:val="18"/>
                <w:szCs w:val="18"/>
                <w:highlight w:val="none"/>
                <w:lang w:val="en-US" w:eastAsia="zh-CN"/>
              </w:rPr>
              <w:t>主体设计：</w:t>
            </w:r>
            <w:r>
              <w:rPr>
                <w:rFonts w:hint="eastAsia" w:cs="Times New Roman"/>
                <w:color w:val="auto"/>
                <w:kern w:val="0"/>
                <w:sz w:val="18"/>
                <w:szCs w:val="18"/>
                <w:highlight w:val="none"/>
              </w:rPr>
              <w:t>喷播植草护坡</w:t>
            </w:r>
            <w:r>
              <w:rPr>
                <w:rFonts w:hint="eastAsia" w:cs="Times New Roman"/>
                <w:color w:val="auto"/>
                <w:kern w:val="0"/>
                <w:sz w:val="18"/>
                <w:szCs w:val="18"/>
                <w:highlight w:val="none"/>
                <w:lang w:eastAsia="zh-CN"/>
              </w:rPr>
              <w:t>54705</w:t>
            </w:r>
            <w:r>
              <w:rPr>
                <w:rFonts w:cs="Times New Roman"/>
                <w:b w:val="0"/>
                <w:bCs w:val="0"/>
                <w:color w:val="auto"/>
                <w:highlight w:val="none"/>
              </w:rPr>
              <w:t>m</w:t>
            </w:r>
            <w:r>
              <w:rPr>
                <w:rFonts w:cs="Times New Roman"/>
                <w:b w:val="0"/>
                <w:bCs w:val="0"/>
                <w:color w:val="auto"/>
                <w:highlight w:val="none"/>
                <w:vertAlign w:val="superscript"/>
              </w:rPr>
              <w:t>2</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方案新增：临时排水沟26400m、临时沉沙池20座、编织土袋挡墙临时拦挡7120m、无纺布临时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w:t>
            </w:r>
            <w:r>
              <w:rPr>
                <w:rFonts w:hint="eastAsia" w:cs="Times New Roman"/>
                <w:color w:val="auto"/>
                <w:kern w:val="0"/>
                <w:sz w:val="18"/>
                <w:szCs w:val="18"/>
                <w:highlight w:val="none"/>
                <w:lang w:val="en-US" w:eastAsia="zh-CN"/>
              </w:rPr>
              <w:t>5</w:t>
            </w:r>
            <w:r>
              <w:rPr>
                <w:rFonts w:hint="eastAsia" w:cs="Times New Roman"/>
                <w:color w:val="auto"/>
                <w:kern w:val="0"/>
                <w:sz w:val="18"/>
                <w:szCs w:val="18"/>
                <w:highlight w:val="none"/>
              </w:rPr>
              <w:t>3070</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施工生产生活区防治区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主体设计：表土剥离10.52万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17.54</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、土地整治35.08h</w:t>
            </w:r>
            <w:r>
              <w:rPr>
                <w:rFonts w:cs="Times New Roman"/>
                <w:b w:val="0"/>
                <w:bCs w:val="0"/>
                <w:color w:val="auto"/>
                <w:highlight w:val="none"/>
              </w:rPr>
              <w:t>m</w:t>
            </w:r>
            <w:r>
              <w:rPr>
                <w:rFonts w:cs="Times New Roman"/>
                <w:b w:val="0"/>
                <w:bCs w:val="0"/>
                <w:color w:val="auto"/>
                <w:highlight w:val="none"/>
                <w:vertAlign w:val="superscript"/>
              </w:rPr>
              <w:t>2</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主体设计：综合绿化35.08h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（植乔木87703株，播种灌草35.08h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主体设计：临时排水沟70009m、编织土袋挡墙临时拦挡27306m、无纺布临时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盖47342</w:t>
            </w:r>
            <w:r>
              <w:rPr>
                <w:rFonts w:cs="Times New Roman"/>
                <w:b w:val="0"/>
                <w:bCs w:val="0"/>
                <w:color w:val="auto"/>
                <w:highlight w:val="none"/>
              </w:rPr>
              <w:t>m</w:t>
            </w:r>
            <w:r>
              <w:rPr>
                <w:rFonts w:cs="Times New Roman"/>
                <w:b w:val="0"/>
                <w:bCs w:val="0"/>
                <w:color w:val="auto"/>
                <w:highlight w:val="none"/>
                <w:vertAlign w:val="superscript"/>
              </w:rPr>
              <w:t>2</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方案新增：临时沉沙池31座、表土撒播草籽（过渡性绿化）6.80h</w:t>
            </w:r>
            <w:r>
              <w:rPr>
                <w:rFonts w:cs="Times New Roman"/>
                <w:b w:val="0"/>
                <w:bCs w:val="0"/>
                <w:color w:val="auto"/>
                <w:highlight w:val="none"/>
              </w:rPr>
              <w:t>m</w:t>
            </w:r>
            <w:r>
              <w:rPr>
                <w:rFonts w:cs="Times New Roman"/>
                <w:b w:val="0"/>
                <w:bCs w:val="0"/>
                <w:color w:val="auto"/>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施工便道防治区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rPr>
              <w:t>主体设计：表土剥离</w:t>
            </w:r>
            <w:r>
              <w:rPr>
                <w:rFonts w:hint="eastAsia" w:cs="Times New Roman"/>
                <w:color w:val="auto"/>
                <w:kern w:val="0"/>
                <w:sz w:val="18"/>
                <w:szCs w:val="18"/>
                <w:highlight w:val="none"/>
                <w:lang w:eastAsia="zh-CN"/>
              </w:rPr>
              <w:t>11.24</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、表土回覆</w:t>
            </w:r>
            <w:r>
              <w:rPr>
                <w:rFonts w:hint="eastAsia" w:cs="Times New Roman"/>
                <w:color w:val="auto"/>
                <w:kern w:val="0"/>
                <w:sz w:val="18"/>
                <w:szCs w:val="18"/>
                <w:highlight w:val="none"/>
                <w:lang w:eastAsia="zh-CN"/>
              </w:rPr>
              <w:t>37.61</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hint="eastAsia" w:cs="Times New Roman"/>
                <w:color w:val="auto"/>
                <w:kern w:val="0"/>
                <w:sz w:val="18"/>
                <w:szCs w:val="18"/>
                <w:highlight w:val="none"/>
              </w:rPr>
              <w:t>、土地整治</w:t>
            </w:r>
            <w:r>
              <w:rPr>
                <w:rFonts w:hint="eastAsia" w:cs="Times New Roman"/>
                <w:color w:val="auto"/>
                <w:kern w:val="0"/>
                <w:sz w:val="18"/>
                <w:szCs w:val="18"/>
                <w:highlight w:val="none"/>
                <w:lang w:eastAsia="zh-CN"/>
              </w:rPr>
              <w:t>56.19</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复耕31.73h</w:t>
            </w:r>
            <w:r>
              <w:rPr>
                <w:rFonts w:cs="Times New Roman"/>
                <w:b w:val="0"/>
                <w:bCs w:val="0"/>
                <w:color w:val="auto"/>
                <w:highlight w:val="none"/>
              </w:rPr>
              <w:t>m</w:t>
            </w:r>
            <w:r>
              <w:rPr>
                <w:rFonts w:cs="Times New Roman"/>
                <w:b w:val="0"/>
                <w:bCs w:val="0"/>
                <w:color w:val="auto"/>
                <w:highlight w:val="none"/>
                <w:vertAlign w:val="superscript"/>
              </w:rPr>
              <w:t>2</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rPr>
              <w:t>主体设计：综合绿化</w:t>
            </w:r>
            <w:r>
              <w:rPr>
                <w:rFonts w:hint="eastAsia" w:cs="Times New Roman"/>
                <w:color w:val="auto"/>
                <w:kern w:val="0"/>
                <w:sz w:val="18"/>
                <w:szCs w:val="18"/>
                <w:highlight w:val="none"/>
                <w:lang w:eastAsia="zh-CN"/>
              </w:rPr>
              <w:t>24.46</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（植乔木</w:t>
            </w:r>
            <w:r>
              <w:rPr>
                <w:rFonts w:hint="eastAsia" w:cs="Times New Roman"/>
                <w:color w:val="auto"/>
                <w:kern w:val="0"/>
                <w:sz w:val="18"/>
                <w:szCs w:val="18"/>
                <w:highlight w:val="none"/>
                <w:lang w:eastAsia="zh-CN"/>
              </w:rPr>
              <w:t>61152</w:t>
            </w:r>
            <w:r>
              <w:rPr>
                <w:rFonts w:hint="eastAsia" w:cs="Times New Roman"/>
                <w:color w:val="auto"/>
                <w:kern w:val="0"/>
                <w:sz w:val="18"/>
                <w:szCs w:val="18"/>
                <w:highlight w:val="none"/>
              </w:rPr>
              <w:t>株，播种灌草</w:t>
            </w:r>
            <w:r>
              <w:rPr>
                <w:rFonts w:hint="eastAsia" w:cs="Times New Roman"/>
                <w:color w:val="auto"/>
                <w:kern w:val="0"/>
                <w:sz w:val="18"/>
                <w:szCs w:val="18"/>
                <w:highlight w:val="none"/>
                <w:lang w:eastAsia="zh-CN"/>
              </w:rPr>
              <w:t>24.46</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主体设计：临时排水沟</w:t>
            </w:r>
            <w:r>
              <w:rPr>
                <w:rFonts w:hint="eastAsia" w:cs="Times New Roman"/>
                <w:color w:val="auto"/>
                <w:kern w:val="0"/>
                <w:sz w:val="18"/>
                <w:szCs w:val="18"/>
                <w:highlight w:val="none"/>
                <w:lang w:eastAsia="zh-CN"/>
              </w:rPr>
              <w:t>108868</w:t>
            </w:r>
            <w:r>
              <w:rPr>
                <w:rFonts w:hint="eastAsia" w:cs="Times New Roman"/>
                <w:color w:val="auto"/>
                <w:kern w:val="0"/>
                <w:sz w:val="18"/>
                <w:szCs w:val="18"/>
                <w:highlight w:val="none"/>
              </w:rPr>
              <w:t>m、编织土袋挡墙临时拦挡</w:t>
            </w:r>
            <w:r>
              <w:rPr>
                <w:rFonts w:hint="eastAsia" w:cs="Times New Roman"/>
                <w:color w:val="auto"/>
                <w:kern w:val="0"/>
                <w:sz w:val="18"/>
                <w:szCs w:val="18"/>
                <w:highlight w:val="none"/>
                <w:lang w:eastAsia="zh-CN"/>
              </w:rPr>
              <w:t>42142</w:t>
            </w:r>
            <w:r>
              <w:rPr>
                <w:rFonts w:hint="eastAsia" w:cs="Times New Roman"/>
                <w:color w:val="auto"/>
                <w:kern w:val="0"/>
                <w:sz w:val="18"/>
                <w:szCs w:val="18"/>
                <w:highlight w:val="none"/>
              </w:rPr>
              <w:t>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w:t>
            </w:r>
            <w:r>
              <w:rPr>
                <w:rFonts w:hint="eastAsia" w:cs="Times New Roman"/>
                <w:color w:val="auto"/>
                <w:kern w:val="0"/>
                <w:sz w:val="18"/>
                <w:szCs w:val="18"/>
                <w:highlight w:val="none"/>
                <w:lang w:eastAsia="zh-CN"/>
              </w:rPr>
              <w:t>44952</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p>
            <w:pPr>
              <w:pStyle w:val="85"/>
              <w:keepNext w:val="0"/>
              <w:keepLines w:val="0"/>
              <w:suppressLineNumbers w:val="0"/>
              <w:spacing w:before="0" w:beforeAutospacing="0" w:after="0" w:afterAutospacing="0"/>
              <w:ind w:left="0" w:right="0"/>
              <w:jc w:val="left"/>
              <w:rPr>
                <w:rFonts w:cs="Times New Roman"/>
                <w:color w:val="FF0000"/>
                <w:kern w:val="0"/>
                <w:sz w:val="18"/>
                <w:szCs w:val="18"/>
                <w:highlight w:val="none"/>
              </w:rPr>
            </w:pPr>
            <w:r>
              <w:rPr>
                <w:rFonts w:hint="eastAsia" w:cs="Times New Roman"/>
                <w:color w:val="auto"/>
                <w:kern w:val="0"/>
                <w:sz w:val="18"/>
                <w:szCs w:val="18"/>
                <w:highlight w:val="none"/>
                <w:lang w:val="en-US" w:eastAsia="zh-CN"/>
              </w:rPr>
              <w:t>方案新增</w:t>
            </w:r>
            <w:r>
              <w:rPr>
                <w:rFonts w:hint="eastAsia" w:cs="Times New Roman"/>
                <w:color w:val="auto"/>
                <w:kern w:val="0"/>
                <w:sz w:val="18"/>
                <w:szCs w:val="18"/>
                <w:highlight w:val="none"/>
              </w:rPr>
              <w:t>：临时沉沙池52座。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弃渣场防治区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主体设计：</w:t>
            </w:r>
            <w:r>
              <w:rPr>
                <w:rFonts w:cs="Times New Roman"/>
                <w:color w:val="auto"/>
                <w:kern w:val="0"/>
                <w:sz w:val="18"/>
                <w:szCs w:val="18"/>
                <w:highlight w:val="none"/>
              </w:rPr>
              <w:t>表土剥离</w:t>
            </w:r>
            <w:r>
              <w:rPr>
                <w:rFonts w:hint="eastAsia" w:cs="Times New Roman"/>
                <w:color w:val="auto"/>
                <w:kern w:val="0"/>
                <w:sz w:val="18"/>
                <w:szCs w:val="18"/>
                <w:highlight w:val="none"/>
                <w:lang w:eastAsia="zh-CN"/>
              </w:rPr>
              <w:t>18.11</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cs="Times New Roman"/>
                <w:color w:val="auto"/>
                <w:kern w:val="0"/>
                <w:sz w:val="18"/>
                <w:szCs w:val="18"/>
                <w:highlight w:val="none"/>
              </w:rPr>
              <w:t>、表土回覆</w:t>
            </w:r>
            <w:r>
              <w:rPr>
                <w:rFonts w:hint="eastAsia" w:cs="Times New Roman"/>
                <w:color w:val="auto"/>
                <w:kern w:val="0"/>
                <w:sz w:val="18"/>
                <w:szCs w:val="18"/>
                <w:highlight w:val="none"/>
                <w:lang w:eastAsia="zh-CN"/>
              </w:rPr>
              <w:t>49.82</w:t>
            </w:r>
            <w:r>
              <w:rPr>
                <w:rFonts w:hint="eastAsia" w:cs="Times New Roman"/>
                <w:color w:val="auto"/>
                <w:kern w:val="0"/>
                <w:sz w:val="18"/>
                <w:szCs w:val="18"/>
                <w:highlight w:val="none"/>
              </w:rPr>
              <w:t>万</w:t>
            </w:r>
            <w:r>
              <w:rPr>
                <w:rFonts w:hint="default" w:cs="Times New Roman"/>
                <w:highlight w:val="none"/>
                <w:lang w:val="en-US" w:eastAsia="zh-CN"/>
              </w:rPr>
              <w:t>m</w:t>
            </w:r>
            <w:r>
              <w:rPr>
                <w:rFonts w:hint="default" w:cs="Times New Roman"/>
                <w:highlight w:val="none"/>
                <w:vertAlign w:val="superscript"/>
                <w:lang w:val="en-US" w:eastAsia="zh-CN"/>
              </w:rPr>
              <w:t>3</w:t>
            </w:r>
            <w:r>
              <w:rPr>
                <w:rFonts w:cs="Times New Roman"/>
                <w:color w:val="auto"/>
                <w:kern w:val="0"/>
                <w:sz w:val="18"/>
                <w:szCs w:val="18"/>
                <w:highlight w:val="none"/>
              </w:rPr>
              <w:t>、挡渣墙</w:t>
            </w:r>
            <w:r>
              <w:rPr>
                <w:rFonts w:hint="eastAsia" w:cs="Times New Roman"/>
                <w:color w:val="auto"/>
                <w:kern w:val="0"/>
                <w:sz w:val="18"/>
                <w:szCs w:val="18"/>
                <w:highlight w:val="none"/>
                <w:lang w:eastAsia="zh-CN"/>
              </w:rPr>
              <w:t>1148</w:t>
            </w:r>
            <w:r>
              <w:rPr>
                <w:rFonts w:hint="eastAsia" w:cs="Times New Roman"/>
                <w:color w:val="auto"/>
                <w:kern w:val="0"/>
                <w:sz w:val="18"/>
                <w:szCs w:val="18"/>
                <w:highlight w:val="none"/>
              </w:rPr>
              <w:t>m</w:t>
            </w:r>
            <w:r>
              <w:rPr>
                <w:rFonts w:cs="Times New Roman"/>
                <w:color w:val="auto"/>
                <w:kern w:val="0"/>
                <w:sz w:val="18"/>
                <w:szCs w:val="18"/>
                <w:highlight w:val="none"/>
              </w:rPr>
              <w:t>、排水沟</w:t>
            </w:r>
            <w:r>
              <w:rPr>
                <w:rFonts w:hint="eastAsia" w:cs="Times New Roman"/>
                <w:color w:val="auto"/>
                <w:kern w:val="0"/>
                <w:sz w:val="18"/>
                <w:szCs w:val="18"/>
                <w:highlight w:val="none"/>
                <w:lang w:val="en-US" w:eastAsia="zh-CN"/>
              </w:rPr>
              <w:t>及消力槛</w:t>
            </w:r>
            <w:r>
              <w:rPr>
                <w:rFonts w:hint="eastAsia" w:cs="Times New Roman"/>
                <w:color w:val="auto"/>
                <w:kern w:val="0"/>
                <w:sz w:val="18"/>
                <w:szCs w:val="18"/>
                <w:highlight w:val="none"/>
                <w:lang w:eastAsia="zh-CN"/>
              </w:rPr>
              <w:t>43552</w:t>
            </w:r>
            <w:r>
              <w:rPr>
                <w:rFonts w:hint="default" w:cs="Times New Roman"/>
                <w:highlight w:val="none"/>
                <w:lang w:val="en-US" w:eastAsia="zh-CN"/>
              </w:rPr>
              <w:t>m</w:t>
            </w:r>
            <w:r>
              <w:rPr>
                <w:rFonts w:hint="default" w:cs="Times New Roman"/>
                <w:highlight w:val="none"/>
                <w:vertAlign w:val="superscript"/>
                <w:lang w:val="en-US" w:eastAsia="zh-CN"/>
              </w:rPr>
              <w:t>3</w:t>
            </w:r>
            <w:r>
              <w:rPr>
                <w:rFonts w:cs="Times New Roman"/>
                <w:color w:val="auto"/>
                <w:kern w:val="0"/>
                <w:sz w:val="18"/>
                <w:szCs w:val="18"/>
                <w:highlight w:val="none"/>
              </w:rPr>
              <w:t>、盲沟</w:t>
            </w:r>
            <w:r>
              <w:rPr>
                <w:rFonts w:hint="eastAsia" w:cs="Times New Roman"/>
                <w:color w:val="auto"/>
                <w:kern w:val="0"/>
                <w:sz w:val="18"/>
                <w:szCs w:val="18"/>
                <w:highlight w:val="none"/>
                <w:lang w:eastAsia="zh-CN"/>
              </w:rPr>
              <w:t>9030</w:t>
            </w:r>
            <w:r>
              <w:rPr>
                <w:rFonts w:hint="eastAsia" w:cs="Times New Roman"/>
                <w:color w:val="auto"/>
                <w:kern w:val="0"/>
                <w:sz w:val="18"/>
                <w:szCs w:val="18"/>
                <w:highlight w:val="none"/>
              </w:rPr>
              <w:t>m</w:t>
            </w:r>
            <w:r>
              <w:rPr>
                <w:rFonts w:cs="Times New Roman"/>
                <w:color w:val="auto"/>
                <w:kern w:val="0"/>
                <w:sz w:val="18"/>
                <w:szCs w:val="18"/>
                <w:highlight w:val="none"/>
              </w:rPr>
              <w:t>、</w:t>
            </w:r>
            <w:r>
              <w:rPr>
                <w:rFonts w:hint="eastAsia" w:cs="Times New Roman"/>
                <w:color w:val="auto"/>
                <w:kern w:val="0"/>
                <w:sz w:val="18"/>
                <w:szCs w:val="18"/>
                <w:highlight w:val="none"/>
                <w:lang w:val="en-US" w:eastAsia="zh-CN"/>
              </w:rPr>
              <w:t>消力池50座、</w:t>
            </w:r>
            <w:r>
              <w:rPr>
                <w:rFonts w:cs="Times New Roman"/>
                <w:color w:val="auto"/>
                <w:kern w:val="0"/>
                <w:sz w:val="18"/>
                <w:szCs w:val="18"/>
                <w:highlight w:val="none"/>
              </w:rPr>
              <w:t>土地整治</w:t>
            </w:r>
            <w:r>
              <w:rPr>
                <w:rFonts w:hint="eastAsia" w:cs="Times New Roman"/>
                <w:color w:val="auto"/>
                <w:kern w:val="0"/>
                <w:sz w:val="18"/>
                <w:szCs w:val="18"/>
                <w:highlight w:val="none"/>
                <w:lang w:eastAsia="zh-CN"/>
              </w:rPr>
              <w:t>86.1</w:t>
            </w:r>
            <w:r>
              <w:rPr>
                <w:rFonts w:hint="eastAsia" w:cs="Times New Roman"/>
                <w:color w:val="auto"/>
                <w:kern w:val="0"/>
                <w:sz w:val="18"/>
                <w:szCs w:val="18"/>
                <w:highlight w:val="none"/>
                <w:lang w:val="en-US" w:eastAsia="zh-CN"/>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、复耕</w:t>
            </w:r>
            <w:r>
              <w:rPr>
                <w:rFonts w:hint="eastAsia" w:cs="Times New Roman"/>
                <w:color w:val="auto"/>
                <w:kern w:val="0"/>
                <w:sz w:val="18"/>
                <w:szCs w:val="18"/>
                <w:highlight w:val="none"/>
                <w:lang w:eastAsia="zh-CN"/>
              </w:rPr>
              <w:t>22.55</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方案新增：平台排水沟</w:t>
            </w:r>
            <w:r>
              <w:rPr>
                <w:rFonts w:hint="eastAsia" w:cs="Times New Roman"/>
                <w:color w:val="auto"/>
                <w:kern w:val="0"/>
                <w:sz w:val="18"/>
                <w:szCs w:val="18"/>
                <w:highlight w:val="none"/>
                <w:lang w:eastAsia="zh-CN"/>
              </w:rPr>
              <w:t>8936</w:t>
            </w:r>
            <w:r>
              <w:rPr>
                <w:rFonts w:hint="eastAsia" w:cs="Times New Roman"/>
                <w:color w:val="auto"/>
                <w:kern w:val="0"/>
                <w:sz w:val="18"/>
                <w:szCs w:val="18"/>
                <w:highlight w:val="none"/>
              </w:rPr>
              <w:t>m、</w:t>
            </w:r>
            <w:r>
              <w:rPr>
                <w:rFonts w:hint="eastAsia" w:cs="Times New Roman"/>
                <w:color w:val="auto"/>
                <w:kern w:val="0"/>
                <w:sz w:val="18"/>
                <w:szCs w:val="18"/>
                <w:highlight w:val="none"/>
                <w:lang w:eastAsia="zh-CN"/>
              </w:rPr>
              <w:t>渣面土埂6361</w:t>
            </w:r>
            <w:r>
              <w:rPr>
                <w:rFonts w:hint="default" w:cs="Times New Roman"/>
                <w:highlight w:val="none"/>
                <w:lang w:val="en-US" w:eastAsia="zh-CN"/>
              </w:rPr>
              <w:t>m</w:t>
            </w:r>
            <w:r>
              <w:rPr>
                <w:rFonts w:hint="default" w:cs="Times New Roman"/>
                <w:highlight w:val="none"/>
                <w:vertAlign w:val="superscript"/>
                <w:lang w:val="en-US" w:eastAsia="zh-CN"/>
              </w:rPr>
              <w:t>3</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主体设计：综合绿化</w:t>
            </w:r>
            <w:r>
              <w:rPr>
                <w:rFonts w:hint="eastAsia" w:cs="Times New Roman"/>
                <w:color w:val="auto"/>
                <w:kern w:val="0"/>
                <w:sz w:val="18"/>
                <w:szCs w:val="18"/>
                <w:highlight w:val="none"/>
                <w:lang w:eastAsia="zh-CN"/>
              </w:rPr>
              <w:t>63.55</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（植乔木158875</w:t>
            </w:r>
            <w:r>
              <w:rPr>
                <w:rFonts w:hint="eastAsia" w:cs="Times New Roman"/>
                <w:color w:val="auto"/>
                <w:kern w:val="0"/>
                <w:sz w:val="18"/>
                <w:szCs w:val="18"/>
                <w:highlight w:val="none"/>
                <w:lang w:val="en-US" w:eastAsia="zh-CN"/>
              </w:rPr>
              <w:t>棵</w:t>
            </w:r>
            <w:r>
              <w:rPr>
                <w:rFonts w:hint="eastAsia" w:cs="Times New Roman"/>
                <w:color w:val="auto"/>
                <w:kern w:val="0"/>
                <w:sz w:val="18"/>
                <w:szCs w:val="18"/>
                <w:highlight w:val="none"/>
              </w:rPr>
              <w:t>，播种灌草</w:t>
            </w:r>
            <w:r>
              <w:rPr>
                <w:rFonts w:hint="eastAsia" w:cs="Times New Roman"/>
                <w:color w:val="auto"/>
                <w:kern w:val="0"/>
                <w:sz w:val="18"/>
                <w:szCs w:val="18"/>
                <w:highlight w:val="none"/>
                <w:lang w:eastAsia="zh-CN"/>
              </w:rPr>
              <w:t>63.55</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主体设计：无纺布临时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w:t>
            </w:r>
            <w:r>
              <w:rPr>
                <w:rFonts w:hint="eastAsia" w:cs="Times New Roman"/>
                <w:color w:val="auto"/>
                <w:kern w:val="0"/>
                <w:sz w:val="18"/>
                <w:szCs w:val="18"/>
                <w:highlight w:val="none"/>
                <w:lang w:eastAsia="zh-CN"/>
              </w:rPr>
              <w:t>63.14</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p>
            <w:pPr>
              <w:pStyle w:val="85"/>
              <w:keepNext w:val="0"/>
              <w:keepLines w:val="0"/>
              <w:suppressLineNumbers w:val="0"/>
              <w:spacing w:before="0" w:beforeAutospacing="0" w:after="0" w:afterAutospacing="0"/>
              <w:ind w:left="0" w:right="0"/>
              <w:jc w:val="left"/>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方案新增：临时排水沟9332m、沉沙函8座</w:t>
            </w:r>
          </w:p>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pStyle w:val="85"/>
              <w:keepNext w:val="0"/>
              <w:keepLines w:val="0"/>
              <w:suppressLineNumbers w:val="0"/>
              <w:spacing w:before="0" w:beforeAutospacing="0" w:after="0" w:afterAutospacing="0"/>
              <w:ind w:left="0" w:right="0"/>
              <w:rPr>
                <w:rFonts w:cs="Times New Roman"/>
                <w:color w:val="FF0000"/>
                <w:kern w:val="0"/>
                <w:sz w:val="18"/>
                <w:szCs w:val="18"/>
                <w:highlight w:val="none"/>
              </w:rPr>
            </w:pPr>
          </w:p>
        </w:tc>
        <w:tc>
          <w:tcPr>
            <w:tcW w:w="1001" w:type="dxa"/>
            <w:gridSpan w:val="2"/>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表土堆放场防治区</w:t>
            </w:r>
          </w:p>
        </w:tc>
        <w:tc>
          <w:tcPr>
            <w:tcW w:w="2980" w:type="dxa"/>
            <w:gridSpan w:val="3"/>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w:t>
            </w:r>
            <w:r>
              <w:rPr>
                <w:rFonts w:cs="Times New Roman"/>
                <w:color w:val="auto"/>
                <w:kern w:val="0"/>
                <w:sz w:val="18"/>
                <w:szCs w:val="18"/>
                <w:highlight w:val="none"/>
              </w:rPr>
              <w:t>土地整治</w:t>
            </w:r>
            <w:r>
              <w:rPr>
                <w:rFonts w:hint="eastAsia" w:cs="Times New Roman"/>
                <w:color w:val="auto"/>
                <w:kern w:val="0"/>
                <w:sz w:val="18"/>
                <w:szCs w:val="18"/>
                <w:highlight w:val="none"/>
              </w:rPr>
              <w:t>28.38h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、复耕</w:t>
            </w:r>
            <w:r>
              <w:rPr>
                <w:rFonts w:hint="eastAsia" w:cs="Times New Roman"/>
                <w:color w:val="auto"/>
                <w:kern w:val="0"/>
                <w:sz w:val="18"/>
                <w:szCs w:val="18"/>
                <w:highlight w:val="none"/>
                <w:lang w:val="en-US" w:eastAsia="zh-CN"/>
              </w:rPr>
              <w:t>22.77</w:t>
            </w:r>
            <w:r>
              <w:rPr>
                <w:rFonts w:hint="eastAsia" w:cs="Times New Roman"/>
                <w:color w:val="auto"/>
                <w:kern w:val="0"/>
                <w:sz w:val="18"/>
                <w:szCs w:val="18"/>
                <w:highlight w:val="none"/>
              </w:rPr>
              <w:t>h</w:t>
            </w:r>
            <w:r>
              <w:rPr>
                <w:rFonts w:cs="Times New Roman"/>
                <w:b w:val="0"/>
                <w:bCs w:val="0"/>
                <w:color w:val="auto"/>
                <w:highlight w:val="none"/>
              </w:rPr>
              <w:t>m</w:t>
            </w:r>
            <w:r>
              <w:rPr>
                <w:rFonts w:cs="Times New Roman"/>
                <w:b w:val="0"/>
                <w:bCs w:val="0"/>
                <w:color w:val="auto"/>
                <w:highlight w:val="none"/>
                <w:vertAlign w:val="superscript"/>
              </w:rPr>
              <w:t>2</w:t>
            </w:r>
            <w:r>
              <w:rPr>
                <w:rFonts w:cs="Times New Roman"/>
                <w:color w:val="auto"/>
                <w:kern w:val="0"/>
                <w:sz w:val="18"/>
                <w:szCs w:val="18"/>
                <w:highlight w:val="none"/>
              </w:rPr>
              <w:t>；</w:t>
            </w:r>
          </w:p>
        </w:tc>
        <w:tc>
          <w:tcPr>
            <w:tcW w:w="2081" w:type="dxa"/>
            <w:gridSpan w:val="2"/>
            <w:noWrap w:val="0"/>
            <w:vAlign w:val="center"/>
          </w:tcPr>
          <w:p>
            <w:pPr>
              <w:pStyle w:val="85"/>
              <w:keepNext w:val="0"/>
              <w:keepLines w:val="0"/>
              <w:suppressLineNumbers w:val="0"/>
              <w:spacing w:before="0" w:beforeAutospacing="0" w:after="0" w:afterAutospacing="0"/>
              <w:ind w:left="0" w:right="0"/>
              <w:jc w:val="left"/>
              <w:rPr>
                <w:rFonts w:cs="Times New Roman"/>
                <w:color w:val="auto"/>
                <w:kern w:val="0"/>
                <w:sz w:val="18"/>
                <w:szCs w:val="18"/>
                <w:highlight w:val="none"/>
              </w:rPr>
            </w:pPr>
            <w:r>
              <w:rPr>
                <w:rFonts w:hint="eastAsia" w:cs="Times New Roman"/>
                <w:color w:val="auto"/>
                <w:kern w:val="0"/>
                <w:sz w:val="18"/>
                <w:szCs w:val="18"/>
                <w:highlight w:val="none"/>
              </w:rPr>
              <w:t>方案新增：综合绿化5.61h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tc>
        <w:tc>
          <w:tcPr>
            <w:tcW w:w="2440" w:type="dxa"/>
            <w:gridSpan w:val="4"/>
            <w:noWrap w:val="0"/>
            <w:vAlign w:val="center"/>
          </w:tcPr>
          <w:p>
            <w:pPr>
              <w:pStyle w:val="85"/>
              <w:keepNext w:val="0"/>
              <w:keepLines w:val="0"/>
              <w:suppressLineNumbers w:val="0"/>
              <w:spacing w:before="0" w:beforeAutospacing="0" w:after="0" w:afterAutospacing="0"/>
              <w:ind w:left="0" w:right="0"/>
              <w:jc w:val="left"/>
              <w:rPr>
                <w:rFonts w:hint="eastAsia" w:cs="Times New Roman"/>
                <w:color w:val="auto"/>
                <w:kern w:val="0"/>
                <w:sz w:val="18"/>
                <w:szCs w:val="18"/>
                <w:highlight w:val="none"/>
              </w:rPr>
            </w:pPr>
            <w:r>
              <w:rPr>
                <w:rFonts w:hint="eastAsia" w:cs="Times New Roman"/>
                <w:color w:val="auto"/>
                <w:kern w:val="0"/>
                <w:sz w:val="18"/>
                <w:szCs w:val="18"/>
                <w:highlight w:val="none"/>
              </w:rPr>
              <w:t>方案新增：编织土袋挡墙临时拦挡1888m、无纺布临时</w:t>
            </w:r>
            <w:r>
              <w:rPr>
                <w:rFonts w:hint="eastAsia" w:cs="Times New Roman"/>
                <w:color w:val="auto"/>
                <w:kern w:val="0"/>
                <w:sz w:val="18"/>
                <w:szCs w:val="18"/>
                <w:highlight w:val="none"/>
                <w:lang w:eastAsia="zh-CN"/>
              </w:rPr>
              <w:t>覆</w:t>
            </w:r>
            <w:r>
              <w:rPr>
                <w:rFonts w:hint="eastAsia" w:cs="Times New Roman"/>
                <w:color w:val="auto"/>
                <w:kern w:val="0"/>
                <w:sz w:val="18"/>
                <w:szCs w:val="18"/>
                <w:highlight w:val="none"/>
              </w:rPr>
              <w:t>盖28.38h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、临时排水沟1888m、临时沉沙池50座、表土撒播草籽28.38h</w:t>
            </w:r>
            <w:r>
              <w:rPr>
                <w:rFonts w:cs="Times New Roman"/>
                <w:b w:val="0"/>
                <w:bCs w:val="0"/>
                <w:color w:val="auto"/>
                <w:highlight w:val="none"/>
              </w:rPr>
              <w:t>m</w:t>
            </w:r>
            <w:r>
              <w:rPr>
                <w:rFonts w:cs="Times New Roman"/>
                <w:b w:val="0"/>
                <w:bCs w:val="0"/>
                <w:color w:val="auto"/>
                <w:highlight w:val="none"/>
                <w:vertAlign w:val="superscript"/>
              </w:rPr>
              <w:t>2</w:t>
            </w:r>
            <w:r>
              <w:rPr>
                <w:rFonts w:hint="eastAsia" w:cs="Times New Roman"/>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投资（万元）</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lang w:eastAsia="zh-CN"/>
              </w:rPr>
              <w:t>21587.0</w:t>
            </w:r>
            <w:r>
              <w:rPr>
                <w:rFonts w:hint="eastAsia" w:cs="Times New Roman"/>
                <w:color w:val="auto"/>
                <w:kern w:val="0"/>
                <w:sz w:val="18"/>
                <w:szCs w:val="18"/>
                <w:highlight w:val="none"/>
                <w:lang w:val="en-US" w:eastAsia="zh-CN"/>
              </w:rPr>
              <w:t>2</w:t>
            </w:r>
            <w:r>
              <w:rPr>
                <w:rFonts w:hint="eastAsia" w:cs="Times New Roman"/>
                <w:color w:val="auto"/>
                <w:kern w:val="0"/>
                <w:sz w:val="18"/>
                <w:szCs w:val="18"/>
                <w:highlight w:val="none"/>
              </w:rPr>
              <w:t xml:space="preserve"> </w:t>
            </w:r>
          </w:p>
        </w:tc>
        <w:tc>
          <w:tcPr>
            <w:tcW w:w="2081" w:type="dxa"/>
            <w:gridSpan w:val="2"/>
            <w:noWrap w:val="0"/>
            <w:vAlign w:val="center"/>
          </w:tcPr>
          <w:p>
            <w:pPr>
              <w:pStyle w:val="85"/>
              <w:keepNext w:val="0"/>
              <w:keepLines w:val="0"/>
              <w:suppressLineNumbers w:val="0"/>
              <w:spacing w:before="0" w:beforeAutospacing="0" w:after="0" w:afterAutospacing="0"/>
              <w:ind w:left="0" w:right="0"/>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rPr>
              <w:t>32858.</w:t>
            </w:r>
            <w:r>
              <w:rPr>
                <w:rFonts w:hint="eastAsia" w:cs="Times New Roman"/>
                <w:color w:val="auto"/>
                <w:kern w:val="0"/>
                <w:sz w:val="18"/>
                <w:szCs w:val="18"/>
                <w:highlight w:val="none"/>
                <w:lang w:val="en-US" w:eastAsia="zh-CN"/>
              </w:rPr>
              <w:t>89</w:t>
            </w:r>
          </w:p>
        </w:tc>
        <w:tc>
          <w:tcPr>
            <w:tcW w:w="2440" w:type="dxa"/>
            <w:gridSpan w:val="4"/>
            <w:noWrap w:val="0"/>
            <w:vAlign w:val="center"/>
          </w:tcPr>
          <w:p>
            <w:pPr>
              <w:pStyle w:val="85"/>
              <w:keepNext w:val="0"/>
              <w:keepLines w:val="0"/>
              <w:suppressLineNumbers w:val="0"/>
              <w:spacing w:before="0" w:beforeAutospacing="0" w:after="0" w:afterAutospacing="0"/>
              <w:ind w:left="0" w:right="0"/>
              <w:rPr>
                <w:rFonts w:hint="default" w:cs="Times New Roman"/>
                <w:color w:val="auto"/>
                <w:kern w:val="0"/>
                <w:sz w:val="18"/>
                <w:szCs w:val="18"/>
                <w:highlight w:val="none"/>
                <w:lang w:val="en-US"/>
              </w:rPr>
            </w:pPr>
            <w:r>
              <w:rPr>
                <w:rFonts w:hint="default" w:cs="Times New Roman"/>
                <w:color w:val="auto"/>
                <w:sz w:val="18"/>
                <w:szCs w:val="21"/>
                <w:highlight w:val="none"/>
                <w:lang w:val="en-US" w:eastAsia="zh-CN"/>
              </w:rPr>
              <w:t>9857.</w:t>
            </w:r>
            <w:r>
              <w:rPr>
                <w:rFonts w:hint="eastAsia" w:cs="Times New Roman"/>
                <w:color w:val="auto"/>
                <w:sz w:val="18"/>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水土保持总投资（万元）</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67684.17</w:t>
            </w:r>
          </w:p>
        </w:tc>
        <w:tc>
          <w:tcPr>
            <w:tcW w:w="3173"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独立费用（万元）</w:t>
            </w:r>
          </w:p>
        </w:tc>
        <w:tc>
          <w:tcPr>
            <w:tcW w:w="1348" w:type="dxa"/>
            <w:noWrap w:val="0"/>
            <w:vAlign w:val="center"/>
          </w:tcPr>
          <w:p>
            <w:pPr>
              <w:pStyle w:val="85"/>
              <w:keepNext w:val="0"/>
              <w:keepLines w:val="0"/>
              <w:suppressLineNumbers w:val="0"/>
              <w:spacing w:before="0" w:beforeAutospacing="0" w:after="0" w:afterAutospacing="0"/>
              <w:ind w:left="0" w:right="0"/>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1113.04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监理费（万元）</w:t>
            </w:r>
          </w:p>
        </w:tc>
        <w:tc>
          <w:tcPr>
            <w:tcW w:w="1529" w:type="dxa"/>
            <w:gridSpan w:val="2"/>
            <w:noWrap w:val="0"/>
            <w:vAlign w:val="center"/>
          </w:tcPr>
          <w:p>
            <w:pPr>
              <w:pStyle w:val="85"/>
              <w:keepNext w:val="0"/>
              <w:keepLines w:val="0"/>
              <w:suppressLineNumbers w:val="0"/>
              <w:spacing w:before="0" w:beforeAutospacing="0" w:after="0" w:afterAutospacing="0"/>
              <w:ind w:left="0" w:right="0"/>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168.34</w:t>
            </w:r>
          </w:p>
        </w:tc>
        <w:tc>
          <w:tcPr>
            <w:tcW w:w="1451"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监测费（万元）</w:t>
            </w:r>
          </w:p>
        </w:tc>
        <w:tc>
          <w:tcPr>
            <w:tcW w:w="1414" w:type="dxa"/>
            <w:noWrap w:val="0"/>
            <w:vAlign w:val="center"/>
          </w:tcPr>
          <w:p>
            <w:pPr>
              <w:pStyle w:val="85"/>
              <w:keepNext w:val="0"/>
              <w:keepLines w:val="0"/>
              <w:suppressLineNumbers w:val="0"/>
              <w:spacing w:before="0" w:beforeAutospacing="0" w:after="0" w:afterAutospacing="0"/>
              <w:ind w:left="0" w:right="0"/>
              <w:rPr>
                <w:rFonts w:hint="eastAsia"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462.74</w:t>
            </w:r>
          </w:p>
        </w:tc>
        <w:tc>
          <w:tcPr>
            <w:tcW w:w="1759" w:type="dxa"/>
            <w:gridSpan w:val="4"/>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补偿费（万元）</w:t>
            </w:r>
          </w:p>
        </w:tc>
        <w:tc>
          <w:tcPr>
            <w:tcW w:w="1348" w:type="dxa"/>
            <w:noWrap w:val="0"/>
            <w:vAlign w:val="center"/>
          </w:tcPr>
          <w:p>
            <w:pPr>
              <w:pStyle w:val="85"/>
              <w:keepNext w:val="0"/>
              <w:keepLines w:val="0"/>
              <w:suppressLineNumbers w:val="0"/>
              <w:spacing w:before="0" w:beforeAutospacing="0" w:after="0" w:afterAutospacing="0"/>
              <w:ind w:left="0" w:right="0"/>
              <w:rPr>
                <w:rFonts w:hint="default" w:eastAsia="仿宋_GB2312" w:cs="Times New Roman"/>
                <w:color w:val="auto"/>
                <w:kern w:val="0"/>
                <w:sz w:val="18"/>
                <w:szCs w:val="18"/>
                <w:highlight w:val="none"/>
                <w:lang w:val="en-US" w:eastAsia="zh-CN"/>
              </w:rPr>
            </w:pPr>
            <w:r>
              <w:rPr>
                <w:rFonts w:hint="eastAsia" w:cs="Times New Roman"/>
                <w:color w:val="auto"/>
                <w:kern w:val="0"/>
                <w:sz w:val="18"/>
                <w:szCs w:val="18"/>
                <w:highlight w:val="none"/>
                <w:lang w:eastAsia="zh-CN"/>
              </w:rPr>
              <w:t>1110.34</w:t>
            </w:r>
            <w:r>
              <w:rPr>
                <w:rFonts w:hint="eastAsia" w:cs="Times New Roman"/>
                <w:color w:val="auto"/>
                <w:kern w:val="0"/>
                <w:sz w:val="18"/>
                <w:szCs w:val="18"/>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方案编制单位</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山西省交通环境保护中心站（有限公司）</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建设单位</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重庆</w:t>
            </w:r>
            <w:r>
              <w:rPr>
                <w:rFonts w:hint="eastAsia" w:cs="Times New Roman"/>
                <w:color w:val="auto"/>
                <w:kern w:val="0"/>
                <w:sz w:val="18"/>
                <w:szCs w:val="18"/>
                <w:highlight w:val="none"/>
              </w:rPr>
              <w:t>成渝垫丰武</w:t>
            </w:r>
            <w:r>
              <w:rPr>
                <w:rFonts w:cs="Times New Roman"/>
                <w:color w:val="auto"/>
                <w:kern w:val="0"/>
                <w:sz w:val="18"/>
                <w:szCs w:val="18"/>
                <w:highlight w:val="none"/>
              </w:rPr>
              <w:t>高速公路有限公司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法定代表人</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姚凯</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法定代表人</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代高飞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地址</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山西示范区武洛街27号</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地址</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hint="eastAsia" w:cs="Times New Roman"/>
                <w:color w:val="auto"/>
                <w:kern w:val="0"/>
                <w:sz w:val="18"/>
                <w:szCs w:val="18"/>
                <w:highlight w:val="none"/>
              </w:rPr>
            </w:pPr>
            <w:r>
              <w:rPr>
                <w:rFonts w:hint="eastAsia" w:cs="Times New Roman"/>
                <w:color w:val="auto"/>
                <w:kern w:val="0"/>
                <w:sz w:val="18"/>
                <w:szCs w:val="18"/>
                <w:highlight w:val="none"/>
              </w:rPr>
              <w:t>重庆市高新区虎溪街道景阳路</w:t>
            </w:r>
          </w:p>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37号2幢8-7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邮编</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030032</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邮编</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401331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联系人及电话</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张桐/15</w:t>
            </w:r>
            <w:r>
              <w:rPr>
                <w:rFonts w:hint="eastAsia" w:cs="Times New Roman"/>
                <w:color w:val="auto"/>
                <w:kern w:val="0"/>
                <w:sz w:val="18"/>
                <w:szCs w:val="18"/>
                <w:highlight w:val="none"/>
                <w:lang w:val="en-US" w:eastAsia="zh-CN"/>
              </w:rPr>
              <w:t>***</w:t>
            </w:r>
            <w:r>
              <w:rPr>
                <w:rFonts w:hint="eastAsia" w:cs="Times New Roman"/>
                <w:color w:val="auto"/>
                <w:kern w:val="0"/>
                <w:sz w:val="18"/>
                <w:szCs w:val="18"/>
                <w:highlight w:val="none"/>
              </w:rPr>
              <w:t>90</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联系人及电话</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黄导</w:t>
            </w:r>
            <w:r>
              <w:rPr>
                <w:rFonts w:cs="Times New Roman"/>
                <w:color w:val="auto"/>
                <w:kern w:val="0"/>
                <w:sz w:val="18"/>
                <w:szCs w:val="18"/>
                <w:highlight w:val="none"/>
              </w:rPr>
              <w:t>/</w:t>
            </w:r>
            <w:r>
              <w:rPr>
                <w:rFonts w:hint="eastAsia" w:cs="Times New Roman"/>
                <w:color w:val="auto"/>
                <w:kern w:val="0"/>
                <w:sz w:val="18"/>
                <w:szCs w:val="18"/>
                <w:highlight w:val="none"/>
              </w:rPr>
              <w:t>13</w:t>
            </w:r>
            <w:r>
              <w:rPr>
                <w:rFonts w:hint="eastAsia" w:cs="Times New Roman"/>
                <w:color w:val="auto"/>
                <w:kern w:val="0"/>
                <w:sz w:val="18"/>
                <w:szCs w:val="18"/>
                <w:highlight w:val="none"/>
                <w:lang w:val="en-US" w:eastAsia="zh-CN"/>
              </w:rPr>
              <w:t>***</w:t>
            </w:r>
            <w:r>
              <w:rPr>
                <w:rFonts w:hint="eastAsia" w:cs="Times New Roman"/>
                <w:color w:val="auto"/>
                <w:kern w:val="0"/>
                <w:sz w:val="18"/>
                <w:szCs w:val="18"/>
                <w:highlight w:val="none"/>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传真</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传真</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hint="eastAsia" w:cs="Times New Roman"/>
                <w:color w:val="auto"/>
                <w:kern w:val="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17"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电子信箱</w:t>
            </w:r>
          </w:p>
        </w:tc>
        <w:tc>
          <w:tcPr>
            <w:tcW w:w="2980" w:type="dxa"/>
            <w:gridSpan w:val="3"/>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s</w:t>
            </w:r>
            <w:r>
              <w:rPr>
                <w:rFonts w:hint="eastAsia" w:cs="Times New Roman"/>
                <w:color w:val="auto"/>
                <w:kern w:val="0"/>
                <w:sz w:val="18"/>
                <w:szCs w:val="18"/>
                <w:highlight w:val="none"/>
              </w:rPr>
              <w:t>x</w:t>
            </w:r>
            <w:r>
              <w:rPr>
                <w:rFonts w:hint="eastAsia" w:cs="Times New Roman"/>
                <w:color w:val="auto"/>
                <w:kern w:val="0"/>
                <w:sz w:val="18"/>
                <w:szCs w:val="18"/>
                <w:highlight w:val="none"/>
                <w:lang w:val="en-US" w:eastAsia="zh-CN"/>
              </w:rPr>
              <w:t>***</w:t>
            </w:r>
            <w:r>
              <w:rPr>
                <w:rFonts w:cs="Times New Roman"/>
                <w:color w:val="auto"/>
                <w:kern w:val="0"/>
                <w:sz w:val="18"/>
                <w:szCs w:val="18"/>
                <w:highlight w:val="none"/>
              </w:rPr>
              <w:t>hb@126.com</w:t>
            </w:r>
          </w:p>
        </w:tc>
        <w:tc>
          <w:tcPr>
            <w:tcW w:w="1414" w:type="dxa"/>
            <w:noWrap w:val="0"/>
            <w:vAlign w:val="center"/>
          </w:tcPr>
          <w:p>
            <w:pPr>
              <w:pStyle w:val="85"/>
              <w:keepNext w:val="0"/>
              <w:keepLines w:val="0"/>
              <w:suppressLineNumbers w:val="0"/>
              <w:spacing w:before="0" w:beforeAutospacing="0" w:after="0" w:afterAutospacing="0"/>
              <w:ind w:left="0" w:right="0"/>
              <w:rPr>
                <w:rFonts w:cs="Times New Roman"/>
                <w:color w:val="auto"/>
                <w:kern w:val="0"/>
                <w:sz w:val="18"/>
                <w:szCs w:val="18"/>
                <w:highlight w:val="none"/>
              </w:rPr>
            </w:pPr>
            <w:r>
              <w:rPr>
                <w:rFonts w:cs="Times New Roman"/>
                <w:color w:val="auto"/>
                <w:kern w:val="0"/>
                <w:sz w:val="18"/>
                <w:szCs w:val="18"/>
                <w:highlight w:val="none"/>
              </w:rPr>
              <w:t>电子信箱</w:t>
            </w:r>
          </w:p>
        </w:tc>
        <w:tc>
          <w:tcPr>
            <w:tcW w:w="3107" w:type="dxa"/>
            <w:gridSpan w:val="5"/>
            <w:noWrap w:val="0"/>
            <w:vAlign w:val="center"/>
          </w:tcPr>
          <w:p>
            <w:pPr>
              <w:pStyle w:val="85"/>
              <w:keepNext w:val="0"/>
              <w:keepLines w:val="0"/>
              <w:suppressLineNumbers w:val="0"/>
              <w:spacing w:before="0" w:beforeAutospacing="0" w:after="0" w:afterAutospacing="0"/>
              <w:ind w:left="0" w:right="0"/>
              <w:rPr>
                <w:rFonts w:hint="eastAsia" w:cs="Times New Roman"/>
                <w:color w:val="auto"/>
                <w:kern w:val="0"/>
                <w:sz w:val="18"/>
                <w:szCs w:val="18"/>
                <w:highlight w:val="none"/>
              </w:rPr>
            </w:pPr>
            <w:r>
              <w:rPr>
                <w:rFonts w:hint="eastAsia" w:cs="Times New Roman"/>
                <w:color w:val="auto"/>
                <w:kern w:val="0"/>
                <w:sz w:val="18"/>
                <w:szCs w:val="18"/>
                <w:highlight w:val="none"/>
              </w:rPr>
              <w:t>/</w:t>
            </w:r>
          </w:p>
        </w:tc>
      </w:tr>
    </w:tbl>
    <w:p>
      <w:pPr>
        <w:rPr>
          <w:rFonts w:ascii="Times New Roman" w:hAnsi="Times New Roman" w:eastAsia="方正黑体_GBK" w:cs="Times New Roman"/>
          <w:color w:val="auto"/>
          <w:sz w:val="32"/>
          <w:szCs w:val="32"/>
        </w:rPr>
      </w:pPr>
    </w:p>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垫江至丰都至武隆高速公路（垫江至丰都段）</w:t>
      </w:r>
    </w:p>
    <w:p>
      <w:pPr>
        <w:keepNext w:val="0"/>
        <w:keepLines w:val="0"/>
        <w:pageBreakBefore w:val="0"/>
        <w:widowControl w:val="0"/>
        <w:kinsoku/>
        <w:wordWrap/>
        <w:overflowPunct/>
        <w:topLinePunct w:val="0"/>
        <w:autoSpaceDE/>
        <w:autoSpaceDN/>
        <w:bidi w:val="0"/>
        <w:adjustRightInd/>
        <w:snapToGrid w:val="0"/>
        <w:spacing w:after="192" w:afterLines="50" w:line="594" w:lineRule="exact"/>
        <w:jc w:val="center"/>
        <w:textAlignment w:val="auto"/>
        <w:rPr>
          <w:rFonts w:ascii="Times New Roman" w:hAnsi="Times New Roman" w:eastAsia="方正小标宋_GBK" w:cs="Times New Roman"/>
          <w:color w:val="FF0000"/>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2023年12月20日，重庆市水利局在水利大厦17楼会议室组织召开了《垫江至丰都至武隆高速公路（垫江至丰都段）水土保持方案报告书》（以下简称《水保方案》）技术评审会。垫江县水利局、丰都县水利局、重庆成渝垫丰武高速公路有限公司（项目</w:t>
      </w:r>
      <w:r>
        <w:rPr>
          <w:rFonts w:hint="eastAsia" w:ascii="Times New Roman" w:hAnsi="Times New Roman" w:eastAsia="方正仿宋_GBK" w:cs="Times New Roman"/>
          <w:color w:val="auto"/>
          <w:sz w:val="32"/>
          <w:szCs w:val="32"/>
          <w:lang w:eastAsia="zh-CN"/>
        </w:rPr>
        <w:t>法人</w:t>
      </w:r>
      <w:r>
        <w:rPr>
          <w:rFonts w:hint="eastAsia" w:ascii="Times New Roman" w:hAnsi="Times New Roman" w:eastAsia="方正仿宋_GBK" w:cs="Times New Roman"/>
          <w:color w:val="auto"/>
          <w:sz w:val="32"/>
          <w:szCs w:val="32"/>
        </w:rPr>
        <w:t>）、招商局重庆交通科研设计院有限公司及中国公路工程咨询集团有限公司（主</w:t>
      </w:r>
      <w:r>
        <w:rPr>
          <w:rFonts w:hint="eastAsia" w:ascii="Times New Roman" w:hAnsi="Times New Roman" w:eastAsia="方正仿宋_GBK" w:cs="Times New Roman"/>
          <w:color w:val="auto"/>
          <w:sz w:val="32"/>
          <w:szCs w:val="32"/>
          <w:lang w:eastAsia="zh-CN"/>
        </w:rPr>
        <w:t>体</w:t>
      </w:r>
      <w:r>
        <w:rPr>
          <w:rFonts w:hint="eastAsia" w:ascii="Times New Roman" w:hAnsi="Times New Roman" w:eastAsia="方正仿宋_GBK" w:cs="Times New Roman"/>
          <w:color w:val="auto"/>
          <w:sz w:val="32"/>
          <w:szCs w:val="32"/>
        </w:rPr>
        <w:t>设</w:t>
      </w:r>
      <w:r>
        <w:rPr>
          <w:rFonts w:hint="eastAsia" w:ascii="Times New Roman" w:hAnsi="Times New Roman" w:eastAsia="方正仿宋_GBK" w:cs="Times New Roman"/>
          <w:color w:val="auto"/>
          <w:sz w:val="32"/>
          <w:szCs w:val="32"/>
          <w:lang w:eastAsia="zh-CN"/>
        </w:rPr>
        <w:t>计</w:t>
      </w:r>
      <w:r>
        <w:rPr>
          <w:rFonts w:hint="eastAsia" w:ascii="Times New Roman" w:hAnsi="Times New Roman" w:eastAsia="方正仿宋_GBK" w:cs="Times New Roman"/>
          <w:color w:val="auto"/>
          <w:sz w:val="32"/>
          <w:szCs w:val="32"/>
        </w:rPr>
        <w:t>单位）、山西省交通环境保护中心站（有限公司）（报告编制单位）的代表及</w:t>
      </w:r>
      <w:r>
        <w:rPr>
          <w:rFonts w:hint="eastAsia" w:ascii="Times New Roman" w:hAnsi="Times New Roman" w:eastAsia="方正仿宋_GBK" w:cs="Times New Roman"/>
          <w:color w:val="auto"/>
          <w:sz w:val="32"/>
          <w:szCs w:val="32"/>
          <w:lang w:eastAsia="zh-CN"/>
        </w:rPr>
        <w:t>评审</w:t>
      </w:r>
      <w:r>
        <w:rPr>
          <w:rFonts w:hint="eastAsia" w:ascii="Times New Roman" w:hAnsi="Times New Roman" w:eastAsia="方正仿宋_GBK" w:cs="Times New Roman"/>
          <w:color w:val="auto"/>
          <w:sz w:val="32"/>
          <w:szCs w:val="32"/>
        </w:rPr>
        <w:t>专家参加了会议。</w:t>
      </w:r>
      <w:r>
        <w:rPr>
          <w:rFonts w:hint="eastAsia" w:ascii="Times New Roman" w:hAnsi="Times New Roman" w:eastAsia="方正仿宋_GBK" w:cs="Times New Roman"/>
          <w:color w:val="auto"/>
          <w:sz w:val="32"/>
          <w:szCs w:val="32"/>
          <w:lang w:eastAsia="zh-CN"/>
        </w:rPr>
        <w:t>会议成立了专家组，专家组</w:t>
      </w:r>
      <w:r>
        <w:rPr>
          <w:rFonts w:hint="eastAsia" w:ascii="Times New Roman" w:hAnsi="Times New Roman" w:eastAsia="方正仿宋_GBK" w:cs="Times New Roman"/>
          <w:color w:val="auto"/>
          <w:sz w:val="32"/>
          <w:szCs w:val="32"/>
        </w:rPr>
        <w:t>会前踏勘了现场，详细审阅了《水保方案》，会上认真听取了《水保方案》编制单位的汇报，进行了深入讨论</w:t>
      </w: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和</w:t>
      </w:r>
      <w:r>
        <w:rPr>
          <w:rFonts w:ascii="Times New Roman" w:hAnsi="Times New Roman" w:eastAsia="方正仿宋_GBK" w:cs="Times New Roman"/>
          <w:color w:val="auto"/>
          <w:sz w:val="32"/>
          <w:szCs w:val="32"/>
        </w:rPr>
        <w:t>“渝水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w:t>
      </w:r>
      <w:r>
        <w:rPr>
          <w:rFonts w:hint="eastAsia" w:ascii="Times New Roman" w:hAnsi="Times New Roman" w:eastAsia="方正仿宋_GBK" w:cs="Times New Roman"/>
          <w:color w:val="auto"/>
          <w:sz w:val="32"/>
          <w:szCs w:val="32"/>
          <w:lang w:eastAsia="zh-CN"/>
        </w:rPr>
        <w:t>专家组</w:t>
      </w:r>
      <w:r>
        <w:rPr>
          <w:rFonts w:hint="eastAsia" w:ascii="Times New Roman" w:hAnsi="Times New Roman" w:eastAsia="方正仿宋_GBK" w:cs="Times New Roman"/>
          <w:color w:val="auto"/>
          <w:sz w:val="32"/>
          <w:szCs w:val="32"/>
        </w:rPr>
        <w:t>对《水保方案》进行了质量评分，质量评定等级合格。报告编制单位会后对《水保方案》进行了修改补充，2024年3月26日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项目法人提交了修改完善后的《水保方案》（报批稿）。经专家组复核，形成专家评审意见如下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（二）同意方案设计水平年为2029年。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（三）同意水土流失防治责任范围界定，水土流失防治责任范围面积为793.10hm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（垫江县462.37 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，丰都县330.73 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垫江至丰都至武隆高速公路（垫江至丰都段）位于重庆市东北部的垫江县、丰都县境内，属于新建项目。路线总体走向为西北-东南向，路线起于大竹至垫江高速公路明月山隧道，终点设置丰都兴义长江大桥跨越长江到达南岸，线路全长78.258km。全线采用以下技术标准：起点~新民段(K5+203.969 )采用设计速度100km/h，双向六车道高速公路技术标准；新民(K5+203.969)~兴义枢纽段采用设计速度100km/h，双向四车道高速公路技术标准；兴义枢纽~项目终点段采用设计速度 80km/h，双向四车道高速公路技术标准。</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主体工程部分包括路基工程、桥梁工程、隧道工程、互通工程、沿线设施、改移工程，根据工程建设需要，布设临时工程有施工生产生活区、施工便道、弃渣场和表土堆放场。路基长7.35km，桥梁43座，隧道8处，互通工程8处，沿线设施19处，改路工程14.22km、改沟工程1.58km。根据施工需要，共设置施工生产生活区31处/35.08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，施工便道74.04km/56.19hm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，弃渣场25处/86.10hm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，表土堆放场81处/28.38hm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。拆迁安置工作采用货币补偿方式，由地方政府和相应权属人负责实施。</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项目总占地793.10hm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永久占地587.35hm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，临时占地205.75hm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挖填方总量5111.65万m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挖方量3159.55万m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（含表土剥离量185.94万m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），填方量1952.10万m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（含表土回覆量185.94万m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），综合利用171.68万m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，余方1035.77万m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（弃于25处弃渣场）。</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本工程计划建设期为5年，2024年4月开工建设，2029年3月建成通车。本项目总投资1531993万元，其中土建投资1101632万元。</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本项目线路不涉及全国水土保持监测网络中的水土保持监测站、重点试验区及国家确定的水土保持长期定位观测站。但本项目受路网规划的制约，线路涉及国家级和省级水土流失重点治理区且无法避让。项目已经执行最高一级水土流失防治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选址的分析与评价。项目25处弃渣场在选址过程中征得了所属县规自、环保、林业、水利等部门和地方乡镇的同意。6处弃渣场下游可能受影响的12户房屋已全部纳入工程拆迁范围，在完成拆迁的情况下弃渣场选址避开了对基础设施、工业企业、居民点等有重大影响的区域，也避开了河道、建成水库管理范围，选址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（二）基本同意工程扰动地表面积793.10hm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，损毁植被面积396.19hm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（三）基本同意工程建设可能造成的水土流失总量为19.02万t，新增水土流失总量为12.00万t。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基本同意项目划分为路基工程、桥梁工程、隧道工程、互通工程、沿线设施、改移工程、施工生产生活区、施工便道、弃渣场和表土堆放场10个水土流失防治区。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路基工程防治区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施工前，对该区施工扰动范围内表土可剥离区域进行表土剥离，并将剥离的表土运至规划的表土堆放场集中堆存，做好表土堆放场防护措施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开挖前完成永久性截水沟。施工过程中，按照“永临结合”原则，在永久排水沟、边沟位置开挖临时排水沟，临时排水沟出口布设临时沉沙池；根据施工扰动区周边汇水情况布设临时排水沟，排水沟出口处布设临时沉沙池，并顺接下游水系；在路基边坡坡脚、临时堆土点周边等区域设置编织土袋临时拦挡；在施工裸露区、边坡、临时堆土点等区域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填方路基坡顶布设临时拦水坎，坡面布设临时急流槽，并顺接边坡坡脚临时排水沟；路基边坡成形后完成永久排水沟、边沟、截水沟、急流槽、沉沙池等，并布设排水顺接工程与自然沟道衔接；采取喷播植草护坡、挂三维网植草护坡、方格网植草护坡、拱形骨架植草护坡、挂CF网植草护坡、锚杆框架梁植草护坡、窗孔式护面墙植草护坡。施工后期，进行表土回覆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桥梁工程防治区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就近的施工生产生活区内设置的表土临时堆放点）集中堆存，做好表土堆放场防护措施。施工过程中，根据施工扰动区周边汇水情况布设临时排水沟，排水沟出口处布设临时沉沙池，并顺接下游水系；桥梁施工作业区开挖边坡坡脚采用编织土袋临时拦挡，边坡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盖，对其他施工扰动裸露区采用无纺布临时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盖；桥墩周边布设晾晒池，晾晒池四周采用编织土袋临时拦挡，遇到降雨采用无纺布临时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盖，弃土石渣等及时清理，并运至规划弃渣场集中堆放</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对于涉水桥梁，在桥墩施工区临水侧采用编织土袋挡墙进行临时拦挡。施工后期，对该区进行土地整治、表土回覆及植被恢复。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隧道工程防治区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施工前，对该区施工扰动范围内表土可剥离区域进行表土剥离，并将剥离的表土运至规划的表土堆放场（就近的施工生产生活区内设置的表土临时堆放点）集中堆存，做好表土堆放场防护措施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隧道开挖前完成洞顶永久截排水沟。施工过程中，根据施工扰动区周边汇水情况布设临时排水沟，排水沟出口处布设临时沉沙池，并顺接下游水系；在开挖边坡坡脚、隧道出渣临时堆放周边等区域设置编织土袋临时拦挡；在施工裸露区、开挖边坡、隧道出渣临时堆放等区域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盖；洞口边坡成形后实施挂网喷播植草护坡，形成永久排水沟和盲沟。施工后期，实施该区表土回覆及景观绿化。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互通工程防治区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施工前，对该区施工扰动范围内表土可剥离区域进行表土剥离，并将剥离的表土运至规划的表土堆放场（自身场地内设置的表土临时堆放点）集中堆存，做好表土堆放场防护措施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开挖前完成永久性截水沟。施工过程中，按照“永临结合”原则，在永久排水沟、边沟位置开挖临时排水沟，临时排水沟出口布设临时沉沙池；根据施工扰动区周边汇水情况布设临时排水沟，排水沟出口处布设临时沉沙池，并顺接下游水系；在路基边坡坡脚、临时堆土点周边等区域设置编织土袋临时拦挡；在施工裸露区、边坡、临时堆土点等区域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在表土堆放结束后采取撒播草籽过渡性绿化；填方路基坡顶布设临时拦水坎，坡面布设临时急流槽，并顺接边坡坡脚临时排水沟；路基边坡成形后完成永久排水沟、纵向排水沟、边沟、坡顶截水沟、平台截水沟、急流槽等，并布设排水顺接工程与自然沟道衔接，路基边坡采喷播植草、三维网植草、CF网植草、拱形骨架植草（植生袋）、锚杆框架梁植草和实体护坡等护坡。施工后期，实施该区表土回覆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沿线设施防治区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施工前，对该区施工扰动范围内表土可剥离区域进行表土剥离，并将剥离的表土运至规划的表土堆放场（自身场地内设置的表土临时堆放点）集中堆存，做好表土堆放场防护措施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场地开挖前完成永久性截水沟。施工过程中，按照“永临结合”原则，在永久排水沟、边沟位置开挖临时排水沟，临时排水沟出口布设临时沉沙池；根据施工扰动区周边汇水情况布设临时排水沟，排水沟出口处布设临时沉沙池，并顺接下游水系；在边坡坡脚、临时堆土点、综合利用石料堆存点周边等区域设置编织土袋临时拦挡；在施工裸露区、边坡、临时堆土点、综合利用石料堆存点等区域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在表土堆放结束后采取撒播草籽过渡性绿化；填方路基坡顶布设临时拦水坎，边坡坡面布设临时急流槽，并顺接边坡坡脚临时排水沟；场地边坡成形后完成永久排水沟、边沟、平台截水沟、急流槽等，并顺接下游水系；场地边坡成形后采用喷播植草、三维网植草、拱形骨架护坡植草等护坡。施工后期，实施该区表土回覆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改移工程防治区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集中堆存，做好表土堆放场防护措施。施工过程中，按照“永临结合”原则，在改移道路永久边沟位置开挖临时排水沟，临时排水沟出口布设临时沉沙池；根据施工扰动区周边汇水情况布设临时排水沟，排水沟出口处布设临时沉沙池，并顺接下游水系；在边坡坡脚、临时堆土点周边等区域设置编织土袋临时拦挡；在施工裸露区、边坡、临时堆土点等区域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盖；边坡成形后完成永久边沟等，并顺接下游水系；改移道路边坡回覆表土并采用喷播植草护坡，改移沟渠工程边坡采用混凝土护坡。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施工生产生活区防治区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建设前，对该区施工扰动范围内表土可剥离区域进行表土剥离，并将剥离的表土运至规划的表土堆放场（自身场地内设置的表土临时堆放点）集中堆存，做好表土堆放场防护措施。建设中，在场地四周布设临时排水沟，排水沟出口处布设临时沉沙池，并顺接下游水系；对场地填方边坡坡脚采用编织土袋临时拦挡，场地边坡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盖。场地使用期间，在堆土（料）场四周采用编织土袋临时拦挡，备置无纺布对堆土（料）场进行临时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盖，在表土堆放结束后采取撒播草籽过渡性绿化。施工结束后，对该区实施场地清理、土地整治、表土回覆及植被恢复。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8</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集中堆存，做好表土堆放场防护措施。施工过程中，对便道填方边坡坡脚布设编织土袋挡墙临时拦挡，裸露边坡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盖；便道两侧布设临时排水沟，排水沟出口处布设临时沉沙池，并顺接下游水系。施工结束后，施工便道除交地方使用外，其他便道采取土地整治、表土回覆、植被恢复和复耕。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9</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内表土可剥离区域进行表土剥离，并将剥离的表土运至规划的表土堆放场集中堆存，做好表土堆放场防护措施。按照“先挡后弃”原则，堆渣前在弃渣场堆渣边坡坡脚布设挡渣墙，弃渣场底部布设排水盲沟，弃渣场四周布设截排水沟和消力槛，排水沟末端接消力池后顺接下游水系。堆渣过程中，采取分级堆放、分层碾压的堆渣方式，各级间设平台，平台设平台排水沟和渣面土埂，遇到降雨对渣体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盖。对汇水面积较大的渣场永临结合布设临时排水沟，排水沟末端设置沉沙函。堆渣结束后，对弃渣场进行土地整治和表土回覆，弃渣坡面采取植被恢复，顶部采取植被恢复或复耕。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10</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表土堆放场防治区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堆放前，在表土堆放场坡脚布设编织土袋临时拦挡，四周布设临时排水沟，临时排水沟出口布设临时沉沙池，并顺接下游水系。堆放期间，遇到降雨采用无纺布临时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盖。表土堆放完成后，表土堆放场表面采取撒播草籽过渡性绿化。施工结束后，对该区实施土地整治、植被恢复或复耕。</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（二）经审核，水土保持方案工程静态总投资67684.17万元，其中</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主体已列54296.50万元，方案新增13387.67万元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工程措施6344.87万元，植物措施110.25万元，监测措施462.74万元，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临时措施3551.49万元，独立费1113.04万元，预备费694.94万元，水土保持补偿费1110.34</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r>
        <w:rPr>
          <w:rFonts w:ascii="Times New Roman" w:hAnsi="Times New Roman" w:eastAsia="方正仿宋_GBK" w:cs="Times New Roman"/>
          <w:color w:val="auto"/>
          <w:sz w:val="32"/>
          <w:szCs w:val="32"/>
        </w:rPr>
        <w:t>。</w:t>
      </w:r>
    </w:p>
    <w:p>
      <w:pPr>
        <w:snapToGrid w:val="0"/>
        <w:spacing w:line="560"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严禁乱挖乱堆乱放，严禁向河道弃渣，弃渣必须运至指定地点集中堆放，并加强弃渣的减量化和资源化利用，严格控制工程建设中水土流失。</w:t>
      </w: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垫江至丰都至武隆高速公路（垫江至丰都段）</w:t>
      </w:r>
      <w:r>
        <w:rPr>
          <w:rFonts w:ascii="Times New Roman" w:hAnsi="Times New Roman" w:eastAsia="方正仿宋_GBK" w:cs="Times New Roman"/>
          <w:color w:val="auto"/>
          <w:sz w:val="32"/>
          <w:szCs w:val="32"/>
        </w:rPr>
        <w:t xml:space="preserve">水土保持投资估算审核表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4760" w:firstLineChars="17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60288" behindDoc="0" locked="0" layoutInCell="1" allowOverlap="1">
            <wp:simplePos x="0" y="0"/>
            <wp:positionH relativeFrom="column">
              <wp:posOffset>4349115</wp:posOffset>
            </wp:positionH>
            <wp:positionV relativeFrom="paragraph">
              <wp:posOffset>6350</wp:posOffset>
            </wp:positionV>
            <wp:extent cx="1115060" cy="390525"/>
            <wp:effectExtent l="0" t="0" r="12700"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15060" cy="390525"/>
                    </a:xfrm>
                    <a:prstGeom prst="rect">
                      <a:avLst/>
                    </a:prstGeom>
                    <a:noFill/>
                    <a:ln>
                      <a:noFill/>
                    </a:ln>
                  </pic:spPr>
                </pic:pic>
              </a:graphicData>
            </a:graphic>
          </wp:anchor>
        </w:drawing>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NumType w:fmt="decimal"/>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ascii="Times New Roman" w:hAnsi="Times New Roman" w:eastAsia="方正小标宋_GBK" w:cs="Times New Roman"/>
          <w:color w:val="auto"/>
          <w:w w:val="100"/>
          <w:sz w:val="28"/>
          <w:szCs w:val="28"/>
        </w:rPr>
      </w:pPr>
      <w:r>
        <w:rPr>
          <w:rFonts w:hint="eastAsia" w:ascii="Times New Roman" w:hAnsi="Times New Roman" w:eastAsia="方正小标宋_GBK" w:cs="Times New Roman"/>
          <w:color w:val="auto"/>
          <w:spacing w:val="-6"/>
          <w:w w:val="100"/>
          <w:sz w:val="28"/>
          <w:szCs w:val="28"/>
          <w:lang w:eastAsia="zh-CN"/>
        </w:rPr>
        <w:t>垫江至丰都至武隆高速公路（垫江至丰都段）</w:t>
      </w:r>
      <w:r>
        <w:rPr>
          <w:rFonts w:ascii="Times New Roman" w:hAnsi="Times New Roman" w:eastAsia="方正小标宋_GBK" w:cs="Times New Roman"/>
          <w:color w:val="auto"/>
          <w:spacing w:val="-6"/>
          <w:w w:val="100"/>
          <w:sz w:val="28"/>
          <w:szCs w:val="28"/>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414" w:type="pct"/>
        <w:tblInd w:w="-369" w:type="dxa"/>
        <w:tblLayout w:type="fixed"/>
        <w:tblCellMar>
          <w:top w:w="0" w:type="dxa"/>
          <w:left w:w="108" w:type="dxa"/>
          <w:bottom w:w="0" w:type="dxa"/>
          <w:right w:w="108" w:type="dxa"/>
        </w:tblCellMar>
      </w:tblPr>
      <w:tblGrid>
        <w:gridCol w:w="518"/>
        <w:gridCol w:w="1923"/>
        <w:gridCol w:w="1009"/>
        <w:gridCol w:w="1036"/>
        <w:gridCol w:w="1337"/>
        <w:gridCol w:w="1063"/>
        <w:gridCol w:w="1023"/>
        <w:gridCol w:w="1173"/>
        <w:gridCol w:w="913"/>
      </w:tblGrid>
      <w:tr>
        <w:tblPrEx>
          <w:tblCellMar>
            <w:top w:w="0" w:type="dxa"/>
            <w:left w:w="108" w:type="dxa"/>
            <w:bottom w:w="0" w:type="dxa"/>
            <w:right w:w="108" w:type="dxa"/>
          </w:tblCellMar>
        </w:tblPrEx>
        <w:trPr>
          <w:trHeight w:val="420" w:hRule="atLeast"/>
          <w:tblHeader/>
        </w:trPr>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6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工程或费用名称</w:t>
            </w:r>
          </w:p>
        </w:tc>
        <w:tc>
          <w:tcPr>
            <w:tcW w:w="1691" w:type="pct"/>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设计投资</w:t>
            </w:r>
          </w:p>
        </w:tc>
        <w:tc>
          <w:tcPr>
            <w:tcW w:w="1630" w:type="pct"/>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审核投资</w:t>
            </w:r>
          </w:p>
        </w:tc>
        <w:tc>
          <w:tcPr>
            <w:tcW w:w="456"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420" w:hRule="atLeast"/>
          <w:tblHeader/>
        </w:trPr>
        <w:tc>
          <w:tcPr>
            <w:tcW w:w="259"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18"/>
                <w:szCs w:val="18"/>
              </w:rPr>
            </w:pPr>
          </w:p>
        </w:tc>
        <w:tc>
          <w:tcPr>
            <w:tcW w:w="961"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18"/>
                <w:szCs w:val="18"/>
              </w:rPr>
            </w:pP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方案新增</w:t>
            </w:r>
          </w:p>
        </w:tc>
        <w:tc>
          <w:tcPr>
            <w:tcW w:w="518"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主体已列</w:t>
            </w:r>
          </w:p>
        </w:tc>
        <w:tc>
          <w:tcPr>
            <w:tcW w:w="668"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合计（万元）</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方案新增</w:t>
            </w:r>
          </w:p>
        </w:tc>
        <w:tc>
          <w:tcPr>
            <w:tcW w:w="511"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主体已列</w:t>
            </w:r>
          </w:p>
        </w:tc>
        <w:tc>
          <w:tcPr>
            <w:tcW w:w="586"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合计（万元）</w:t>
            </w:r>
          </w:p>
        </w:tc>
        <w:tc>
          <w:tcPr>
            <w:tcW w:w="45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第一部分 工程措施</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6344.87</w:t>
            </w:r>
          </w:p>
        </w:tc>
        <w:tc>
          <w:tcPr>
            <w:tcW w:w="51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15242.15</w:t>
            </w:r>
          </w:p>
        </w:tc>
        <w:tc>
          <w:tcPr>
            <w:tcW w:w="66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21587.02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6344.87</w:t>
            </w:r>
          </w:p>
        </w:tc>
        <w:tc>
          <w:tcPr>
            <w:tcW w:w="51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15242.15</w:t>
            </w:r>
          </w:p>
        </w:tc>
        <w:tc>
          <w:tcPr>
            <w:tcW w:w="58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21587.02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路基工程防治区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2454.75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5463.57</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7918.32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2454.75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5463.57</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7918.32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641.88</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641.88</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641.88</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641.88</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108.15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182.78</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290.93</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108.15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182.78</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290.93</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交叉工程防治区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2009.82</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3796.05</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5805.87</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2009.82</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3796.05</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5805.87</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沿线设施工程防治区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633.45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639.52</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1272.97</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633.45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639.52</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1272.97</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改移工程防治区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137.14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482.62</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619.76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137.14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482.62</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619.76</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施工生产生活区防治区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116.92</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116.92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116.92</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116.92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施工便道防治区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191.45</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191.45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191.45</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191.45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弃渣场防治区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256.79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4369.24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4626.03</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256.79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4369.24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4626.03</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表土堆放场防治区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102.89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102.89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102.89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102.89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第二部分 植物措施</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32748.64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32858.89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32748.64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32858.89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路基工程防治区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4445.40</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4445.40</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4445.40</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4445.40</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104.74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104.74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104.74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104.74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507.35</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507.35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507.35</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507.35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交叉工程防治区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1907.06</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1907.06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1907.06</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1907.06</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沿线设施工程防治区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1522.01</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1522.01</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1522.01</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1522.01</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改移工程防治区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73.41</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73.41</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73.41</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73.41</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施工生产生活区防治区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6893.77</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6893.77</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6893.77</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6893.77</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施工便道防治区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4806.76</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4806.76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4806.76</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4806.76</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弃渣场防治区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12488.14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12488.14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12488.14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12488.14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表土堆放场防治区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110.25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110.25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110.25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110.25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第三部分 监测措施</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462.74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462.74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462.74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462.74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土建设施费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76.70</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76.70</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76.70</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76.70</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设备折旧费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53.19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53.19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53.19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53.19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监测运行费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332.85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332.85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332.85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332.85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第四部分 施工临时措施</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3551.49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6305.71</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9857.20</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3551.49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6305.71</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9857.20</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路基工程防治区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857.94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857.94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857.94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857.94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621.97</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621.97</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621.97</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621.97</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153.95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153.95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153.95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153.95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交叉工程防治区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1065.14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1065.14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1065.14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1065.14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沿线设施工程防治区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314.25</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314.25</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314.25</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314.25</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改移工程防治区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235.88</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235.88</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235.88</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235.88</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施工生产生活区防治区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2478.54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2480.42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2478.54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2480.42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施工便道防治区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2.36</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3827.13</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3829.49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2.36</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3827.13</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3829.49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弃渣场防治区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24.52</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0.04</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24.52</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0.04</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24.56</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表土堆放场防治区</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204.42</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204.42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204.42</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204.42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其他临时措施</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69.18</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69.18</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69.18</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69.18</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第五部分 独立费用</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694.29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694.29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1113.04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1113.04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418.75</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技术咨询费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331.96</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331.96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704.72</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704.72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372.76</w:t>
            </w:r>
          </w:p>
        </w:tc>
      </w:tr>
      <w:tr>
        <w:tblPrEx>
          <w:tblCellMar>
            <w:top w:w="0" w:type="dxa"/>
            <w:left w:w="108" w:type="dxa"/>
            <w:bottom w:w="0" w:type="dxa"/>
            <w:right w:w="108" w:type="dxa"/>
          </w:tblCellMar>
        </w:tblPrEx>
        <w:trPr>
          <w:trHeight w:val="420" w:hRule="atLeast"/>
        </w:trPr>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水土保持方案编制费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78.52</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78.52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101.59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101.59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23.07</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科研勘测设计费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166.78</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166.78</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408.83</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408.83</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242.05</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水土保持设施验收报告编制费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86.66</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86.66</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194.30</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194.30</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107.64</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工程管理费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362.33</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362.33</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408.32</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408.32</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45.99</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建设管理费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209.39</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209.39</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209.39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209.39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工程建设监理费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117.74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117.74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168.34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168.34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50.60</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招标代理服务费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35.20</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35.20</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30.59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30.59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-4.61</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Ⅰ</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第一部分至第五部分合计</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11163.64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54296.50</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65460.14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11582.39</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54296.5</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65878.89</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418.75</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Ⅱ</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基本预备费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669.82</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669.82</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694.94</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694.94</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25.12</w:t>
            </w:r>
          </w:p>
        </w:tc>
      </w:tr>
      <w:tr>
        <w:tblPrEx>
          <w:tblCellMar>
            <w:top w:w="0" w:type="dxa"/>
            <w:left w:w="108" w:type="dxa"/>
            <w:bottom w:w="0" w:type="dxa"/>
            <w:right w:w="108" w:type="dxa"/>
          </w:tblCellMar>
        </w:tblPrEx>
        <w:trPr>
          <w:trHeight w:val="420" w:hRule="atLeast"/>
        </w:trPr>
        <w:tc>
          <w:tcPr>
            <w:tcW w:w="2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Ⅲ</w:t>
            </w:r>
          </w:p>
        </w:tc>
        <w:tc>
          <w:tcPr>
            <w:tcW w:w="96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水土保持补偿费</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1110.34</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1110.34</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1110.34</w:t>
            </w:r>
            <w:r>
              <w:rPr>
                <w:rFonts w:hint="eastAsia" w:ascii="宋体" w:hAnsi="宋体" w:eastAsia="宋体" w:cs="宋体"/>
                <w:b/>
                <w:bCs/>
                <w:color w:val="000000"/>
                <w:kern w:val="0"/>
                <w:sz w:val="18"/>
                <w:szCs w:val="18"/>
                <w:lang w:val="en-US" w:eastAsia="zh-CN"/>
              </w:rPr>
              <w:t>0</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1110.34</w:t>
            </w:r>
            <w:r>
              <w:rPr>
                <w:rFonts w:hint="eastAsia" w:ascii="宋体" w:hAnsi="宋体" w:eastAsia="宋体" w:cs="宋体"/>
                <w:b/>
                <w:bCs/>
                <w:color w:val="000000"/>
                <w:kern w:val="0"/>
                <w:sz w:val="18"/>
                <w:szCs w:val="18"/>
                <w:lang w:val="en-US" w:eastAsia="zh-CN"/>
              </w:rPr>
              <w:t>0</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0.00</w:t>
            </w:r>
          </w:p>
        </w:tc>
      </w:tr>
      <w:tr>
        <w:tblPrEx>
          <w:tblCellMar>
            <w:top w:w="0" w:type="dxa"/>
            <w:left w:w="108" w:type="dxa"/>
            <w:bottom w:w="0" w:type="dxa"/>
            <w:right w:w="108" w:type="dxa"/>
          </w:tblCellMar>
        </w:tblPrEx>
        <w:trPr>
          <w:trHeight w:val="420" w:hRule="atLeast"/>
        </w:trPr>
        <w:tc>
          <w:tcPr>
            <w:tcW w:w="1221" w:type="pct"/>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总投资（Ⅰ+Ⅱ+Ⅲ）</w:t>
            </w:r>
          </w:p>
        </w:tc>
        <w:tc>
          <w:tcPr>
            <w:tcW w:w="50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12943.80</w:t>
            </w:r>
          </w:p>
        </w:tc>
        <w:tc>
          <w:tcPr>
            <w:tcW w:w="51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54296.50</w:t>
            </w:r>
          </w:p>
        </w:tc>
        <w:tc>
          <w:tcPr>
            <w:tcW w:w="6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67240.30</w:t>
            </w:r>
          </w:p>
        </w:tc>
        <w:tc>
          <w:tcPr>
            <w:tcW w:w="5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13387.67</w:t>
            </w:r>
          </w:p>
        </w:tc>
        <w:tc>
          <w:tcPr>
            <w:tcW w:w="51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54296.50</w:t>
            </w:r>
          </w:p>
        </w:tc>
        <w:tc>
          <w:tcPr>
            <w:tcW w:w="58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67684.17</w:t>
            </w:r>
          </w:p>
        </w:tc>
        <w:tc>
          <w:tcPr>
            <w:tcW w:w="45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443.87</w:t>
            </w:r>
          </w:p>
        </w:tc>
      </w:tr>
    </w:tbl>
    <w:p>
      <w:pPr>
        <w:pStyle w:val="2"/>
        <w:ind w:left="0" w:leftChars="0" w:firstLine="0" w:firstLineChars="0"/>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in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Fa9nqswEAAEkDAAAOAAAAZHJzL2Uyb0RvYy54bWytU8FuEzEQvSPx&#10;D5bvxJutUpVVNhWoKkJCtFLhAxyvnbVkeyzbyW5+AP6AExfufFe+o2MnmwK9VVy845nZN+/NjJfX&#10;ozVkJ0PU4Fo6n1WUSCeg027T0q9fbt9cURITdx034GRL9zLS69XrV8vBN7KGHkwnA0EQF5vBt7RP&#10;yTeMRdFLy+MMvHQYVBAsT3gNG9YFPiC6Nayuqks2QOh8ACFjRO/NMUhXBV8pKdKdUlEmYlqK3FI5&#10;QznX+WSrJW82gfteixMN/gIWlmuHRc9QNzxxsg36GZTVIkAElWYCLAOltJBFA6qZV/+oeei5l0UL&#10;Nif6c5vi/4MVn3f3geiupTUljlsc0eHH98PP34df30id2zP42GDWg8e8NL6HEcc8+SM6s+pRBZu/&#10;qIdgHBu9PzdXjokIdF7W9duLBSUCQ/VFtagWGYU9/exDTB8kWJKNlgacXWkp332K6Zg6peRaDm61&#10;MWV+xv3lQMzsYZn5kWG20rgeT3LW0O1RzYBjb6nDvaTEfHTY1bwhkxEmYz0ZWx/0pkdq88Ir+nfb&#10;hCQKt1zhCHsqjPMq6k67lRfiz3vJenoB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MzMV0QAA&#10;AAMBAAAPAAAAAAAAAAEAIAAAACIAAABkcnMvZG93bnJldi54bWxQSwECFAAUAAAACACHTuJABWvZ&#10;6rMBAABJAwAADgAAAAAAAAABACAAAAAgAQAAZHJzL2Uyb0RvYy54bWxQSwUGAAAAAAYABgBZAQAA&#10;RQUAAAAA&#10;">
              <v:fill on="f" focussize="0,0"/>
              <v:stroke on="f"/>
              <v:imagedata o:title=""/>
              <o:lock v:ext="edit" aspectratio="f"/>
              <v:textbox inset="0mm,0mm,0mm,0mm" style="mso-fit-shape-to-text:t;">
                <w:txbxContent>
                  <w:p>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1F6D6C"/>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7D5BBB"/>
    <w:rsid w:val="3AB853C8"/>
    <w:rsid w:val="3AF74536"/>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83EDF"/>
    <w:rsid w:val="3FBF6162"/>
    <w:rsid w:val="3FDF6E79"/>
    <w:rsid w:val="3FFB0F51"/>
    <w:rsid w:val="41285076"/>
    <w:rsid w:val="42AD5BED"/>
    <w:rsid w:val="43396CC2"/>
    <w:rsid w:val="43723646"/>
    <w:rsid w:val="439D17F4"/>
    <w:rsid w:val="448845FD"/>
    <w:rsid w:val="45BF1738"/>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FD7E1B"/>
    <w:rsid w:val="584843AC"/>
    <w:rsid w:val="5A7E2231"/>
    <w:rsid w:val="5ADF6823"/>
    <w:rsid w:val="5B175D16"/>
    <w:rsid w:val="5B1A0782"/>
    <w:rsid w:val="5C624A97"/>
    <w:rsid w:val="5D7FF95A"/>
    <w:rsid w:val="5DDA3951"/>
    <w:rsid w:val="5E5AF9EE"/>
    <w:rsid w:val="5F7DCD7F"/>
    <w:rsid w:val="5FA95F49"/>
    <w:rsid w:val="5FBF8763"/>
    <w:rsid w:val="5FEE6E1E"/>
    <w:rsid w:val="5FEF0E87"/>
    <w:rsid w:val="61CB412D"/>
    <w:rsid w:val="61E274FB"/>
    <w:rsid w:val="63270190"/>
    <w:rsid w:val="63C07097"/>
    <w:rsid w:val="63F6BC28"/>
    <w:rsid w:val="654340E7"/>
    <w:rsid w:val="664F3B20"/>
    <w:rsid w:val="675B5FBD"/>
    <w:rsid w:val="6788382C"/>
    <w:rsid w:val="67EBCD8A"/>
    <w:rsid w:val="6826391B"/>
    <w:rsid w:val="6867608D"/>
    <w:rsid w:val="68EF42C4"/>
    <w:rsid w:val="6A7FB000"/>
    <w:rsid w:val="6A956400"/>
    <w:rsid w:val="6ABF5399"/>
    <w:rsid w:val="6B6E072A"/>
    <w:rsid w:val="6BBB6541"/>
    <w:rsid w:val="6C67536A"/>
    <w:rsid w:val="6CF74181"/>
    <w:rsid w:val="6CFD015E"/>
    <w:rsid w:val="6D4D31CC"/>
    <w:rsid w:val="6E504A7B"/>
    <w:rsid w:val="6EFE9375"/>
    <w:rsid w:val="6F3AA978"/>
    <w:rsid w:val="6F5A0D30"/>
    <w:rsid w:val="6F5A677D"/>
    <w:rsid w:val="6F6F9400"/>
    <w:rsid w:val="6F9F2C42"/>
    <w:rsid w:val="6FDB23B1"/>
    <w:rsid w:val="6FE6DE43"/>
    <w:rsid w:val="6FFF2707"/>
    <w:rsid w:val="700A63FA"/>
    <w:rsid w:val="71180D83"/>
    <w:rsid w:val="71F95C1E"/>
    <w:rsid w:val="72836946"/>
    <w:rsid w:val="728B5B6F"/>
    <w:rsid w:val="72C3149E"/>
    <w:rsid w:val="73661CF5"/>
    <w:rsid w:val="73A542D5"/>
    <w:rsid w:val="73AC6CAF"/>
    <w:rsid w:val="73DC4B44"/>
    <w:rsid w:val="743E4BED"/>
    <w:rsid w:val="744A0831"/>
    <w:rsid w:val="746DE58C"/>
    <w:rsid w:val="75DFB322"/>
    <w:rsid w:val="75FF1D72"/>
    <w:rsid w:val="76862FBE"/>
    <w:rsid w:val="76AE5741"/>
    <w:rsid w:val="76EF481A"/>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FF4FA0"/>
    <w:rsid w:val="7D7563CA"/>
    <w:rsid w:val="7DAF588E"/>
    <w:rsid w:val="7EBCA161"/>
    <w:rsid w:val="7EF7C809"/>
    <w:rsid w:val="7EFB34CC"/>
    <w:rsid w:val="7EFDE791"/>
    <w:rsid w:val="7F2F2086"/>
    <w:rsid w:val="7F3BAD2F"/>
    <w:rsid w:val="7F7583FE"/>
    <w:rsid w:val="7F7979AE"/>
    <w:rsid w:val="7FBB89BF"/>
    <w:rsid w:val="7FBF3A79"/>
    <w:rsid w:val="7FD6BEF7"/>
    <w:rsid w:val="7FDF2A49"/>
    <w:rsid w:val="7FEEDE92"/>
    <w:rsid w:val="7FEFABF9"/>
    <w:rsid w:val="7FF2B72A"/>
    <w:rsid w:val="7FF878E2"/>
    <w:rsid w:val="7FFB35A7"/>
    <w:rsid w:val="7FFD545D"/>
    <w:rsid w:val="7FFD9F55"/>
    <w:rsid w:val="97C778E7"/>
    <w:rsid w:val="9BDF6923"/>
    <w:rsid w:val="9D5E0256"/>
    <w:rsid w:val="9DFF8143"/>
    <w:rsid w:val="9EDFA34A"/>
    <w:rsid w:val="A4A9E009"/>
    <w:rsid w:val="AEDCFD40"/>
    <w:rsid w:val="AEFF32A7"/>
    <w:rsid w:val="AF3FC071"/>
    <w:rsid w:val="B5C121B5"/>
    <w:rsid w:val="B5DE0672"/>
    <w:rsid w:val="B5EE9E49"/>
    <w:rsid w:val="B5F7B175"/>
    <w:rsid w:val="B97F7191"/>
    <w:rsid w:val="BBFF5877"/>
    <w:rsid w:val="BBFF66F1"/>
    <w:rsid w:val="BCCF1D1D"/>
    <w:rsid w:val="BD7CAE0B"/>
    <w:rsid w:val="BDFBD4BA"/>
    <w:rsid w:val="BDFF872F"/>
    <w:rsid w:val="BE7F8867"/>
    <w:rsid w:val="BEBB3247"/>
    <w:rsid w:val="BF6E9522"/>
    <w:rsid w:val="BFD5F831"/>
    <w:rsid w:val="BFDF0CA2"/>
    <w:rsid w:val="BFF597B2"/>
    <w:rsid w:val="BFF7D093"/>
    <w:rsid w:val="BFFD2A76"/>
    <w:rsid w:val="BFFE1C57"/>
    <w:rsid w:val="CFDEA72F"/>
    <w:rsid w:val="D6F795FC"/>
    <w:rsid w:val="D6FD671B"/>
    <w:rsid w:val="D7D7DDCC"/>
    <w:rsid w:val="D7FE54B5"/>
    <w:rsid w:val="D7FF1E67"/>
    <w:rsid w:val="D87C5340"/>
    <w:rsid w:val="D8DCEDE1"/>
    <w:rsid w:val="DAFBCEB0"/>
    <w:rsid w:val="DB726C3A"/>
    <w:rsid w:val="DBF76714"/>
    <w:rsid w:val="DC1B4565"/>
    <w:rsid w:val="DDA208C1"/>
    <w:rsid w:val="DEF75473"/>
    <w:rsid w:val="DF6A0073"/>
    <w:rsid w:val="DF780174"/>
    <w:rsid w:val="DFCBC77F"/>
    <w:rsid w:val="DFD77326"/>
    <w:rsid w:val="DFD781A7"/>
    <w:rsid w:val="DFDD30F9"/>
    <w:rsid w:val="DFF5A64B"/>
    <w:rsid w:val="DFFFB97E"/>
    <w:rsid w:val="E3DFABFC"/>
    <w:rsid w:val="E7E2616F"/>
    <w:rsid w:val="E7FE654D"/>
    <w:rsid w:val="E7FF481B"/>
    <w:rsid w:val="E97FB2C3"/>
    <w:rsid w:val="EABFCD06"/>
    <w:rsid w:val="EAD788B5"/>
    <w:rsid w:val="EAFB0206"/>
    <w:rsid w:val="ED7CB6BF"/>
    <w:rsid w:val="EDF3A9F3"/>
    <w:rsid w:val="EE369E02"/>
    <w:rsid w:val="EE7B0D54"/>
    <w:rsid w:val="EF779F32"/>
    <w:rsid w:val="EF920639"/>
    <w:rsid w:val="EF9EF7A3"/>
    <w:rsid w:val="EFBBA1E8"/>
    <w:rsid w:val="EFEFCEF3"/>
    <w:rsid w:val="EFFD85C2"/>
    <w:rsid w:val="EFFE7920"/>
    <w:rsid w:val="EFFF2025"/>
    <w:rsid w:val="EFFF3C2B"/>
    <w:rsid w:val="EFFF494D"/>
    <w:rsid w:val="F277D181"/>
    <w:rsid w:val="F37F0E49"/>
    <w:rsid w:val="F4C9127B"/>
    <w:rsid w:val="F67188B8"/>
    <w:rsid w:val="F6B80288"/>
    <w:rsid w:val="F6FC2EBA"/>
    <w:rsid w:val="F6FD84FB"/>
    <w:rsid w:val="F71C4126"/>
    <w:rsid w:val="F72F39FB"/>
    <w:rsid w:val="F73DF6FB"/>
    <w:rsid w:val="F7CFE4D2"/>
    <w:rsid w:val="F7FF3781"/>
    <w:rsid w:val="F8AF765D"/>
    <w:rsid w:val="F9631D36"/>
    <w:rsid w:val="F9AFB6F0"/>
    <w:rsid w:val="F9F9C2D3"/>
    <w:rsid w:val="FA576F15"/>
    <w:rsid w:val="FADC04E4"/>
    <w:rsid w:val="FB6E0296"/>
    <w:rsid w:val="FB8FF8E7"/>
    <w:rsid w:val="FBAD5CE8"/>
    <w:rsid w:val="FBBD53BA"/>
    <w:rsid w:val="FBDF2122"/>
    <w:rsid w:val="FBEE1844"/>
    <w:rsid w:val="FBEF2C87"/>
    <w:rsid w:val="FBF76626"/>
    <w:rsid w:val="FBFF379E"/>
    <w:rsid w:val="FCDB6888"/>
    <w:rsid w:val="FDBFFB3F"/>
    <w:rsid w:val="FDEDFE4B"/>
    <w:rsid w:val="FDF51AF1"/>
    <w:rsid w:val="FDF531D4"/>
    <w:rsid w:val="FEAFC839"/>
    <w:rsid w:val="FEBAED74"/>
    <w:rsid w:val="FEFF6CA1"/>
    <w:rsid w:val="FF18DFEE"/>
    <w:rsid w:val="FF5E5E6F"/>
    <w:rsid w:val="FF5EF1C1"/>
    <w:rsid w:val="FF6BEA1B"/>
    <w:rsid w:val="FF7DB9F7"/>
    <w:rsid w:val="FFBF5332"/>
    <w:rsid w:val="FFCF68DB"/>
    <w:rsid w:val="FFDB89D3"/>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表中内容"/>
    <w:qFormat/>
    <w:uiPriority w:val="0"/>
    <w:pPr>
      <w:widowControl w:val="0"/>
      <w:spacing w:line="240" w:lineRule="auto"/>
      <w:ind w:firstLine="0" w:firstLineChars="0"/>
      <w:jc w:val="center"/>
    </w:pPr>
    <w:rPr>
      <w:rFonts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24</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2021-07-22T19:38:00Z</dcterms:created>
  <dc:creator>张艺馨</dc:creator>
  <cp:lastModifiedBy>zyj</cp:lastModifiedBy>
  <cp:lastPrinted>2022-11-11T11:20:00Z</cp:lastPrinted>
  <dcterms:modified xsi:type="dcterms:W3CDTF">2024-04-10T02:08:18Z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