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w:t>
      </w:r>
      <w:bookmarkStart w:id="0" w:name="_Hlk147482607"/>
      <w:r>
        <w:rPr>
          <w:rFonts w:ascii="Times New Roman" w:hAnsi="Times New Roman" w:eastAsia="方正小标宋_GBK"/>
          <w:color w:val="000000"/>
          <w:sz w:val="44"/>
          <w:szCs w:val="44"/>
        </w:rPr>
        <w:t>黔江五福岭风电场项目水土保持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方案变更</w:t>
      </w:r>
      <w:bookmarkEnd w:id="0"/>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重庆市黔江区三峡新能源发电有限公司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黔江五福岭风电场项目水土保持方案变更</w:t>
      </w:r>
      <w:r>
        <w:rPr>
          <w:rFonts w:hint="default" w:ascii="Times New Roman" w:hAnsi="Times New Roman" w:eastAsia="方正仿宋_GBK" w:cs="Times New Roman"/>
          <w:color w:val="auto"/>
          <w:sz w:val="32"/>
          <w:szCs w:val="32"/>
        </w:rPr>
        <w:t>审批申请（项目代码：</w:t>
      </w:r>
      <w:r>
        <w:rPr>
          <w:rFonts w:hint="eastAsia" w:ascii="Times New Roman" w:hAnsi="Times New Roman" w:eastAsia="方正仿宋_GBK" w:cs="Times New Roman"/>
          <w:color w:val="auto"/>
          <w:sz w:val="32"/>
          <w:szCs w:val="32"/>
          <w:lang w:val="en-US" w:eastAsia="zh-CN"/>
        </w:rPr>
        <w:t>2019-500114-44-02-102093</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黔江五福岭风电场项目水土保持方案变更</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firstLine="645"/>
        <w:textAlignment w:val="auto"/>
        <w:rPr>
          <w:rFonts w:hint="eastAsia" w:ascii="Times New Roman" w:hAnsi="Times New Roman" w:eastAsia="方正仿宋_GBK"/>
          <w:b w:val="0"/>
          <w:color w:val="000000" w:themeColor="text1"/>
          <w:spacing w:val="0"/>
          <w:kern w:val="0"/>
          <w:position w:val="0"/>
          <w:sz w:val="32"/>
          <w:szCs w:val="32"/>
          <w14:textFill>
            <w14:solidFill>
              <w14:schemeClr w14:val="tx1"/>
            </w14:solidFill>
          </w14:textFill>
        </w:rPr>
      </w:pPr>
      <w:r>
        <w:rPr>
          <w:rFonts w:hint="eastAsia" w:ascii="Times New Roman" w:hAnsi="Times New Roman" w:eastAsia="方正仿宋_GBK"/>
          <w:b w:val="0"/>
          <w:color w:val="000000" w:themeColor="text1"/>
          <w:spacing w:val="0"/>
          <w:kern w:val="0"/>
          <w:position w:val="0"/>
          <w:sz w:val="32"/>
          <w:szCs w:val="32"/>
          <w14:textFill>
            <w14:solidFill>
              <w14:schemeClr w14:val="tx1"/>
            </w14:solidFill>
          </w14:textFill>
        </w:rPr>
        <w:t>（一）</w:t>
      </w:r>
      <w:r>
        <w:rPr>
          <w:rFonts w:hint="eastAsia" w:ascii="Times New Roman" w:hAnsi="Times New Roman" w:eastAsia="方正仿宋_GBK"/>
          <w:b w:val="0"/>
          <w:color w:val="000000" w:themeColor="text1"/>
          <w:spacing w:val="0"/>
          <w:kern w:val="0"/>
          <w:position w:val="0"/>
          <w:sz w:val="32"/>
          <w:szCs w:val="32"/>
          <w:lang w:eastAsia="zh-CN"/>
          <w14:textFill>
            <w14:solidFill>
              <w14:schemeClr w14:val="tx1"/>
            </w14:solidFill>
          </w14:textFill>
        </w:rPr>
        <w:t>基本同意</w:t>
      </w:r>
      <w:r>
        <w:rPr>
          <w:rFonts w:hint="eastAsia" w:ascii="Times New Roman" w:hAnsi="Times New Roman" w:eastAsia="方正仿宋_GBK"/>
          <w:b w:val="0"/>
          <w:color w:val="000000" w:themeColor="text1"/>
          <w:spacing w:val="0"/>
          <w:kern w:val="0"/>
          <w:position w:val="0"/>
          <w:sz w:val="32"/>
          <w:szCs w:val="32"/>
          <w14:textFill>
            <w14:solidFill>
              <w14:schemeClr w14:val="tx1"/>
            </w14:solidFill>
          </w14:textFill>
        </w:rPr>
        <w:t>项目水土保持方案变更</w:t>
      </w:r>
      <w:r>
        <w:rPr>
          <w:rFonts w:hint="eastAsia" w:ascii="Times New Roman" w:hAnsi="Times New Roman" w:eastAsia="方正仿宋_GBK"/>
          <w:b w:val="0"/>
          <w:color w:val="000000" w:themeColor="text1"/>
          <w:spacing w:val="0"/>
          <w:kern w:val="0"/>
          <w:position w:val="0"/>
          <w:sz w:val="32"/>
          <w:szCs w:val="32"/>
          <w:lang w:eastAsia="zh-CN"/>
          <w14:textFill>
            <w14:solidFill>
              <w14:schemeClr w14:val="tx1"/>
            </w14:solidFill>
          </w14:textFill>
        </w:rPr>
        <w:t>内容和理由</w:t>
      </w:r>
      <w:r>
        <w:rPr>
          <w:rFonts w:hint="eastAsia" w:ascii="Times New Roman" w:hAnsi="Times New Roman" w:eastAsia="方正仿宋_GBK"/>
          <w:b w:val="0"/>
          <w:color w:val="000000" w:themeColor="text1"/>
          <w:spacing w:val="0"/>
          <w:kern w:val="0"/>
          <w:positio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方案编制所依据的法律法规、部委规章、规范性文件、规范标准</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rPr>
        <w:t>）同意方案设计水平年为2023年。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）同意水土流失防治责任范围界定，水土流失防治责任范围面积为55.52hm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五</w:t>
      </w:r>
      <w:r>
        <w:rPr>
          <w:rFonts w:hint="eastAsia" w:ascii="Times New Roman" w:hAnsi="Times New Roman" w:eastAsia="方正仿宋_GBK" w:cs="Times New Roman"/>
          <w:color w:val="auto"/>
          <w:sz w:val="32"/>
          <w:szCs w:val="32"/>
        </w:rPr>
        <w:t>）同意项目水土流失防治标准等级执行西南紫色土区建设类项目一级标准。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六</w:t>
      </w:r>
      <w:r>
        <w:rPr>
          <w:rFonts w:hint="eastAsia" w:ascii="Times New Roman" w:hAnsi="Times New Roman" w:eastAsia="方正仿宋_GBK" w:cs="Times New Roman"/>
          <w:color w:val="auto"/>
          <w:sz w:val="32"/>
          <w:szCs w:val="32"/>
        </w:rPr>
        <w:t>）同意水土流失防治目标。其中：水土流失治理度97％，土壤流失控制比1.0，渣土防护率90％，表土保护率92％，林草植被恢复率97％，林草覆盖率25%</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w:t>
      </w:r>
      <w:r>
        <w:rPr>
          <w:rFonts w:hint="eastAsia" w:eastAsia="方正仿宋_GBK"/>
          <w:bCs/>
          <w:color w:val="auto"/>
          <w:sz w:val="32"/>
          <w:szCs w:val="32"/>
          <w:lang w:eastAsia="zh-CN"/>
        </w:rPr>
        <w:t>七</w:t>
      </w:r>
      <w:r>
        <w:rPr>
          <w:rFonts w:hint="eastAsia" w:ascii="Times New Roman" w:hAnsi="Times New Roman" w:eastAsia="方正仿宋_GBK"/>
          <w:bCs/>
          <w:color w:val="auto"/>
          <w:sz w:val="32"/>
          <w:szCs w:val="32"/>
        </w:rPr>
        <w:t>）基本同意水土流失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w:t>
      </w:r>
      <w:r>
        <w:rPr>
          <w:rFonts w:hint="eastAsia" w:eastAsia="方正仿宋_GBK"/>
          <w:bCs/>
          <w:color w:val="auto"/>
          <w:sz w:val="32"/>
          <w:szCs w:val="32"/>
          <w:lang w:eastAsia="zh-CN"/>
        </w:rPr>
        <w:t>八</w:t>
      </w:r>
      <w:r>
        <w:rPr>
          <w:rFonts w:hint="eastAsia" w:ascii="Times New Roman" w:hAnsi="Times New Roman" w:eastAsia="方正仿宋_GBK"/>
          <w:bCs/>
          <w:color w:val="auto"/>
          <w:sz w:val="32"/>
          <w:szCs w:val="32"/>
        </w:rPr>
        <w:t>）基本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bCs/>
          <w:color w:val="auto"/>
          <w:sz w:val="32"/>
          <w:szCs w:val="32"/>
          <w:lang w:bidi="ar"/>
        </w:rPr>
        <w:t>水土保持方案</w:t>
      </w:r>
      <w:r>
        <w:rPr>
          <w:rFonts w:hint="eastAsia" w:eastAsia="方正仿宋_GBK"/>
          <w:bCs/>
          <w:color w:val="auto"/>
          <w:sz w:val="32"/>
          <w:szCs w:val="32"/>
          <w:lang w:eastAsia="zh-CN" w:bidi="ar"/>
        </w:rPr>
        <w:t>变更</w:t>
      </w:r>
      <w:r>
        <w:rPr>
          <w:rFonts w:hint="eastAsia" w:ascii="Times New Roman" w:hAnsi="Times New Roman" w:eastAsia="方正仿宋_GBK"/>
          <w:bCs/>
          <w:color w:val="auto"/>
          <w:sz w:val="32"/>
          <w:szCs w:val="32"/>
          <w:lang w:bidi="ar"/>
        </w:rPr>
        <w:t>工程静态总投资1004.5</w:t>
      </w:r>
      <w:r>
        <w:rPr>
          <w:rFonts w:hint="eastAsia" w:eastAsia="方正仿宋_GBK"/>
          <w:bCs/>
          <w:color w:val="auto"/>
          <w:sz w:val="32"/>
          <w:szCs w:val="32"/>
          <w:lang w:val="en-US" w:eastAsia="zh-CN" w:bidi="ar"/>
        </w:rPr>
        <w:t>1</w:t>
      </w:r>
      <w:r>
        <w:rPr>
          <w:rFonts w:hint="eastAsia" w:ascii="Times New Roman" w:hAnsi="Times New Roman" w:eastAsia="方正仿宋_GBK"/>
          <w:bCs/>
          <w:color w:val="auto"/>
          <w:sz w:val="32"/>
          <w:szCs w:val="32"/>
          <w:lang w:bidi="ar"/>
        </w:rPr>
        <w:t>万元，</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主体已列718.12万元，方案新增286.3</w:t>
      </w:r>
      <w:r>
        <w:rPr>
          <w:rFonts w:hint="eastAsia"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工程措施0.3</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万元，植物措施9.13万元，监测措施11.00万元，独立费用175.87万元，基本预备费11.78万元，水土保持补偿费78.29万元</w:t>
      </w:r>
      <w:r>
        <w:rPr>
          <w:rFonts w:hint="eastAsia" w:ascii="Times New Roman" w:hAnsi="Times New Roman" w:eastAsia="方正仿宋_GBK" w:cs="Times New Roman"/>
          <w:color w:val="auto"/>
          <w:sz w:val="32"/>
          <w:szCs w:val="32"/>
          <w:lang w:eastAsia="zh-CN"/>
        </w:rPr>
        <w:t>（已缴纳））。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（二）根据水土保持法律法规和规范标准，完善水土保持监测、监理资料，做好水土保持档案管理工作。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color w:val="auto"/>
          <w:sz w:val="32"/>
          <w:szCs w:val="32"/>
        </w:rPr>
        <w:t>（三）工程完工后及时组织开展水土保持设施自主验收，并在水土保持设施自主验收通过3个月内向我局报备验收资料（包括水土保持设施验收鉴定书、水土保持设施验收报告和水土保持监测总结报告等）</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right="0" w:firstLine="640"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黔江五福岭风电场项目水土保持方案变更</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黔江五福岭风电场项目水土保持方案变更</w:t>
      </w:r>
      <w:r>
        <w:rPr>
          <w:rFonts w:hint="eastAsia" w:ascii="Times New Roman" w:hAnsi="Times New Roman" w:eastAsia="方正仿宋_GBK" w:cs="方正仿宋_GBK"/>
          <w:snapToGrid w:val="0"/>
          <w:color w:val="auto"/>
          <w:spacing w:val="-6"/>
          <w:kern w:val="0"/>
          <w:sz w:val="32"/>
          <w:szCs w:val="32"/>
        </w:rPr>
        <w:t>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pStyle w:val="2"/>
        <w:spacing w:line="594" w:lineRule="exact"/>
        <w:rPr>
          <w:rFonts w:hint="eastAsia"/>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 xml:space="preserve"> 13</w:t>
      </w:r>
      <w:bookmarkStart w:id="1" w:name="_GoBack"/>
      <w:bookmarkEnd w:id="1"/>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pPr>
      <w:r>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（此件</w:t>
      </w:r>
      <w:r>
        <w:rPr>
          <w:rFonts w:hint="eastAsia"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主动</w:t>
      </w:r>
      <w:r>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pPr>
      <w:r>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（联系人：张</w:t>
      </w:r>
      <w:r>
        <w:rPr>
          <w:rFonts w:hint="eastAsia"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春才</w:t>
      </w:r>
      <w:r>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；联系电话：023</w:t>
      </w:r>
      <w:r>
        <w:rPr>
          <w:rFonts w:hint="eastAsia" w:ascii="Times New Roman" w:hAnsi="Times New Roman" w:eastAsia="方正仿宋_GBK"/>
          <w:b w:val="0"/>
          <w:snapToGrid w:val="0"/>
          <w:color w:val="000000" w:themeColor="text1"/>
          <w:spacing w:val="0"/>
          <w:kern w:val="0"/>
          <w:position w:val="0"/>
          <w:sz w:val="32"/>
          <w:szCs w:val="32"/>
          <w:lang w:eastAsia="zh-CN"/>
          <w14:textFill>
            <w14:solidFill>
              <w14:schemeClr w14:val="tx1"/>
            </w14:solidFill>
          </w14:textFill>
        </w:rPr>
        <w:t>—</w:t>
      </w:r>
      <w:r>
        <w:rPr>
          <w:rFonts w:ascii="Times New Roman" w:hAnsi="Times New Roman" w:eastAsia="方正仿宋_GBK"/>
          <w:b w:val="0"/>
          <w:snapToGrid w:val="0"/>
          <w:color w:val="000000" w:themeColor="text1"/>
          <w:spacing w:val="0"/>
          <w:kern w:val="0"/>
          <w:position w:val="0"/>
          <w:sz w:val="32"/>
          <w:szCs w:val="32"/>
          <w14:textFill>
            <w14:solidFill>
              <w14:schemeClr w14:val="tx1"/>
            </w14:solidFill>
          </w14:textFill>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36"/>
          <w:szCs w:val="36"/>
        </w:rPr>
      </w:pPr>
      <w:r>
        <w:rPr>
          <w:rFonts w:hint="eastAsia" w:eastAsia="方正小标宋_GBK" w:cs="方正小标宋_GBK"/>
          <w:bCs/>
          <w:color w:val="auto"/>
          <w:spacing w:val="0"/>
          <w:w w:val="100"/>
          <w:sz w:val="36"/>
          <w:szCs w:val="36"/>
          <w:lang w:eastAsia="zh-CN"/>
        </w:rPr>
        <w:t>黔江五福岭风电场项目水土保持方案变更特性表</w:t>
      </w:r>
    </w:p>
    <w:tbl>
      <w:tblPr>
        <w:tblStyle w:val="17"/>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
        <w:gridCol w:w="1784"/>
        <w:gridCol w:w="1739"/>
        <w:gridCol w:w="450"/>
        <w:gridCol w:w="521"/>
        <w:gridCol w:w="1595"/>
        <w:gridCol w:w="537"/>
        <w:gridCol w:w="69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490"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项目</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名称</w:t>
            </w:r>
          </w:p>
        </w:tc>
        <w:tc>
          <w:tcPr>
            <w:tcW w:w="2439" w:type="pct"/>
            <w:gridSpan w:val="4"/>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黔江五福岭风电场项目</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流域管理机构</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长江水利委员会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90"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涉及省市</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重庆市</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涉及地市或个数</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涉及县或个数</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黔江区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exact"/>
          <w:jc w:val="center"/>
        </w:trPr>
        <w:tc>
          <w:tcPr>
            <w:tcW w:w="490" w:type="pct"/>
            <w:shd w:val="clear" w:color="auto" w:fill="auto"/>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项目规模</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9台单机容量3.3兆瓦、14台3.6兆瓦（1台限发3.5兆瓦）风电机组</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总投资（万元）</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63794.87</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土建投资（万元）</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16229.23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490" w:type="pct"/>
            <w:shd w:val="clear" w:color="auto" w:fill="auto"/>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动工时间</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2020年12月</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完工时间</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2023年10月</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设计水平年</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jc w:val="center"/>
        </w:trPr>
        <w:tc>
          <w:tcPr>
            <w:tcW w:w="490"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工程占地</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55.52</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永久占地</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1.23</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临时占地（hm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1458" w:type="pct"/>
            <w:gridSpan w:val="2"/>
            <w:vMerge w:val="restar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土石方量（万m</w:t>
            </w:r>
            <w:r>
              <w:rPr>
                <w:rFonts w:ascii="Times New Roman" w:hAnsi="Times New Roman" w:eastAsia="仿宋_GB2312" w:cs="Times New Roman"/>
                <w:kern w:val="2"/>
                <w:sz w:val="21"/>
                <w:szCs w:val="21"/>
                <w:vertAlign w:val="superscript"/>
                <w:lang w:val="en-US" w:eastAsia="zh-CN" w:bidi="ar-SA"/>
              </w:rPr>
              <w:t>3</w:t>
            </w:r>
            <w:r>
              <w:rPr>
                <w:rFonts w:ascii="Times New Roman" w:hAnsi="Times New Roman" w:eastAsia="仿宋_GB2312" w:cs="Times New Roman"/>
                <w:kern w:val="2"/>
                <w:sz w:val="21"/>
                <w:szCs w:val="21"/>
                <w:lang w:val="en-US" w:eastAsia="zh-CN" w:bidi="ar-SA"/>
              </w:rPr>
              <w:t>）</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挖方量</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填方量</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借方量</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弃方量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exact"/>
          <w:jc w:val="center"/>
        </w:trPr>
        <w:tc>
          <w:tcPr>
            <w:tcW w:w="1458" w:type="pct"/>
            <w:gridSpan w:val="2"/>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78.03</w:t>
            </w:r>
          </w:p>
        </w:tc>
        <w:tc>
          <w:tcPr>
            <w:tcW w:w="52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76.50</w:t>
            </w:r>
          </w:p>
        </w:tc>
        <w:tc>
          <w:tcPr>
            <w:tcW w:w="1156"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0.00</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重点防治区名称</w:t>
            </w:r>
          </w:p>
        </w:tc>
        <w:tc>
          <w:tcPr>
            <w:tcW w:w="3541" w:type="pct"/>
            <w:gridSpan w:val="7"/>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乌江赤水河上中游国家级水土流失重点治理区”、“重庆市水土流失重点预防区”、“重庆市水土流失重点治理区”、“黔江区阿蓬江-（段溪河、细沙河、金溪河、南溪河、黔江河）流域区级水土流失重点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地貌类型</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中山</w:t>
            </w:r>
          </w:p>
        </w:tc>
        <w:tc>
          <w:tcPr>
            <w:tcW w:w="1683" w:type="pct"/>
            <w:gridSpan w:val="4"/>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水土保持区划</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西南紫色土区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土壤侵蚀类型</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水力侵蚀</w:t>
            </w:r>
          </w:p>
        </w:tc>
        <w:tc>
          <w:tcPr>
            <w:tcW w:w="1683" w:type="pct"/>
            <w:gridSpan w:val="4"/>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土壤侵蚀强度</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防治责任范围（hm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55.52</w:t>
            </w:r>
          </w:p>
        </w:tc>
        <w:tc>
          <w:tcPr>
            <w:tcW w:w="1683" w:type="pct"/>
            <w:gridSpan w:val="4"/>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容许土壤流失量[t/（km</w:t>
            </w:r>
            <w:r>
              <w:rPr>
                <w:rFonts w:ascii="Times New Roman" w:hAnsi="Times New Roman" w:eastAsia="仿宋_GB2312" w:cs="Times New Roman"/>
                <w:kern w:val="2"/>
                <w:sz w:val="21"/>
                <w:szCs w:val="21"/>
                <w:vertAlign w:val="superscript"/>
                <w:lang w:val="en-US" w:eastAsia="zh-CN" w:bidi="ar-SA"/>
              </w:rPr>
              <w:t>2</w:t>
            </w:r>
            <w:r>
              <w:rPr>
                <w:rFonts w:ascii="Times New Roman" w:hAnsi="Times New Roman" w:eastAsia="仿宋_GB2312" w:cs="Times New Roman"/>
                <w:kern w:val="2"/>
                <w:sz w:val="21"/>
                <w:szCs w:val="21"/>
                <w:lang w:val="en-US" w:eastAsia="zh-CN" w:bidi="ar-SA"/>
              </w:rPr>
              <w:t>·a）]</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土壤流失预测总量（t）</w:t>
            </w:r>
          </w:p>
        </w:tc>
        <w:tc>
          <w:tcPr>
            <w:tcW w:w="943"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10270</w:t>
            </w:r>
          </w:p>
        </w:tc>
        <w:tc>
          <w:tcPr>
            <w:tcW w:w="1683" w:type="pct"/>
            <w:gridSpan w:val="4"/>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新增土壤流失量（t）</w:t>
            </w:r>
          </w:p>
        </w:tc>
        <w:tc>
          <w:tcPr>
            <w:tcW w:w="913"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水土流失防治标准执行等级</w:t>
            </w:r>
          </w:p>
        </w:tc>
        <w:tc>
          <w:tcPr>
            <w:tcW w:w="3541" w:type="pct"/>
            <w:gridSpan w:val="7"/>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西南紫色土区建设类项目一级标准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490" w:type="pct"/>
            <w:vMerge w:val="restar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防治目标</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水土流失治理度（%）</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97</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土壤流失控制比</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渣土防护率（%）</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90</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表土保护率（%）</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林草植被恢复率（%）</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97</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林草覆盖率（%）</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490" w:type="pct"/>
            <w:vMerge w:val="restart"/>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防治措施</w:t>
            </w: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防治分区</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工程措施</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植物措施</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风机平台</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已实施：表土剥离1.09万m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、表土回覆3.10万m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r>
              <w:rPr>
                <w:rFonts w:ascii="Times New Roman" w:hAnsi="Times New Roman" w:eastAsia="仿宋_GB2312" w:cs="Times New Roman"/>
                <w:bCs/>
                <w:sz w:val="18"/>
                <w:szCs w:val="18"/>
              </w:rPr>
              <w:t>浆砌石截排水沟</w:t>
            </w:r>
            <w:r>
              <w:rPr>
                <w:rFonts w:ascii="Times New Roman" w:hAnsi="Times New Roman" w:eastAsia="仿宋_GB2312" w:cs="Times New Roman"/>
                <w:sz w:val="18"/>
                <w:szCs w:val="18"/>
                <w:lang w:val="zh-CN"/>
              </w:rPr>
              <w:t>655m，全面整地14.09hm</w:t>
            </w:r>
            <w:r>
              <w:rPr>
                <w:rFonts w:ascii="Times New Roman" w:hAnsi="Times New Roman" w:eastAsia="仿宋_GB2312" w:cs="Times New Roman"/>
                <w:sz w:val="18"/>
                <w:szCs w:val="18"/>
                <w:vertAlign w:val="superscript"/>
                <w:lang w:val="zh-CN"/>
              </w:rPr>
              <w:t>2</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已实施：撒播草籽8.20hm</w:t>
            </w:r>
            <w:r>
              <w:rPr>
                <w:rFonts w:ascii="Times New Roman" w:hAnsi="Times New Roman" w:eastAsia="仿宋_GB2312" w:cs="Times New Roman"/>
                <w:sz w:val="18"/>
                <w:szCs w:val="18"/>
                <w:vertAlign w:val="superscript"/>
              </w:rPr>
              <w:t>2</w:t>
            </w:r>
          </w:p>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方案新增：撒播草籽5.89hm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、种植藤蔓11780株</w:t>
            </w:r>
          </w:p>
        </w:tc>
        <w:tc>
          <w:tcPr>
            <w:tcW w:w="1205" w:type="pct"/>
            <w:gridSpan w:val="3"/>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已实施：临时苫盖31200 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、编织袋装土拦挡55m</w:t>
            </w:r>
          </w:p>
          <w:p>
            <w:pPr>
              <w:keepNext w:val="0"/>
              <w:keepLines w:val="0"/>
              <w:widowControl w:val="0"/>
              <w:suppressLineNumbers w:val="0"/>
              <w:spacing w:before="0" w:beforeAutospacing="0" w:after="0" w:afterAutospacing="0" w:line="240" w:lineRule="exact"/>
              <w:ind w:left="56" w:leftChars="20" w:right="56" w:rightChars="20"/>
              <w:jc w:val="left"/>
              <w:rPr>
                <w:rFonts w:ascii="Times New Roman" w:hAnsi="Times New Roman" w:eastAsia="仿宋_GB2312"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道路工程</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已实施：表土剥离3.42万m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、表土回覆1.41万m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r>
              <w:rPr>
                <w:rFonts w:ascii="Times New Roman" w:hAnsi="Times New Roman" w:eastAsia="仿宋_GB2312" w:cs="Times New Roman"/>
                <w:bCs/>
                <w:sz w:val="18"/>
                <w:szCs w:val="18"/>
              </w:rPr>
              <w:t>浆砌石截排水沟</w:t>
            </w:r>
            <w:r>
              <w:rPr>
                <w:rFonts w:ascii="Times New Roman" w:hAnsi="Times New Roman" w:eastAsia="仿宋_GB2312" w:cs="Times New Roman"/>
                <w:sz w:val="18"/>
                <w:szCs w:val="18"/>
              </w:rPr>
              <w:t>26627m、沉砂消能池26座、全面整地8.03hm</w:t>
            </w:r>
            <w:r>
              <w:rPr>
                <w:rFonts w:ascii="Times New Roman" w:hAnsi="Times New Roman" w:eastAsia="仿宋_GB2312" w:cs="Times New Roman"/>
                <w:sz w:val="18"/>
                <w:szCs w:val="18"/>
                <w:vertAlign w:val="superscript"/>
              </w:rPr>
              <w:t>2</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已实施：撒播草籽6.13hm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方案新增：撒播草籽1.90hm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、种植藤蔓3800株</w:t>
            </w:r>
          </w:p>
        </w:tc>
        <w:tc>
          <w:tcPr>
            <w:tcW w:w="1205" w:type="pct"/>
            <w:gridSpan w:val="3"/>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已实施：临时竹板拦挡300m、临时苫盖13220m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、临时排水沟14213m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widowControl w:val="0"/>
              <w:suppressLineNumbers w:val="0"/>
              <w:spacing w:before="0" w:beforeAutospacing="0" w:after="0" w:afterAutospacing="0" w:line="240" w:lineRule="exact"/>
              <w:ind w:left="56" w:leftChars="20" w:right="56" w:rightChars="20"/>
              <w:jc w:val="left"/>
              <w:rPr>
                <w:rFonts w:ascii="Times New Roman" w:hAnsi="Times New Roman" w:eastAsia="仿宋_GB2312"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架空线路</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已实施：表土剥离0.01万m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、表土回覆0.01万m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、全面整地0.02hm</w:t>
            </w:r>
            <w:r>
              <w:rPr>
                <w:rFonts w:ascii="Times New Roman" w:hAnsi="Times New Roman" w:eastAsia="仿宋_GB2312" w:cs="Times New Roman"/>
                <w:sz w:val="18"/>
                <w:szCs w:val="18"/>
                <w:vertAlign w:val="superscript"/>
              </w:rPr>
              <w:t>2</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已实施：撒播草籽0.02hm</w:t>
            </w:r>
            <w:r>
              <w:rPr>
                <w:rFonts w:ascii="Times New Roman" w:hAnsi="Times New Roman" w:eastAsia="仿宋_GB2312" w:cs="Times New Roman"/>
                <w:sz w:val="18"/>
                <w:szCs w:val="18"/>
                <w:vertAlign w:val="superscript"/>
              </w:rPr>
              <w:t>2</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升压站区</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已实施：表土剥离0.08万m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、表土回覆0.08万m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r>
              <w:rPr>
                <w:rFonts w:ascii="Times New Roman" w:hAnsi="Times New Roman" w:eastAsia="仿宋_GB2312" w:cs="Times New Roman"/>
                <w:bCs/>
                <w:sz w:val="18"/>
                <w:szCs w:val="18"/>
              </w:rPr>
              <w:t>浆砌石截排水沟</w:t>
            </w:r>
            <w:r>
              <w:rPr>
                <w:rFonts w:ascii="Times New Roman" w:hAnsi="Times New Roman" w:eastAsia="仿宋_GB2312" w:cs="Times New Roman"/>
                <w:sz w:val="18"/>
                <w:szCs w:val="18"/>
              </w:rPr>
              <w:t>202m、全面整地0.62hm</w:t>
            </w:r>
            <w:r>
              <w:rPr>
                <w:rFonts w:ascii="Times New Roman" w:hAnsi="Times New Roman" w:eastAsia="仿宋_GB2312" w:cs="Times New Roman"/>
                <w:sz w:val="18"/>
                <w:szCs w:val="18"/>
                <w:vertAlign w:val="superscript"/>
              </w:rPr>
              <w:t>2</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已实施：撒播草籽0.10hm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widowControl w:val="0"/>
              <w:suppressLineNumbers w:val="0"/>
              <w:spacing w:before="0" w:beforeAutospacing="0" w:after="0" w:afterAutospacing="0" w:line="240" w:lineRule="exact"/>
              <w:ind w:left="56" w:leftChars="20" w:right="56" w:rightChars="2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方案新增：撒播草籽0.52hm</w:t>
            </w:r>
            <w:r>
              <w:rPr>
                <w:rFonts w:ascii="Times New Roman" w:hAnsi="Times New Roman" w:eastAsia="仿宋_GB2312" w:cs="Times New Roman"/>
                <w:kern w:val="2"/>
                <w:sz w:val="18"/>
                <w:szCs w:val="18"/>
                <w:vertAlign w:val="superscript"/>
                <w:lang w:val="en-US" w:eastAsia="zh-CN" w:bidi="ar-SA"/>
              </w:rPr>
              <w:t>2</w:t>
            </w:r>
            <w:r>
              <w:rPr>
                <w:rFonts w:ascii="Times New Roman" w:hAnsi="Times New Roman" w:eastAsia="仿宋_GB2312" w:cs="Times New Roman"/>
                <w:kern w:val="2"/>
                <w:sz w:val="18"/>
                <w:szCs w:val="18"/>
                <w:lang w:val="en-US" w:eastAsia="zh-CN" w:bidi="ar-SA"/>
              </w:rPr>
              <w:t>、种植藤蔓1040株</w:t>
            </w:r>
          </w:p>
        </w:tc>
        <w:tc>
          <w:tcPr>
            <w:tcW w:w="1205" w:type="pct"/>
            <w:gridSpan w:val="3"/>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已实施：临时排水沟80m、临时苫盖1200m</w:t>
            </w:r>
            <w:r>
              <w:rPr>
                <w:rFonts w:ascii="Times New Roman" w:hAnsi="Times New Roman" w:eastAsia="仿宋_GB2312" w:cs="Times New Roman"/>
                <w:sz w:val="18"/>
                <w:szCs w:val="18"/>
                <w:vertAlign w:val="superscript"/>
              </w:rPr>
              <w:t>2</w:t>
            </w:r>
          </w:p>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施工生产生活区</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已实施：表土剥离0.31万m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、表土回覆0.31万m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、全面整地1.60hm</w:t>
            </w:r>
            <w:r>
              <w:rPr>
                <w:rFonts w:ascii="Times New Roman" w:hAnsi="Times New Roman" w:eastAsia="仿宋_GB2312" w:cs="Times New Roman"/>
                <w:sz w:val="18"/>
                <w:szCs w:val="18"/>
                <w:vertAlign w:val="superscript"/>
              </w:rPr>
              <w:t>2</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已实施：撒播草籽1.60hm</w:t>
            </w:r>
            <w:r>
              <w:rPr>
                <w:rFonts w:ascii="Times New Roman" w:hAnsi="Times New Roman" w:eastAsia="仿宋_GB2312" w:cs="Times New Roman"/>
                <w:sz w:val="18"/>
                <w:szCs w:val="18"/>
                <w:vertAlign w:val="superscript"/>
              </w:rPr>
              <w:t>2</w:t>
            </w:r>
          </w:p>
        </w:tc>
        <w:tc>
          <w:tcPr>
            <w:tcW w:w="1205" w:type="pct"/>
            <w:gridSpan w:val="3"/>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已实施：临时排水沟400m、临时沉砂池2座、临时苫盖3200m</w:t>
            </w:r>
            <w:r>
              <w:rPr>
                <w:rFonts w:ascii="Times New Roman" w:hAnsi="Times New Roman" w:eastAsia="仿宋_GB2312"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弃渣场</w:t>
            </w:r>
          </w:p>
        </w:tc>
        <w:tc>
          <w:tcPr>
            <w:tcW w:w="118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已实施：表土剥离0.20万m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、表土回覆0.20万m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、浆砌石挡渣墙155m、</w:t>
            </w:r>
            <w:r>
              <w:rPr>
                <w:rFonts w:ascii="Times New Roman" w:hAnsi="Times New Roman" w:eastAsia="仿宋_GB2312" w:cs="Times New Roman"/>
                <w:bCs/>
                <w:sz w:val="18"/>
                <w:szCs w:val="18"/>
              </w:rPr>
              <w:t>浆砌石截排水沟342m、</w:t>
            </w:r>
            <w:r>
              <w:rPr>
                <w:rFonts w:ascii="Times New Roman" w:hAnsi="Times New Roman" w:eastAsia="仿宋_GB2312" w:cs="Times New Roman"/>
                <w:sz w:val="18"/>
                <w:szCs w:val="18"/>
              </w:rPr>
              <w:t>沉砂消能池2座、全面整地1.23hm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。方案新增：沉砂消能池1座</w:t>
            </w:r>
          </w:p>
        </w:tc>
        <w:tc>
          <w:tcPr>
            <w:tcW w:w="1148" w:type="pct"/>
            <w:gridSpan w:val="2"/>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已实施：撒播草籽1.23hm</w:t>
            </w:r>
            <w:r>
              <w:rPr>
                <w:rFonts w:ascii="Times New Roman" w:hAnsi="Times New Roman" w:eastAsia="仿宋_GB2312" w:cs="Times New Roman"/>
                <w:sz w:val="18"/>
                <w:szCs w:val="18"/>
                <w:vertAlign w:val="superscript"/>
              </w:rPr>
              <w:t>2</w:t>
            </w:r>
          </w:p>
        </w:tc>
        <w:tc>
          <w:tcPr>
            <w:tcW w:w="1205" w:type="pct"/>
            <w:gridSpan w:val="3"/>
            <w:vAlign w:val="center"/>
          </w:tcPr>
          <w:p>
            <w:pPr>
              <w:keepNext w:val="0"/>
              <w:keepLines w:val="0"/>
              <w:suppressLineNumbers w:val="0"/>
              <w:topLinePunct/>
              <w:snapToGrid w:val="0"/>
              <w:spacing w:before="0" w:beforeAutospacing="0" w:after="0" w:afterAutospacing="0" w:line="240" w:lineRule="exact"/>
              <w:ind w:left="56" w:leftChars="20" w:right="56" w:rightChars="2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已实施：临时苫盖3400m</w:t>
            </w:r>
            <w:r>
              <w:rPr>
                <w:rFonts w:ascii="Times New Roman" w:hAnsi="Times New Roman" w:eastAsia="仿宋_GB2312"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490" w:type="pct"/>
            <w:vMerge w:val="continue"/>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p>
        </w:tc>
        <w:tc>
          <w:tcPr>
            <w:tcW w:w="968"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投资（万元）</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616.6</w:t>
            </w:r>
            <w:r>
              <w:rPr>
                <w:rFonts w:hint="eastAsia" w:eastAsia="仿宋_GB2312" w:cs="Times New Roman"/>
                <w:kern w:val="2"/>
                <w:sz w:val="21"/>
                <w:szCs w:val="21"/>
                <w:lang w:val="en-US" w:eastAsia="zh-CN" w:bidi="ar-SA"/>
              </w:rPr>
              <w:t>1</w:t>
            </w:r>
            <w:r>
              <w:rPr>
                <w:rFonts w:ascii="Times New Roman" w:hAnsi="Times New Roman" w:eastAsia="仿宋_GB2312" w:cs="Times New Roman"/>
                <w:kern w:val="2"/>
                <w:sz w:val="21"/>
                <w:szCs w:val="21"/>
                <w:lang w:val="en-US" w:eastAsia="zh-CN" w:bidi="ar-SA"/>
              </w:rPr>
              <w:t>万元（含方案新增0.3</w:t>
            </w:r>
            <w:r>
              <w:rPr>
                <w:rFonts w:hint="eastAsia" w:eastAsia="仿宋_GB2312" w:cs="Times New Roman"/>
                <w:kern w:val="2"/>
                <w:sz w:val="21"/>
                <w:szCs w:val="21"/>
                <w:lang w:val="en-US" w:eastAsia="zh-CN" w:bidi="ar-SA"/>
              </w:rPr>
              <w:t>2</w:t>
            </w:r>
            <w:r>
              <w:rPr>
                <w:rFonts w:ascii="Times New Roman" w:hAnsi="Times New Roman" w:eastAsia="仿宋_GB2312" w:cs="Times New Roman"/>
                <w:kern w:val="2"/>
                <w:sz w:val="21"/>
                <w:szCs w:val="21"/>
                <w:lang w:val="en-US" w:eastAsia="zh-CN" w:bidi="ar-SA"/>
              </w:rPr>
              <w:t>万元）</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23.72万元（含方案新增9.13万元）</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29.15万元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水土保持总投资（万元）</w:t>
            </w:r>
          </w:p>
        </w:tc>
        <w:tc>
          <w:tcPr>
            <w:tcW w:w="1188" w:type="pct"/>
            <w:gridSpan w:val="2"/>
            <w:vAlign w:val="center"/>
          </w:tcPr>
          <w:p>
            <w:pPr>
              <w:keepNext w:val="0"/>
              <w:keepLines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1004.5</w:t>
            </w:r>
            <w:r>
              <w:rPr>
                <w:rFonts w:hint="eastAsia" w:eastAsia="仿宋_GB2312" w:cs="Times New Roman"/>
                <w:sz w:val="21"/>
                <w:szCs w:val="21"/>
                <w:lang w:val="en-US" w:eastAsia="zh-CN"/>
              </w:rPr>
              <w:t>1</w:t>
            </w:r>
            <w:r>
              <w:rPr>
                <w:rFonts w:ascii="Times New Roman" w:hAnsi="Times New Roman" w:eastAsia="仿宋_GB2312" w:cs="Times New Roman"/>
                <w:sz w:val="21"/>
                <w:szCs w:val="21"/>
              </w:rPr>
              <w:t>（含方案新增投资286.3</w:t>
            </w:r>
            <w:r>
              <w:rPr>
                <w:rFonts w:hint="eastAsia" w:eastAsia="仿宋_GB2312" w:cs="Times New Roman"/>
                <w:sz w:val="21"/>
                <w:szCs w:val="21"/>
                <w:lang w:val="en-US" w:eastAsia="zh-CN"/>
              </w:rPr>
              <w:t>9</w:t>
            </w:r>
            <w:r>
              <w:rPr>
                <w:rFonts w:ascii="Times New Roman" w:hAnsi="Times New Roman" w:eastAsia="仿宋_GB2312" w:cs="Times New Roman"/>
                <w:sz w:val="21"/>
                <w:szCs w:val="21"/>
              </w:rPr>
              <w:t>万元）</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独立费用（万元）</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175.04</w:t>
            </w:r>
            <w:r>
              <w:rPr>
                <w:rFonts w:ascii="Times New Roman" w:hAnsi="Times New Roman" w:eastAsia="仿宋_GB2312" w:cs="Times New Roman"/>
                <w:kern w:val="2"/>
                <w:sz w:val="21"/>
                <w:szCs w:val="21"/>
                <w:lang w:val="en-US" w:eastAsia="zh-CN" w:bidi="ar-SA"/>
              </w:rPr>
              <w:t>（含方案新增投资</w:t>
            </w:r>
            <w:r>
              <w:rPr>
                <w:rFonts w:hint="eastAsia" w:ascii="Times New Roman" w:hAnsi="Times New Roman" w:eastAsia="仿宋_GB2312" w:cs="Times New Roman"/>
                <w:kern w:val="2"/>
                <w:sz w:val="21"/>
                <w:szCs w:val="21"/>
                <w:lang w:val="en-US" w:eastAsia="zh-CN" w:bidi="ar-SA"/>
              </w:rPr>
              <w:t>175.04</w:t>
            </w:r>
            <w:r>
              <w:rPr>
                <w:rFonts w:ascii="Times New Roman" w:hAnsi="Times New Roman" w:eastAsia="仿宋_GB2312" w:cs="Times New Roman"/>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监理费（万元）</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25.53</w:t>
            </w:r>
          </w:p>
        </w:tc>
        <w:tc>
          <w:tcPr>
            <w:tcW w:w="282"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监测费（万元）</w:t>
            </w:r>
          </w:p>
        </w:tc>
        <w:tc>
          <w:tcPr>
            <w:tcW w:w="865"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69.08（含方案新增投资11.00万元）</w:t>
            </w:r>
          </w:p>
        </w:tc>
        <w:tc>
          <w:tcPr>
            <w:tcW w:w="667"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补偿费（</w:t>
            </w:r>
            <w:r>
              <w:rPr>
                <w:rFonts w:hint="eastAsia" w:ascii="Times New Roman" w:hAnsi="Times New Roman" w:eastAsia="仿宋_GB2312" w:cs="Times New Roman"/>
                <w:kern w:val="2"/>
                <w:sz w:val="21"/>
                <w:szCs w:val="21"/>
                <w:lang w:val="en-US" w:eastAsia="zh-CN" w:bidi="ar-SA"/>
              </w:rPr>
              <w:t>万</w:t>
            </w:r>
            <w:r>
              <w:rPr>
                <w:rFonts w:ascii="Times New Roman" w:hAnsi="Times New Roman" w:eastAsia="仿宋_GB2312" w:cs="Times New Roman"/>
                <w:kern w:val="2"/>
                <w:sz w:val="21"/>
                <w:szCs w:val="21"/>
                <w:lang w:val="en-US" w:eastAsia="zh-CN" w:bidi="ar-SA"/>
              </w:rPr>
              <w:t>元）</w:t>
            </w:r>
          </w:p>
        </w:tc>
        <w:tc>
          <w:tcPr>
            <w:tcW w:w="537" w:type="pct"/>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78</w:t>
            </w:r>
            <w:r>
              <w:rPr>
                <w:rFonts w:hint="eastAsia" w:ascii="Times New Roman" w:hAnsi="Times New Roman"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方案编制单位</w:t>
            </w:r>
          </w:p>
        </w:tc>
        <w:tc>
          <w:tcPr>
            <w:tcW w:w="118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18"/>
                <w:szCs w:val="18"/>
                <w:lang w:val="en-US" w:eastAsia="zh-CN" w:bidi="ar-SA"/>
              </w:rPr>
              <w:t>重庆市地质矿产勘查开发局107地质队</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建设单位</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重庆市黔江区三峡新能源</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18"/>
                <w:szCs w:val="18"/>
                <w:lang w:val="en-US" w:eastAsia="zh-CN" w:bidi="ar-SA"/>
              </w:rPr>
              <w:t>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法定代表人及电话</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游廷安02367</w:t>
            </w:r>
            <w:r>
              <w:rPr>
                <w:rFonts w:hint="eastAsia" w:eastAsia="仿宋_GB2312" w:cs="Times New Roman"/>
                <w:sz w:val="21"/>
                <w:szCs w:val="21"/>
                <w:lang w:val="en-US" w:eastAsia="zh-CN"/>
              </w:rPr>
              <w:t>***</w:t>
            </w:r>
            <w:r>
              <w:rPr>
                <w:rFonts w:ascii="Times New Roman" w:hAnsi="Times New Roman" w:eastAsia="仿宋_GB2312" w:cs="Times New Roman"/>
                <w:sz w:val="21"/>
                <w:szCs w:val="21"/>
              </w:rPr>
              <w:t>02</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法定代表人及电话</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高秉文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jc w:val="center"/>
        </w:trPr>
        <w:tc>
          <w:tcPr>
            <w:tcW w:w="1458" w:type="pct"/>
            <w:gridSpan w:val="2"/>
            <w:vAlign w:val="center"/>
          </w:tcPr>
          <w:p>
            <w:pPr>
              <w:keepNext w:val="0"/>
              <w:keepLines w:val="0"/>
              <w:widowControl w:val="0"/>
              <w:suppressLineNumbers w:val="0"/>
              <w:tabs>
                <w:tab w:val="left" w:pos="856"/>
              </w:tabs>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地</w:t>
            </w:r>
            <w:r>
              <w:rPr>
                <w:rFonts w:ascii="Times New Roman" w:hAnsi="Times New Roman" w:eastAsia="仿宋_GB2312" w:cs="Times New Roman"/>
                <w:kern w:val="2"/>
                <w:sz w:val="21"/>
                <w:szCs w:val="21"/>
                <w:lang w:val="en-US" w:eastAsia="zh-CN" w:bidi="ar-SA"/>
              </w:rPr>
              <w:tab/>
            </w:r>
            <w:r>
              <w:rPr>
                <w:rFonts w:ascii="Times New Roman" w:hAnsi="Times New Roman" w:eastAsia="仿宋_GB2312" w:cs="Times New Roman"/>
                <w:kern w:val="2"/>
                <w:sz w:val="21"/>
                <w:szCs w:val="21"/>
                <w:lang w:val="en-US" w:eastAsia="zh-CN" w:bidi="ar-SA"/>
              </w:rPr>
              <w:t>址</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重庆市渝北区腾芳大道6号</w:t>
            </w:r>
          </w:p>
        </w:tc>
        <w:tc>
          <w:tcPr>
            <w:tcW w:w="1148" w:type="pct"/>
            <w:gridSpan w:val="2"/>
            <w:vAlign w:val="center"/>
          </w:tcPr>
          <w:p>
            <w:pPr>
              <w:keepNext w:val="0"/>
              <w:keepLines w:val="0"/>
              <w:widowControl w:val="0"/>
              <w:suppressLineNumbers w:val="0"/>
              <w:tabs>
                <w:tab w:val="left" w:pos="461"/>
              </w:tabs>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地</w:t>
            </w:r>
            <w:r>
              <w:rPr>
                <w:rFonts w:ascii="Times New Roman" w:hAnsi="Times New Roman" w:eastAsia="仿宋_GB2312" w:cs="Times New Roman"/>
                <w:kern w:val="2"/>
                <w:sz w:val="21"/>
                <w:szCs w:val="21"/>
                <w:lang w:val="en-US" w:eastAsia="zh-CN" w:bidi="ar-SA"/>
              </w:rPr>
              <w:tab/>
            </w:r>
            <w:r>
              <w:rPr>
                <w:rFonts w:ascii="Times New Roman" w:hAnsi="Times New Roman" w:eastAsia="仿宋_GB2312" w:cs="Times New Roman"/>
                <w:kern w:val="2"/>
                <w:sz w:val="21"/>
                <w:szCs w:val="21"/>
                <w:lang w:val="en-US" w:eastAsia="zh-CN" w:bidi="ar-SA"/>
              </w:rPr>
              <w:t>址</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重庆市黔江区正阳工业园</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区四期标准化厂房4号楼</w:t>
            </w:r>
          </w:p>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18"/>
                <w:szCs w:val="18"/>
                <w:lang w:val="en-US" w:eastAsia="zh-CN" w:bidi="ar-SA"/>
              </w:rPr>
              <w:t>第1层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邮政编码</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401120</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邮政编码</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联系人及电话</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蓝明波13</w:t>
            </w:r>
            <w:r>
              <w:rPr>
                <w:rFonts w:hint="eastAsia" w:eastAsia="仿宋_GB2312" w:cs="Times New Roman"/>
                <w:sz w:val="21"/>
                <w:szCs w:val="21"/>
                <w:lang w:val="en-US" w:eastAsia="zh-CN"/>
              </w:rPr>
              <w:t>***</w:t>
            </w:r>
            <w:r>
              <w:rPr>
                <w:rFonts w:ascii="Times New Roman" w:hAnsi="Times New Roman" w:eastAsia="仿宋_GB2312" w:cs="Times New Roman"/>
                <w:sz w:val="21"/>
                <w:szCs w:val="21"/>
              </w:rPr>
              <w:t>89</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联系人及电话</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梁家辉/17</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jc w:val="center"/>
        </w:trPr>
        <w:tc>
          <w:tcPr>
            <w:tcW w:w="1458" w:type="pct"/>
            <w:gridSpan w:val="2"/>
            <w:vAlign w:val="center"/>
          </w:tcPr>
          <w:p>
            <w:pPr>
              <w:keepNext w:val="0"/>
              <w:keepLines w:val="0"/>
              <w:widowControl w:val="0"/>
              <w:suppressLineNumbers w:val="0"/>
              <w:tabs>
                <w:tab w:val="left" w:pos="856"/>
              </w:tabs>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传</w:t>
            </w:r>
            <w:r>
              <w:rPr>
                <w:rFonts w:ascii="Times New Roman" w:hAnsi="Times New Roman" w:eastAsia="仿宋_GB2312" w:cs="Times New Roman"/>
                <w:kern w:val="2"/>
                <w:sz w:val="21"/>
                <w:szCs w:val="21"/>
                <w:lang w:val="en-US" w:eastAsia="zh-CN" w:bidi="ar-SA"/>
              </w:rPr>
              <w:tab/>
            </w:r>
            <w:r>
              <w:rPr>
                <w:rFonts w:ascii="Times New Roman" w:hAnsi="Times New Roman" w:eastAsia="仿宋_GB2312" w:cs="Times New Roman"/>
                <w:kern w:val="2"/>
                <w:sz w:val="21"/>
                <w:szCs w:val="21"/>
                <w:lang w:val="en-US" w:eastAsia="zh-CN" w:bidi="ar-SA"/>
              </w:rPr>
              <w:t>真</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传真</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jc w:val="center"/>
        </w:trPr>
        <w:tc>
          <w:tcPr>
            <w:tcW w:w="145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电子信箱</w:t>
            </w:r>
          </w:p>
        </w:tc>
        <w:tc>
          <w:tcPr>
            <w:tcW w:w="1188" w:type="pct"/>
            <w:gridSpan w:val="2"/>
            <w:vAlign w:val="center"/>
          </w:tcPr>
          <w:p>
            <w:pPr>
              <w:keepNext w:val="0"/>
              <w:keepLines w:val="0"/>
              <w:suppressLineNumbers w:val="0"/>
              <w:snapToGrid w:val="0"/>
              <w:spacing w:before="0" w:beforeAutospacing="0" w:after="0" w:afterAutospacing="0" w:line="240" w:lineRule="exact"/>
              <w:ind w:left="56" w:leftChars="20" w:right="56" w:rightChars="2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64</w:t>
            </w:r>
            <w:r>
              <w:rPr>
                <w:rFonts w:hint="eastAsia" w:eastAsia="仿宋_GB2312" w:cs="Times New Roman"/>
                <w:sz w:val="21"/>
                <w:szCs w:val="21"/>
                <w:lang w:val="en-US" w:eastAsia="zh-CN"/>
              </w:rPr>
              <w:t>***</w:t>
            </w:r>
            <w:r>
              <w:rPr>
                <w:rFonts w:ascii="Times New Roman" w:hAnsi="Times New Roman" w:eastAsia="仿宋_GB2312" w:cs="Times New Roman"/>
                <w:sz w:val="21"/>
                <w:szCs w:val="21"/>
              </w:rPr>
              <w:t>88@qq.com</w:t>
            </w:r>
          </w:p>
        </w:tc>
        <w:tc>
          <w:tcPr>
            <w:tcW w:w="1148" w:type="pct"/>
            <w:gridSpan w:val="2"/>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电子信箱</w:t>
            </w:r>
          </w:p>
        </w:tc>
        <w:tc>
          <w:tcPr>
            <w:tcW w:w="1205" w:type="pct"/>
            <w:gridSpan w:val="3"/>
            <w:vAlign w:val="center"/>
          </w:tcPr>
          <w:p>
            <w:pPr>
              <w:keepNext w:val="0"/>
              <w:keepLines w:val="0"/>
              <w:widowControl w:val="0"/>
              <w:suppressLineNumbers w:val="0"/>
              <w:spacing w:before="0" w:beforeAutospacing="0" w:after="0" w:afterAutospacing="0" w:line="240" w:lineRule="exact"/>
              <w:ind w:left="56" w:leftChars="20" w:right="56" w:rightChars="20"/>
              <w:jc w:val="center"/>
              <w:rPr>
                <w:rFonts w:ascii="Times New Roman" w:hAnsi="Times New Roman" w:eastAsia="仿宋_GB2312" w:cs="Times New Roman"/>
                <w:kern w:val="2"/>
                <w:sz w:val="21"/>
                <w:szCs w:val="21"/>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"mailto:330451348@qq.com" \h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仿宋_GB2312" w:cs="Times New Roman"/>
                <w:kern w:val="2"/>
                <w:sz w:val="21"/>
                <w:szCs w:val="21"/>
                <w:lang w:val="en-US" w:eastAsia="zh-CN" w:bidi="ar-SA"/>
              </w:rPr>
              <w:t>33</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48@qq.com</w:t>
            </w:r>
            <w:r>
              <w:rPr>
                <w:rFonts w:ascii="Times New Roman" w:hAnsi="Times New Roman" w:eastAsia="仿宋_GB2312" w:cs="Times New Roman"/>
                <w:kern w:val="2"/>
                <w:sz w:val="21"/>
                <w:szCs w:val="21"/>
                <w:lang w:val="en-US" w:eastAsia="zh-CN" w:bidi="ar-SA"/>
              </w:rPr>
              <w:fldChar w:fldCharType="end"/>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r>
        <w:rPr>
          <w:rFonts w:hint="eastAsia" w:ascii="Times New Roman" w:hAnsi="Times New Roman" w:eastAsia="方正黑体_GBK" w:cs="方正黑体_GBK"/>
          <w:b w:val="0"/>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Autospacing="0" w:line="540"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afterAutospacing="0" w:line="540" w:lineRule="exact"/>
        <w:jc w:val="center"/>
        <w:textAlignment w:val="auto"/>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黔江五福岭风电场项目水土保持方案</w:t>
      </w:r>
    </w:p>
    <w:p>
      <w:pPr>
        <w:keepNext w:val="0"/>
        <w:keepLines w:val="0"/>
        <w:pageBreakBefore w:val="0"/>
        <w:widowControl w:val="0"/>
        <w:kinsoku/>
        <w:wordWrap/>
        <w:overflowPunct/>
        <w:topLinePunct w:val="0"/>
        <w:autoSpaceDE/>
        <w:autoSpaceDN/>
        <w:bidi w:val="0"/>
        <w:adjustRightInd/>
        <w:snapToGrid w:val="0"/>
        <w:spacing w:after="100" w:afterAutospacing="1" w:line="540"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变更报告书专家评审意见</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2023年8月2日，重庆市水利局组织召开了《</w:t>
      </w:r>
      <w:r>
        <w:rPr>
          <w:rFonts w:hint="eastAsia" w:ascii="Times New Roman" w:hAnsi="Times New Roman" w:eastAsia="方正仿宋_GBK" w:cs="Times New Roman"/>
          <w:color w:val="auto"/>
          <w:sz w:val="32"/>
          <w:szCs w:val="32"/>
          <w:lang w:eastAsia="zh-CN"/>
        </w:rPr>
        <w:t>黔江五福岭风电场项目水土保持方案变更</w:t>
      </w:r>
      <w:r>
        <w:rPr>
          <w:rFonts w:hint="eastAsia" w:ascii="Times New Roman" w:hAnsi="Times New Roman" w:eastAsia="方正仿宋_GBK" w:cs="Times New Roman"/>
          <w:color w:val="auto"/>
          <w:sz w:val="32"/>
          <w:szCs w:val="32"/>
        </w:rPr>
        <w:t>报告书》（以下简称《水保方案》）专家</w:t>
      </w:r>
      <w:r>
        <w:rPr>
          <w:rFonts w:hint="eastAsia" w:ascii="Times New Roman" w:hAnsi="Times New Roman" w:eastAsia="方正仿宋_GBK" w:cs="Times New Roman"/>
          <w:color w:val="auto"/>
          <w:sz w:val="32"/>
          <w:szCs w:val="32"/>
          <w:lang w:eastAsia="zh-CN"/>
        </w:rPr>
        <w:t>复</w:t>
      </w:r>
      <w:r>
        <w:rPr>
          <w:rFonts w:hint="eastAsia" w:ascii="Times New Roman" w:hAnsi="Times New Roman" w:eastAsia="方正仿宋_GBK" w:cs="Times New Roman"/>
          <w:color w:val="auto"/>
          <w:sz w:val="32"/>
          <w:szCs w:val="32"/>
        </w:rPr>
        <w:t>审会。黔江区水利局、重庆市黔江区三峡新能源发电有限公司（以下简称项目法人）、重庆市地质矿产勘查开发局107地质队（以下简称报告编制单位）、四川电力设计咨询有限责任公司（主体设计单位）的代表及特邀专家参加了会议。会议成立了专家组，专家组成员会前详细审阅了《水保方案》，会上认真听取了项目法人和报告编制单位的汇报，并进行了深入讨论。</w:t>
      </w:r>
      <w:r>
        <w:rPr>
          <w:rFonts w:hint="eastAsia" w:eastAsia="方正仿宋_GBK"/>
          <w:color w:val="auto"/>
          <w:sz w:val="32"/>
          <w:szCs w:val="32"/>
        </w:rPr>
        <w:t>根</w:t>
      </w:r>
      <w:r>
        <w:rPr>
          <w:rFonts w:hint="eastAsia" w:eastAsia="方正仿宋_GBK"/>
          <w:color w:val="auto"/>
          <w:sz w:val="32"/>
          <w:szCs w:val="32"/>
          <w:highlight w:val="none"/>
        </w:rPr>
        <w:t>据“办水保〔2023〕177号”</w:t>
      </w:r>
      <w:r>
        <w:rPr>
          <w:rFonts w:hint="eastAsia" w:eastAsia="方正仿宋_GBK"/>
          <w:color w:val="auto"/>
          <w:sz w:val="32"/>
          <w:szCs w:val="32"/>
        </w:rPr>
        <w:t>“渝水〔2018〕267号”、“水保监〔2020〕63号”和“渝水规范〔2021〕2号”</w:t>
      </w:r>
      <w:r>
        <w:rPr>
          <w:rFonts w:eastAsia="方正仿宋_GBK"/>
          <w:color w:val="auto"/>
          <w:sz w:val="32"/>
          <w:szCs w:val="32"/>
        </w:rPr>
        <w:t>，</w:t>
      </w:r>
      <w:r>
        <w:rPr>
          <w:rFonts w:hint="eastAsia" w:ascii="Times New Roman" w:hAnsi="Times New Roman" w:eastAsia="方正仿宋_GBK" w:cs="Times New Roman"/>
          <w:color w:val="auto"/>
          <w:sz w:val="32"/>
          <w:szCs w:val="32"/>
        </w:rPr>
        <w:t>专家组对《水保方案》进行了质量评分，质量评定等级合格，专家组同时提出了修改补充意见。报告编制单位会后对《水保方案》进行了修改、补充和完善，项目法人于2023年10月</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日提交了修改完善后的《水保方案》</w:t>
      </w:r>
      <w:r>
        <w:rPr>
          <w:rFonts w:hint="eastAsia" w:ascii="Times New Roman" w:hAnsi="Times New Roman" w:eastAsia="方正仿宋_GBK" w:cs="Times New Roman"/>
          <w:color w:val="auto"/>
          <w:sz w:val="32"/>
          <w:szCs w:val="32"/>
          <w:lang w:eastAsia="zh-CN"/>
        </w:rPr>
        <w:t>（报批稿）</w:t>
      </w:r>
      <w:r>
        <w:rPr>
          <w:rFonts w:ascii="Times New Roman" w:hAnsi="Times New Roman" w:eastAsia="方正仿宋_GBK" w:cs="Times New Roman"/>
          <w:color w:val="auto"/>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pacing w:line="594" w:lineRule="exact"/>
        <w:ind w:firstLine="640" w:firstLineChars="200"/>
        <w:rPr>
          <w:rFonts w:eastAsia="方正仿宋_GBK"/>
          <w:sz w:val="32"/>
          <w:szCs w:val="32"/>
          <w:lang w:bidi="ar"/>
        </w:rPr>
      </w:pPr>
      <w:r>
        <w:rPr>
          <w:rFonts w:eastAsia="方正仿宋_GBK"/>
          <w:sz w:val="32"/>
          <w:szCs w:val="32"/>
          <w:lang w:bidi="ar"/>
        </w:rPr>
        <w:t>（一）</w:t>
      </w:r>
      <w:r>
        <w:rPr>
          <w:rFonts w:hint="default" w:ascii="Times New Roman" w:hAnsi="Times New Roman" w:eastAsia="方正仿宋_GBK" w:cs="Times New Roman"/>
          <w:color w:val="auto"/>
          <w:sz w:val="32"/>
          <w:szCs w:val="32"/>
        </w:rPr>
        <w:t>项目水土保持方案变更</w:t>
      </w:r>
      <w:r>
        <w:rPr>
          <w:rFonts w:hint="eastAsia" w:ascii="Times New Roman" w:hAnsi="Times New Roman" w:eastAsia="方正仿宋_GBK" w:cs="Times New Roman"/>
          <w:color w:val="auto"/>
          <w:sz w:val="32"/>
          <w:szCs w:val="32"/>
          <w:lang w:eastAsia="zh-CN"/>
        </w:rPr>
        <w:t>情况及</w:t>
      </w:r>
      <w:r>
        <w:rPr>
          <w:rFonts w:hint="default" w:ascii="Times New Roman" w:hAnsi="Times New Roman" w:eastAsia="方正仿宋_GBK" w:cs="Times New Roman"/>
          <w:color w:val="auto"/>
          <w:sz w:val="32"/>
          <w:szCs w:val="32"/>
        </w:rPr>
        <w:t>缘由介绍清楚</w:t>
      </w:r>
      <w:r>
        <w:rPr>
          <w:rFonts w:hint="eastAsia" w:eastAsia="方正仿宋_GBK"/>
          <w:sz w:val="32"/>
          <w:szCs w:val="32"/>
          <w:lang w:bidi="ar"/>
        </w:rPr>
        <w:t>。</w:t>
      </w:r>
    </w:p>
    <w:p>
      <w:pPr>
        <w:spacing w:line="594" w:lineRule="exact"/>
        <w:ind w:firstLine="640" w:firstLineChars="200"/>
        <w:rPr>
          <w:rFonts w:eastAsia="方正仿宋_GBK"/>
          <w:sz w:val="32"/>
          <w:szCs w:val="32"/>
          <w:lang w:bidi="ar"/>
        </w:rPr>
      </w:pPr>
      <w:r>
        <w:rPr>
          <w:rFonts w:hint="eastAsia" w:eastAsia="方正仿宋_GBK"/>
          <w:sz w:val="32"/>
          <w:szCs w:val="32"/>
          <w:lang w:bidi="ar"/>
        </w:rPr>
        <w:t>2020年8月</w:t>
      </w:r>
      <w:r>
        <w:rPr>
          <w:rFonts w:hint="eastAsia" w:eastAsia="方正仿宋_GBK"/>
          <w:sz w:val="32"/>
          <w:szCs w:val="32"/>
          <w:lang w:val="en-US" w:eastAsia="zh-CN" w:bidi="ar"/>
        </w:rPr>
        <w:t>13日</w:t>
      </w:r>
      <w:r>
        <w:rPr>
          <w:rFonts w:hint="eastAsia" w:eastAsia="方正仿宋_GBK"/>
          <w:sz w:val="32"/>
          <w:szCs w:val="32"/>
          <w:lang w:bidi="ar"/>
        </w:rPr>
        <w:t>，</w:t>
      </w:r>
      <w:r>
        <w:rPr>
          <w:rFonts w:hint="eastAsia" w:eastAsia="方正仿宋_GBK"/>
          <w:sz w:val="32"/>
          <w:szCs w:val="32"/>
          <w:lang w:eastAsia="zh-CN" w:bidi="ar"/>
        </w:rPr>
        <w:t>本项目取得了</w:t>
      </w:r>
      <w:r>
        <w:rPr>
          <w:rFonts w:hint="eastAsia" w:eastAsia="方正仿宋_GBK"/>
          <w:sz w:val="32"/>
          <w:szCs w:val="32"/>
          <w:lang w:bidi="ar"/>
        </w:rPr>
        <w:t>《重庆市水利局关于黔江五福岭风电场项目水土保持方案准予行政许可的决定》（渝水许可</w:t>
      </w:r>
      <w:r>
        <w:rPr>
          <w:rFonts w:hint="eastAsia" w:eastAsia="方正仿宋_GBK"/>
          <w:color w:val="auto"/>
          <w:sz w:val="32"/>
          <w:szCs w:val="32"/>
          <w:highlight w:val="none"/>
        </w:rPr>
        <w:t>〔202</w:t>
      </w:r>
      <w:r>
        <w:rPr>
          <w:rFonts w:hint="eastAsia" w:eastAsia="方正仿宋_GBK"/>
          <w:color w:val="auto"/>
          <w:sz w:val="32"/>
          <w:szCs w:val="32"/>
          <w:highlight w:val="none"/>
          <w:lang w:val="en-US" w:eastAsia="zh-CN"/>
        </w:rPr>
        <w:t>0</w:t>
      </w:r>
      <w:r>
        <w:rPr>
          <w:rFonts w:hint="eastAsia" w:eastAsia="方正仿宋_GBK"/>
          <w:color w:val="auto"/>
          <w:sz w:val="32"/>
          <w:szCs w:val="32"/>
          <w:highlight w:val="none"/>
        </w:rPr>
        <w:t>〕</w:t>
      </w:r>
      <w:r>
        <w:rPr>
          <w:rFonts w:hint="eastAsia" w:eastAsia="方正仿宋_GBK"/>
          <w:sz w:val="32"/>
          <w:szCs w:val="32"/>
          <w:lang w:bidi="ar"/>
        </w:rPr>
        <w:t>53号）。2020年12月</w:t>
      </w:r>
      <w:r>
        <w:rPr>
          <w:rFonts w:hint="eastAsia" w:eastAsia="方正仿宋_GBK"/>
          <w:sz w:val="32"/>
          <w:szCs w:val="32"/>
          <w:lang w:val="en-US" w:eastAsia="zh-CN" w:bidi="ar"/>
        </w:rPr>
        <w:t>7日</w:t>
      </w:r>
      <w:r>
        <w:rPr>
          <w:rFonts w:hint="eastAsia" w:eastAsia="方正仿宋_GBK"/>
          <w:sz w:val="32"/>
          <w:szCs w:val="32"/>
          <w:lang w:bidi="ar"/>
        </w:rPr>
        <w:t>，重庆市发展和改革委员会下发《关于同意黔江区五福岭风电场项目建设内容调整的批复》（渝发改能源</w:t>
      </w:r>
      <w:r>
        <w:rPr>
          <w:rFonts w:hint="eastAsia" w:eastAsia="方正仿宋_GBK"/>
          <w:color w:val="auto"/>
          <w:sz w:val="32"/>
          <w:szCs w:val="32"/>
          <w:highlight w:val="none"/>
        </w:rPr>
        <w:t>〔202</w:t>
      </w:r>
      <w:r>
        <w:rPr>
          <w:rFonts w:hint="eastAsia" w:eastAsia="方正仿宋_GBK"/>
          <w:color w:val="auto"/>
          <w:sz w:val="32"/>
          <w:szCs w:val="32"/>
          <w:highlight w:val="none"/>
          <w:lang w:val="en-US" w:eastAsia="zh-CN"/>
        </w:rPr>
        <w:t>0</w:t>
      </w:r>
      <w:r>
        <w:rPr>
          <w:rFonts w:hint="eastAsia" w:eastAsia="方正仿宋_GBK"/>
          <w:color w:val="auto"/>
          <w:sz w:val="32"/>
          <w:szCs w:val="32"/>
          <w:highlight w:val="none"/>
        </w:rPr>
        <w:t>〕</w:t>
      </w:r>
      <w:r>
        <w:rPr>
          <w:rFonts w:hint="eastAsia" w:eastAsia="方正仿宋_GBK"/>
          <w:sz w:val="32"/>
          <w:szCs w:val="32"/>
          <w:lang w:bidi="ar"/>
        </w:rPr>
        <w:t>1844号），将项目建设内容由安装32台单机容量2.5兆瓦风电机组，调整为9台单机容量3.3兆瓦、14台3.6兆瓦（其中1台限发3.5兆瓦）风电机组。由于项目建设内容</w:t>
      </w:r>
      <w:r>
        <w:rPr>
          <w:rFonts w:hint="eastAsia" w:eastAsia="方正仿宋_GBK"/>
          <w:sz w:val="32"/>
          <w:szCs w:val="32"/>
          <w:lang w:eastAsia="zh-CN" w:bidi="ar"/>
        </w:rPr>
        <w:t>调整</w:t>
      </w:r>
      <w:r>
        <w:rPr>
          <w:rFonts w:hint="eastAsia" w:eastAsia="方正仿宋_GBK"/>
          <w:sz w:val="32"/>
          <w:szCs w:val="32"/>
          <w:lang w:bidi="ar"/>
        </w:rPr>
        <w:t>，导致项目土石方挖填数量、弃渣场布设及水土保持措施体系随之发生较大变化，</w:t>
      </w:r>
      <w:r>
        <w:rPr>
          <w:rFonts w:hint="default" w:ascii="Times New Roman" w:hAnsi="Times New Roman" w:eastAsia="方正仿宋_GBK" w:cs="Times New Roman"/>
          <w:color w:val="auto"/>
          <w:sz w:val="32"/>
          <w:szCs w:val="32"/>
        </w:rPr>
        <w:t>依据《水利部生产建设项目水土保持方案变更管理规定》（办水保〔2016〕65号）规定，项目开展水土保持方案变更，符合水土保持法律法规要求</w:t>
      </w:r>
      <w:r>
        <w:rPr>
          <w:rFonts w:hint="eastAsia" w:eastAsia="方正仿宋_GBK"/>
          <w:sz w:val="32"/>
          <w:szCs w:val="32"/>
          <w:lang w:bidi="ar"/>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方案编制所依据的法律法规、部委规章、规范性文件、规范标准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（二）同意方案设计水平年为2023年。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（三）同意水土流失防治责任范围界定，水土流失防治责任范围面积为55.52hm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（五）同意水土流失防治目标。其中：水土流失治理度97％，土壤流失控制比1.0，渣土防护率90％，表土保护率92％，林草植被恢复率97％，林草覆盖率25%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黔江五福岭风电场项目位于黔江区濯水镇东侧的五福岭一带，涉及的乡镇有濯水镇、阿蓬江镇、金洞乡，为新建建设类项目，建设单位为重庆市黔江区三峡新能源发电有限公司。项目主要由风电机组23台、集电线路29.08km（其中架空线路1.59km，地埋电缆27.49km）、道路工程51.99km（其中新建场内道路31.32km/21条，进场道路改扩建20.67km）、升压站1座组成。工程总装机规模80MW，设计安装9台3.3兆瓦、14台3.6兆瓦（1台限发3.5兆瓦）风力发电机组。根据工程建设需要，项目设置施工生产生活区1.60hm²/1处、弃渣场1.35hm²/2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项目总占地面积55.52hm²，其中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1.23hm²，临时占地54.29hm²，工程区占地以林地为主。工程土石方挖方总量78.03万m³（含表土剥离5.11万m³），填方总量76.50万m³（含表土回覆5.11万m³），弃方1.53万m³，不对外借方。项目已于2020年12月开工，2023年10月完工，总工期35个月；工程总投资63794.87万元，其中土建投资16229.23万元。</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（二）基本同意对项目建设方案与布局的水土保持评价。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原则同意对弃渣场设置的水土保持评价。</w:t>
      </w:r>
      <w:r>
        <w:rPr>
          <w:rFonts w:hint="eastAsia" w:ascii="Times New Roman" w:hAnsi="Times New Roman" w:eastAsia="方正仿宋_GBK" w:cs="方正仿宋_GBK"/>
          <w:color w:val="auto"/>
          <w:sz w:val="32"/>
          <w:szCs w:val="32"/>
          <w:lang w:val="en-US" w:eastAsia="zh-CN"/>
        </w:rPr>
        <w:t>项目设置的2处弃渣场不涉及基本农田、生态红线、自然保护区和水源保护区等敏感区域，不涉及河道、湖泊和水库，周边无公共设施、基础设施、工矿企业及居民点等敏感目标，选址征得了所在区规资、水利、环境、林业等部门的确认同意，弃渣场选址符合《生产建设项目水土保持技术标准》的规定，弃渣场选址基本合理。</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）基本同意对主体工程设计中水土保持措施的界定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（二）基本同意工程扰动地表面积为55.52hm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rPr>
        <w:t>（三）</w:t>
      </w:r>
      <w:r>
        <w:rPr>
          <w:rFonts w:hint="default" w:ascii="Times New Roman" w:hAnsi="Times New Roman" w:eastAsia="方正仿宋_GBK" w:cs="Times New Roman"/>
          <w:sz w:val="32"/>
          <w:szCs w:val="32"/>
        </w:rPr>
        <w:t>基本同意水土流失量预测方法及结果，工程建设可能造成的水土流失总量为</w:t>
      </w:r>
      <w:r>
        <w:rPr>
          <w:rFonts w:hint="eastAsia" w:ascii="Times New Roman" w:hAnsi="Times New Roman" w:eastAsia="方正仿宋_GBK" w:cs="Times New Roman"/>
          <w:color w:val="auto"/>
          <w:sz w:val="32"/>
          <w:szCs w:val="32"/>
        </w:rPr>
        <w:t>10270t</w:t>
      </w:r>
      <w:r>
        <w:rPr>
          <w:rFonts w:hint="default" w:ascii="Times New Roman" w:hAnsi="Times New Roman" w:eastAsia="方正仿宋_GBK" w:cs="Times New Roman"/>
          <w:sz w:val="32"/>
          <w:szCs w:val="32"/>
        </w:rPr>
        <w:t>，新增水土流失量为</w:t>
      </w:r>
      <w:r>
        <w:rPr>
          <w:rFonts w:hint="eastAsia" w:ascii="Times New Roman" w:hAnsi="Times New Roman" w:eastAsia="方正仿宋_GBK" w:cs="Times New Roman"/>
          <w:sz w:val="32"/>
          <w:szCs w:val="32"/>
          <w:lang w:val="en-US" w:eastAsia="zh-CN"/>
        </w:rPr>
        <w:t>8869</w:t>
      </w:r>
      <w:r>
        <w:rPr>
          <w:rFonts w:hint="default" w:ascii="Times New Roman" w:hAnsi="Times New Roman" w:eastAsia="方正仿宋_GBK" w:cs="Times New Roman"/>
          <w:sz w:val="32"/>
          <w:szCs w:val="32"/>
        </w:rPr>
        <w:t>t。</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（四）基本同意水土流失的危害性分析</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基本同意项目划分为风机平台、道路工程、架空线路、升压站、施工生产生活、弃渣场等6个水土流失防治区。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风机平台防治区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主体已实施了表土剥离并对各风机平台开挖产生的临时边坡、临时堆土采用临时苫盖、临时拦挡措施，布设了浆砌石截排水沟。主体施工结束后，已实施了全面整地、表土回覆、撒播草籽等措施。后续针对现状填方边坡植被恢复不佳及溜坡区域，方案新增播撒草籽及栽植藤蔓植物等措施进行防护。</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道路工程防治区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施工过程中，主体已实施了表土剥离、临时苫盖、临时拦挡等措施，布设了临时排水沟及浆砌石排水沟、沉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池。主体施工结束后，已实施了全面整地、表土回覆、撒播草籽等措施。后续针对现状边坡植被恢复不佳及溜坡区域，方案新增播撒草籽及栽植藤蔓植物等措施进行防护。</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架空线路防治区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主体已实施了表土剥离、全面整地、表土回覆、撒播草籽等措施。方案不新增水保措施。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升压站防治区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主体已实施了表土剥离、临时苫盖措施，布设了临时排水沟及浆砌石排水沟。主体施工结束后，实施了全面整地、表土回覆、撒播草籽等措施。后续针对现状植被恢复不佳及溜坡区域，方案新增播撒草籽及栽植藤蔓植物等措施进行防护。</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施工生产生活防治区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主体已实施了表土剥离、临时苫盖、临时排水沟、临时沉沙池、全面整地、表土回覆、撒播草籽等措施。方案不新增水保措施。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弃渣场已布设了浆砌石挡渣墙、浆砌石截排水沟及沉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消能池。主体实施了表土剥离、临时苫盖、全面整地、表土回覆、撒播草籽等措施。后续针对现状排水情况，方案在1</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弃渣场南侧排水沟末端新增沉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消能池1座。</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变更投资估算编制依据基本正确，费用及定额选择基本合理，编制深度基本满足规范要求。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w:t>
      </w:r>
      <w:r>
        <w:rPr>
          <w:rFonts w:hint="eastAsia" w:ascii="Times New Roman" w:hAnsi="Times New Roman" w:eastAsia="方正仿宋_GBK" w:cs="Times New Roman"/>
          <w:color w:val="auto"/>
          <w:sz w:val="32"/>
          <w:szCs w:val="32"/>
          <w:lang w:eastAsia="zh-CN"/>
        </w:rPr>
        <w:t>静态</w:t>
      </w:r>
      <w:r>
        <w:rPr>
          <w:rFonts w:hint="eastAsia" w:ascii="Times New Roman" w:hAnsi="Times New Roman" w:eastAsia="方正仿宋_GBK" w:cs="Times New Roman"/>
          <w:color w:val="auto"/>
          <w:sz w:val="32"/>
          <w:szCs w:val="32"/>
        </w:rPr>
        <w:t>总投资1004.5</w:t>
      </w:r>
      <w:r>
        <w:rPr>
          <w:rFonts w:hint="eastAsia"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主体已列718.12万元，方案新增286.3</w:t>
      </w:r>
      <w:r>
        <w:rPr>
          <w:rFonts w:hint="eastAsia"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工程措施0.3</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万元，植物措施9.13万元，监测措施11.00万元，独立费用175.87万元，基本预备费11.78万元，水土保持补偿费78.29万元</w:t>
      </w:r>
      <w:r>
        <w:rPr>
          <w:rFonts w:hint="eastAsia" w:ascii="Times New Roman" w:hAnsi="Times New Roman" w:eastAsia="方正仿宋_GBK" w:cs="Times New Roman"/>
          <w:color w:val="auto"/>
          <w:sz w:val="32"/>
          <w:szCs w:val="32"/>
          <w:lang w:eastAsia="zh-CN"/>
        </w:rPr>
        <w:t>（已缴纳）），详见附件</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附表：黔江五福岭风电场项目</w:t>
      </w:r>
      <w:r>
        <w:rPr>
          <w:rFonts w:hint="eastAsia" w:ascii="Times New Roman" w:hAnsi="Times New Roman" w:eastAsia="方正仿宋_GBK" w:cs="Times New Roman"/>
          <w:color w:val="auto"/>
          <w:sz w:val="32"/>
          <w:szCs w:val="32"/>
          <w:lang w:eastAsia="zh-CN"/>
        </w:rPr>
        <w:t>水土保持</w:t>
      </w:r>
      <w:r>
        <w:rPr>
          <w:rFonts w:hint="eastAsia" w:ascii="Times New Roman" w:hAnsi="Times New Roman" w:eastAsia="方正仿宋_GBK" w:cs="Times New Roman"/>
          <w:color w:val="auto"/>
          <w:sz w:val="32"/>
          <w:szCs w:val="32"/>
        </w:rPr>
        <w:t>方案变更投资估算审核表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4200" w:firstLineChars="15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3901440</wp:posOffset>
            </wp:positionH>
            <wp:positionV relativeFrom="paragraph">
              <wp:posOffset>33655</wp:posOffset>
            </wp:positionV>
            <wp:extent cx="712470" cy="382270"/>
            <wp:effectExtent l="0" t="0" r="3810" b="1397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17999"/>
                    </a:blip>
                    <a:stretch>
                      <a:fillRect/>
                    </a:stretch>
                  </pic:blipFill>
                  <pic:spPr>
                    <a:xfrm>
                      <a:off x="0" y="0"/>
                      <a:ext cx="712470" cy="382270"/>
                    </a:xfrm>
                    <a:prstGeom prst="rect">
                      <a:avLst/>
                    </a:prstGeom>
                    <a:noFill/>
                    <a:ln>
                      <a:noFill/>
                    </a:ln>
                  </pic:spPr>
                </pic:pic>
              </a:graphicData>
            </a:graphic>
          </wp:anchor>
        </w:drawing>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pgNumType w:fmt="decimal"/>
          <w:cols w:space="720" w:num="1"/>
          <w:docGrid w:linePitch="381" w:charSpace="0"/>
        </w:sect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napToGrid/>
        <w:spacing w:line="454" w:lineRule="exact"/>
        <w:jc w:val="center"/>
        <w:textAlignment w:val="auto"/>
        <w:rPr>
          <w:rFonts w:ascii="Times New Roman" w:hAnsi="Times New Roman" w:eastAsia="方正小标宋_GBK" w:cs="Times New Roman"/>
          <w:color w:val="auto"/>
          <w:w w:val="75"/>
          <w:sz w:val="44"/>
          <w:szCs w:val="44"/>
        </w:rPr>
      </w:pPr>
      <w:r>
        <w:rPr>
          <w:rFonts w:hint="eastAsia" w:ascii="Times New Roman" w:hAnsi="Times New Roman" w:eastAsia="方正小标宋_GBK" w:cs="Times New Roman"/>
          <w:color w:val="auto"/>
          <w:w w:val="100"/>
          <w:sz w:val="36"/>
          <w:szCs w:val="36"/>
          <w:lang w:eastAsia="zh-CN"/>
        </w:rPr>
        <w:t>黔江五福岭风电场项目水土保持方案变更投资估算审核表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36"/>
        <w:gridCol w:w="2550"/>
        <w:gridCol w:w="766"/>
        <w:gridCol w:w="976"/>
        <w:gridCol w:w="866"/>
        <w:gridCol w:w="766"/>
        <w:gridCol w:w="852"/>
        <w:gridCol w:w="866"/>
        <w:gridCol w:w="9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vMerge w:val="restar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396" w:type="pct"/>
            <w:vMerge w:val="restar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工程或费用名称</w:t>
            </w:r>
          </w:p>
        </w:tc>
        <w:tc>
          <w:tcPr>
            <w:tcW w:w="1428" w:type="pct"/>
            <w:gridSpan w:val="3"/>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设计投资（万元）</w:t>
            </w:r>
          </w:p>
        </w:tc>
        <w:tc>
          <w:tcPr>
            <w:tcW w:w="1353" w:type="pct"/>
            <w:gridSpan w:val="3"/>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审核投资（万元）</w:t>
            </w:r>
          </w:p>
        </w:tc>
        <w:tc>
          <w:tcPr>
            <w:tcW w:w="478" w:type="pct"/>
            <w:vMerge w:val="restar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增减</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p>
        </w:tc>
        <w:tc>
          <w:tcPr>
            <w:tcW w:w="1396"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p>
        </w:tc>
        <w:tc>
          <w:tcPr>
            <w:tcW w:w="419"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新增</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投资</w:t>
            </w:r>
          </w:p>
        </w:tc>
        <w:tc>
          <w:tcPr>
            <w:tcW w:w="540"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主体</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已列</w:t>
            </w:r>
          </w:p>
        </w:tc>
        <w:tc>
          <w:tcPr>
            <w:tcW w:w="469"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小计</w:t>
            </w:r>
          </w:p>
        </w:tc>
        <w:tc>
          <w:tcPr>
            <w:tcW w:w="415"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新增</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投资</w:t>
            </w:r>
          </w:p>
        </w:tc>
        <w:tc>
          <w:tcPr>
            <w:tcW w:w="469"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主体</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已列</w:t>
            </w:r>
          </w:p>
        </w:tc>
        <w:tc>
          <w:tcPr>
            <w:tcW w:w="469" w:type="pct"/>
            <w:noWrap/>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小计</w:t>
            </w:r>
          </w:p>
        </w:tc>
        <w:tc>
          <w:tcPr>
            <w:tcW w:w="478"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p>
        </w:tc>
        <w:tc>
          <w:tcPr>
            <w:tcW w:w="1396" w:type="pct"/>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 工程措施</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eastAsia" w:ascii="Times New Roman" w:hAnsi="Times New Roman" w:cs="Times New Roman" w:eastAsiaTheme="minorEastAsia"/>
                <w:b/>
                <w:bCs/>
                <w:kern w:val="0"/>
                <w:sz w:val="20"/>
                <w:szCs w:val="20"/>
                <w:lang w:eastAsia="zh-CN"/>
              </w:rPr>
            </w:pPr>
            <w:r>
              <w:rPr>
                <w:rFonts w:hint="default" w:ascii="Times New Roman" w:hAnsi="Times New Roman" w:cs="Times New Roman" w:eastAsiaTheme="minorEastAsia"/>
                <w:b/>
                <w:bCs/>
                <w:kern w:val="0"/>
                <w:sz w:val="20"/>
                <w:szCs w:val="20"/>
              </w:rPr>
              <w:t>0.3</w:t>
            </w:r>
            <w:r>
              <w:rPr>
                <w:rFonts w:hint="eastAsia" w:ascii="Times New Roman" w:hAnsi="Times New Roman" w:cs="Times New Roman" w:eastAsiaTheme="minorEastAsia"/>
                <w:b/>
                <w:bCs/>
                <w:kern w:val="0"/>
                <w:sz w:val="20"/>
                <w:szCs w:val="20"/>
                <w:lang w:val="en-US" w:eastAsia="zh-CN"/>
              </w:rPr>
              <w:t>1</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616.29</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616.60</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eastAsia" w:ascii="Times New Roman" w:hAnsi="Times New Roman" w:cs="Times New Roman" w:eastAsiaTheme="minorEastAsia"/>
                <w:b/>
                <w:bCs/>
                <w:kern w:val="0"/>
                <w:sz w:val="20"/>
                <w:szCs w:val="20"/>
                <w:lang w:eastAsia="zh-CN"/>
              </w:rPr>
            </w:pPr>
            <w:r>
              <w:rPr>
                <w:rFonts w:hint="default" w:ascii="Times New Roman" w:hAnsi="Times New Roman" w:cs="Times New Roman" w:eastAsiaTheme="minorEastAsia"/>
                <w:b/>
                <w:bCs/>
                <w:kern w:val="0"/>
                <w:sz w:val="20"/>
                <w:szCs w:val="20"/>
              </w:rPr>
              <w:t>0.3</w:t>
            </w:r>
            <w:r>
              <w:rPr>
                <w:rFonts w:hint="eastAsia" w:ascii="Times New Roman" w:hAnsi="Times New Roman" w:cs="Times New Roman" w:eastAsiaTheme="minorEastAsia"/>
                <w:b/>
                <w:bCs/>
                <w:kern w:val="0"/>
                <w:sz w:val="20"/>
                <w:szCs w:val="20"/>
                <w:lang w:val="en-US" w:eastAsia="zh-CN"/>
              </w:rPr>
              <w:t>2</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616.29</w:t>
            </w:r>
          </w:p>
        </w:tc>
        <w:tc>
          <w:tcPr>
            <w:tcW w:w="46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bCs/>
                <w:sz w:val="20"/>
                <w:szCs w:val="20"/>
                <w:lang w:eastAsia="zh-CN"/>
              </w:rPr>
            </w:pPr>
            <w:r>
              <w:rPr>
                <w:rFonts w:hint="default" w:ascii="Times New Roman" w:hAnsi="Times New Roman" w:cs="Times New Roman" w:eastAsiaTheme="minorEastAsia"/>
                <w:b/>
                <w:bCs/>
                <w:sz w:val="20"/>
                <w:szCs w:val="20"/>
              </w:rPr>
              <w:t>616.6</w:t>
            </w:r>
            <w:r>
              <w:rPr>
                <w:rFonts w:hint="eastAsia" w:ascii="Times New Roman" w:hAnsi="Times New Roman" w:cs="Times New Roman" w:eastAsiaTheme="minorEastAsia"/>
                <w:b/>
                <w:bCs/>
                <w:sz w:val="20"/>
                <w:szCs w:val="20"/>
                <w:lang w:val="en-US" w:eastAsia="zh-CN"/>
              </w:rPr>
              <w:t>1</w:t>
            </w:r>
          </w:p>
        </w:tc>
        <w:tc>
          <w:tcPr>
            <w:tcW w:w="478" w:type="pct"/>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b/>
                <w:bCs/>
                <w:kern w:val="0"/>
                <w:sz w:val="21"/>
                <w:szCs w:val="21"/>
                <w:lang w:eastAsia="zh-CN"/>
              </w:rPr>
            </w:pPr>
            <w:r>
              <w:rPr>
                <w:rFonts w:hint="default" w:ascii="Times New Roman" w:hAnsi="Times New Roman" w:cs="Times New Roman" w:eastAsiaTheme="minorEastAsia"/>
                <w:b/>
                <w:bCs/>
                <w:kern w:val="0"/>
                <w:sz w:val="21"/>
                <w:szCs w:val="21"/>
              </w:rPr>
              <w:t>0.0</w:t>
            </w:r>
            <w:r>
              <w:rPr>
                <w:rFonts w:hint="eastAsia" w:ascii="Times New Roman" w:hAnsi="Times New Roman" w:cs="Times New Roman" w:eastAsiaTheme="minorEastAsia"/>
                <w:b/>
                <w:bCs/>
                <w:kern w:val="0"/>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风机平台</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82.63</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82.63</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82.63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82.63</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场区道路</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422.56</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422.56</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422.56</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422.56</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集电线路</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0.24</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0.24</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0.24</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0.24</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升压站</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4.72</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4.72</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4.72</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4.72</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176" w:rightChars="-63"/>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施工生产生活区</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7.74</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7.74</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7.74</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7.74</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弃渣场</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eastAsia" w:ascii="Times New Roman" w:hAnsi="Times New Roman" w:cs="Times New Roman" w:eastAsiaTheme="minorEastAsia"/>
                <w:kern w:val="0"/>
                <w:sz w:val="20"/>
                <w:szCs w:val="20"/>
                <w:lang w:eastAsia="zh-CN"/>
              </w:rPr>
            </w:pPr>
            <w:r>
              <w:rPr>
                <w:rFonts w:hint="default" w:ascii="Times New Roman" w:hAnsi="Times New Roman" w:cs="Times New Roman" w:eastAsiaTheme="minorEastAsia"/>
                <w:kern w:val="0"/>
                <w:sz w:val="20"/>
                <w:szCs w:val="20"/>
              </w:rPr>
              <w:t>0.3</w:t>
            </w:r>
            <w:r>
              <w:rPr>
                <w:rFonts w:hint="eastAsia" w:ascii="Times New Roman" w:hAnsi="Times New Roman" w:cs="Times New Roman" w:eastAsiaTheme="minorEastAsia"/>
                <w:kern w:val="0"/>
                <w:sz w:val="20"/>
                <w:szCs w:val="20"/>
                <w:lang w:val="en-US" w:eastAsia="zh-CN"/>
              </w:rPr>
              <w:t>1</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98.40</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98.71</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eastAsia" w:ascii="Times New Roman" w:hAnsi="Times New Roman" w:cs="Times New Roman" w:eastAsiaTheme="minorEastAsia"/>
                <w:kern w:val="0"/>
                <w:sz w:val="20"/>
                <w:szCs w:val="20"/>
                <w:lang w:eastAsia="zh-CN"/>
              </w:rPr>
            </w:pPr>
            <w:r>
              <w:rPr>
                <w:rFonts w:hint="default" w:ascii="Times New Roman" w:hAnsi="Times New Roman" w:cs="Times New Roman" w:eastAsiaTheme="minorEastAsia"/>
                <w:kern w:val="0"/>
                <w:sz w:val="20"/>
                <w:szCs w:val="20"/>
              </w:rPr>
              <w:t>0.3</w:t>
            </w:r>
            <w:r>
              <w:rPr>
                <w:rFonts w:hint="eastAsia" w:ascii="Times New Roman" w:hAnsi="Times New Roman" w:cs="Times New Roman" w:eastAsiaTheme="minorEastAsia"/>
                <w:kern w:val="0"/>
                <w:sz w:val="20"/>
                <w:szCs w:val="20"/>
                <w:lang w:val="en-US" w:eastAsia="zh-CN"/>
              </w:rPr>
              <w:t>2</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98.40</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98.71</w:t>
            </w:r>
          </w:p>
        </w:tc>
        <w:tc>
          <w:tcPr>
            <w:tcW w:w="478" w:type="pct"/>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0.0</w:t>
            </w:r>
            <w:r>
              <w:rPr>
                <w:rFonts w:hint="eastAsia" w:ascii="Times New Roman" w:hAnsi="Times New Roman" w:cs="Times New Roman" w:eastAsiaTheme="minorEastAsia"/>
                <w:kern w:val="0"/>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p>
        </w:tc>
        <w:tc>
          <w:tcPr>
            <w:tcW w:w="1396"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第二部分 植物措施</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9.13</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14.59</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23.72</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9.13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14.59</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23.72</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风机平台</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7.13</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6.76</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13.89</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7.13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6.76</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13.89</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场区道路</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1.57</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5.05</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6.62</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1.57</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5.05</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6.62</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集电线路</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0.02</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0.02</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0.02</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0.02</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升压站</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0.43</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0.43</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0.86</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0.43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0.43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0.86</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176" w:rightChars="-63"/>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施工生产生活区</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弃渣场</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1.01</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1.01</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1.01</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1.01</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p>
        </w:tc>
        <w:tc>
          <w:tcPr>
            <w:tcW w:w="1396"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第三部分 监测措施</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11.00</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58.08</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69.08</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11.00</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58.08</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69.08</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00" w:lineRule="exact"/>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监测设备</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00" w:lineRule="exact"/>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监测运行费</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11.00</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56.76</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67.76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11.00</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56.76</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67.76</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p>
        </w:tc>
        <w:tc>
          <w:tcPr>
            <w:tcW w:w="1396"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第四部分 施工临时措施</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b/>
                <w:bCs/>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29.15</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29.15</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b/>
                <w:bCs/>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29.15</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29.15</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风机平台</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13.36</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13.36</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13.36</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13.36</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场区道路</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12.50</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12.50</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12.50</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12.50</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集电线路</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升压站</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0.51</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0.51</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0.51</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0.51</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176" w:rightChars="-63"/>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施工生产生活区</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1.43</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1.43</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1.43</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1.43</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p>
        </w:tc>
        <w:tc>
          <w:tcPr>
            <w:tcW w:w="1396" w:type="pct"/>
            <w:noWrap w:val="0"/>
            <w:vAlign w:val="center"/>
          </w:tcPr>
          <w:p>
            <w:pPr>
              <w:keepNext w:val="0"/>
              <w:keepLines w:val="0"/>
              <w:widowControl/>
              <w:suppressLineNumbers w:val="0"/>
              <w:spacing w:before="0" w:beforeAutospacing="0" w:after="0" w:afterAutospacing="0" w:line="240" w:lineRule="exact"/>
              <w:ind w:left="28" w:leftChars="10" w:right="28" w:rightChars="1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弃渣场</w:t>
            </w:r>
          </w:p>
        </w:tc>
        <w:tc>
          <w:tcPr>
            <w:tcW w:w="419" w:type="pct"/>
            <w:noWrap/>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1.35</w:t>
            </w: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1.35</w:t>
            </w:r>
          </w:p>
        </w:tc>
        <w:tc>
          <w:tcPr>
            <w:tcW w:w="415" w:type="pct"/>
            <w:noWrap w:val="0"/>
            <w:vAlign w:val="center"/>
          </w:tcPr>
          <w:p>
            <w:pPr>
              <w:keepNext w:val="0"/>
              <w:keepLines w:val="0"/>
              <w:widowControl/>
              <w:suppressLineNumbers w:val="0"/>
              <w:spacing w:before="0" w:beforeAutospacing="0" w:after="0" w:afterAutospacing="0" w:line="240" w:lineRule="exact"/>
              <w:ind w:left="28" w:leftChars="10" w:right="28" w:rightChars="10"/>
              <w:jc w:val="center"/>
              <w:rPr>
                <w:rFonts w:hint="default" w:ascii="Times New Roman" w:hAnsi="Times New Roman" w:cs="Times New Roman" w:eastAsiaTheme="minorEastAsia"/>
                <w:kern w:val="0"/>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1.35</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1.35</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p>
        </w:tc>
        <w:tc>
          <w:tcPr>
            <w:tcW w:w="1396"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第五部分 独立费用</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eastAsiaTheme="minorEastAsia"/>
                <w:b/>
                <w:bCs/>
                <w:sz w:val="20"/>
                <w:szCs w:val="20"/>
                <w:lang w:val="en-US" w:eastAsia="zh-CN"/>
              </w:rPr>
              <w:t>175.87</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eastAsiaTheme="minorEastAsia"/>
                <w:b/>
                <w:bCs/>
                <w:sz w:val="20"/>
                <w:szCs w:val="20"/>
              </w:rPr>
              <w:t>175.</w:t>
            </w:r>
            <w:r>
              <w:rPr>
                <w:rFonts w:hint="default" w:ascii="Times New Roman" w:hAnsi="Times New Roman" w:cs="Times New Roman" w:eastAsiaTheme="minorEastAsia"/>
                <w:b/>
                <w:bCs/>
                <w:sz w:val="20"/>
                <w:szCs w:val="20"/>
                <w:lang w:val="en-US" w:eastAsia="zh-CN"/>
              </w:rPr>
              <w:t>87</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eastAsiaTheme="minorEastAsia"/>
                <w:b/>
                <w:bCs/>
                <w:sz w:val="20"/>
                <w:szCs w:val="20"/>
                <w:lang w:val="en-US" w:eastAsia="zh-CN"/>
              </w:rPr>
              <w:t>175.87</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eastAsiaTheme="minorEastAsia"/>
                <w:b/>
                <w:bCs/>
                <w:sz w:val="20"/>
                <w:szCs w:val="20"/>
              </w:rPr>
              <w:t>175.</w:t>
            </w:r>
            <w:r>
              <w:rPr>
                <w:rFonts w:hint="default" w:ascii="Times New Roman" w:hAnsi="Times New Roman" w:cs="Times New Roman" w:eastAsiaTheme="minorEastAsia"/>
                <w:b/>
                <w:bCs/>
                <w:sz w:val="20"/>
                <w:szCs w:val="20"/>
                <w:lang w:val="en-US" w:eastAsia="zh-CN"/>
              </w:rPr>
              <w:t>87</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00" w:lineRule="exact"/>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技术咨询费</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130.44</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130.44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130.44</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130.44</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00" w:lineRule="exact"/>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工程管理费</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45.43</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45.43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45.43</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45.43</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Ⅰ</w:t>
            </w:r>
          </w:p>
        </w:tc>
        <w:tc>
          <w:tcPr>
            <w:tcW w:w="1396" w:type="pct"/>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第一部分至第五部分合计</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196.31 </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718.12 </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914.43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196.3</w:t>
            </w:r>
            <w:r>
              <w:rPr>
                <w:rFonts w:hint="eastAsia" w:ascii="Times New Roman" w:hAnsi="Times New Roman" w:cs="Times New Roman" w:eastAsiaTheme="minorEastAsia"/>
                <w:b/>
                <w:bCs/>
                <w:sz w:val="20"/>
                <w:szCs w:val="20"/>
                <w:lang w:val="en-US" w:eastAsia="zh-CN"/>
              </w:rPr>
              <w:t>2</w:t>
            </w:r>
            <w:r>
              <w:rPr>
                <w:rFonts w:hint="default" w:ascii="Times New Roman" w:hAnsi="Times New Roman" w:cs="Times New Roman" w:eastAsiaTheme="minorEastAsia"/>
                <w:b/>
                <w:bCs/>
                <w:sz w:val="20"/>
                <w:szCs w:val="20"/>
              </w:rPr>
              <w:t xml:space="preserve"> </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718.12 </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914.4</w:t>
            </w:r>
            <w:r>
              <w:rPr>
                <w:rFonts w:hint="eastAsia" w:ascii="Times New Roman" w:hAnsi="Times New Roman" w:cs="Times New Roman" w:eastAsiaTheme="minorEastAsia"/>
                <w:b/>
                <w:bCs/>
                <w:sz w:val="20"/>
                <w:szCs w:val="20"/>
                <w:lang w:val="en-US" w:eastAsia="zh-CN"/>
              </w:rPr>
              <w:t>4</w:t>
            </w:r>
            <w:r>
              <w:rPr>
                <w:rFonts w:hint="default" w:ascii="Times New Roman" w:hAnsi="Times New Roman" w:cs="Times New Roman" w:eastAsiaTheme="minorEastAsia"/>
                <w:b/>
                <w:bCs/>
                <w:sz w:val="20"/>
                <w:szCs w:val="20"/>
              </w:rPr>
              <w:t xml:space="preserve"> </w:t>
            </w:r>
          </w:p>
        </w:tc>
        <w:tc>
          <w:tcPr>
            <w:tcW w:w="478" w:type="pct"/>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b/>
                <w:bCs/>
                <w:kern w:val="0"/>
                <w:sz w:val="21"/>
                <w:szCs w:val="21"/>
                <w:lang w:eastAsia="zh-CN"/>
              </w:rPr>
            </w:pPr>
            <w:r>
              <w:rPr>
                <w:rFonts w:hint="default" w:ascii="Times New Roman" w:hAnsi="Times New Roman" w:cs="Times New Roman" w:eastAsiaTheme="minorEastAsia"/>
                <w:b/>
                <w:bCs/>
                <w:kern w:val="0"/>
                <w:sz w:val="21"/>
                <w:szCs w:val="21"/>
              </w:rPr>
              <w:t>0.0</w:t>
            </w:r>
            <w:r>
              <w:rPr>
                <w:rFonts w:hint="eastAsia" w:ascii="Times New Roman" w:hAnsi="Times New Roman" w:cs="Times New Roman" w:eastAsiaTheme="minorEastAsia"/>
                <w:b/>
                <w:bCs/>
                <w:kern w:val="0"/>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Ⅱ</w:t>
            </w:r>
          </w:p>
        </w:tc>
        <w:tc>
          <w:tcPr>
            <w:tcW w:w="1396" w:type="pct"/>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基本预备费</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11.78</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11.78</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11.78</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11.78</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 w:hRule="atLeast"/>
          <w:jc w:val="center"/>
        </w:trPr>
        <w:tc>
          <w:tcPr>
            <w:tcW w:w="345"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Ⅲ</w:t>
            </w:r>
          </w:p>
        </w:tc>
        <w:tc>
          <w:tcPr>
            <w:tcW w:w="1396" w:type="pct"/>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水土保持补偿费</w:t>
            </w:r>
          </w:p>
        </w:tc>
        <w:tc>
          <w:tcPr>
            <w:tcW w:w="41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78.29</w:t>
            </w:r>
          </w:p>
        </w:tc>
        <w:tc>
          <w:tcPr>
            <w:tcW w:w="540"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78.29</w:t>
            </w:r>
          </w:p>
        </w:tc>
        <w:tc>
          <w:tcPr>
            <w:tcW w:w="4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78.29</w:t>
            </w: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p>
        </w:tc>
        <w:tc>
          <w:tcPr>
            <w:tcW w:w="4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78.29</w:t>
            </w:r>
          </w:p>
        </w:tc>
        <w:tc>
          <w:tcPr>
            <w:tcW w:w="478" w:type="pct"/>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7" w:hRule="atLeast"/>
          <w:jc w:val="center"/>
        </w:trPr>
        <w:tc>
          <w:tcPr>
            <w:tcW w:w="1741" w:type="pct"/>
            <w:gridSpan w:val="2"/>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总投资（Ⅰ+Ⅱ+Ⅲ）</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286.38 </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718.12 </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1004.50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286.3</w:t>
            </w:r>
            <w:r>
              <w:rPr>
                <w:rFonts w:hint="eastAsia" w:ascii="Times New Roman" w:hAnsi="Times New Roman" w:cs="Times New Roman" w:eastAsiaTheme="minorEastAsia"/>
                <w:b/>
                <w:bCs/>
                <w:sz w:val="20"/>
                <w:szCs w:val="20"/>
                <w:lang w:val="en-US" w:eastAsia="zh-CN"/>
              </w:rPr>
              <w:t>9</w:t>
            </w:r>
            <w:r>
              <w:rPr>
                <w:rFonts w:hint="default" w:ascii="Times New Roman" w:hAnsi="Times New Roman" w:cs="Times New Roman" w:eastAsiaTheme="minorEastAsia"/>
                <w:b/>
                <w:bCs/>
                <w:sz w:val="20"/>
                <w:szCs w:val="20"/>
              </w:rPr>
              <w:t xml:space="preserve"> </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 xml:space="preserve">718.12 </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bCs/>
                <w:sz w:val="20"/>
                <w:szCs w:val="20"/>
                <w:lang w:eastAsia="zh-CN"/>
              </w:rPr>
            </w:pPr>
            <w:r>
              <w:rPr>
                <w:rFonts w:hint="default" w:ascii="Times New Roman" w:hAnsi="Times New Roman" w:cs="Times New Roman" w:eastAsiaTheme="minorEastAsia"/>
                <w:b/>
                <w:bCs/>
                <w:sz w:val="20"/>
                <w:szCs w:val="20"/>
              </w:rPr>
              <w:t>1004.5</w:t>
            </w:r>
            <w:r>
              <w:rPr>
                <w:rFonts w:hint="eastAsia" w:ascii="Times New Roman" w:hAnsi="Times New Roman" w:cs="Times New Roman" w:eastAsiaTheme="minorEastAsia"/>
                <w:b/>
                <w:bCs/>
                <w:sz w:val="20"/>
                <w:szCs w:val="20"/>
                <w:lang w:val="en-US" w:eastAsia="zh-CN"/>
              </w:rPr>
              <w:t>1</w:t>
            </w:r>
          </w:p>
        </w:tc>
        <w:tc>
          <w:tcPr>
            <w:tcW w:w="478"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bCs/>
                <w:sz w:val="20"/>
                <w:szCs w:val="20"/>
                <w:lang w:eastAsia="zh-CN"/>
              </w:rPr>
            </w:pPr>
            <w:r>
              <w:rPr>
                <w:rFonts w:hint="default" w:ascii="Times New Roman" w:hAnsi="Times New Roman" w:cs="Times New Roman" w:eastAsiaTheme="minorEastAsia"/>
                <w:b/>
                <w:bCs/>
                <w:kern w:val="0"/>
                <w:sz w:val="21"/>
                <w:szCs w:val="21"/>
              </w:rPr>
              <w:t>0.0</w:t>
            </w:r>
            <w:r>
              <w:rPr>
                <w:rFonts w:hint="eastAsia" w:ascii="Times New Roman" w:hAnsi="Times New Roman" w:cs="Times New Roman" w:eastAsiaTheme="minorEastAsia"/>
                <w:b/>
                <w:bCs/>
                <w:kern w:val="0"/>
                <w:sz w:val="21"/>
                <w:szCs w:val="21"/>
                <w:lang w:val="en-US" w:eastAsia="zh-CN"/>
              </w:rPr>
              <w:t>1</w:t>
            </w:r>
          </w:p>
        </w:tc>
      </w:tr>
    </w:tbl>
    <w:p>
      <w:pPr>
        <w:bidi w:val="0"/>
        <w:jc w:val="both"/>
        <w:rPr>
          <w:rFonts w:hint="eastAsia" w:ascii="Times New Roman" w:hAnsi="Times New Roman" w:eastAsia="宋体" w:cs="Times New Roman"/>
          <w:kern w:val="2"/>
          <w:sz w:val="28"/>
          <w:szCs w:val="24"/>
          <w:lang w:val="en-US" w:eastAsia="zh-CN" w:bidi="ar-SA"/>
        </w:rPr>
      </w:pPr>
    </w:p>
    <w:sectPr>
      <w:footerReference r:id="rId4" w:type="default"/>
      <w:pgSz w:w="11906" w:h="16838"/>
      <w:pgMar w:top="1985" w:right="1446" w:bottom="1644" w:left="1446" w:header="851" w:footer="992"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cs="Times New Roman"/>
                              <w:sz w:val="18"/>
                              <w:szCs w:val="18"/>
                            </w:rPr>
                            <w:t xml:space="preserve">— </w:t>
                          </w:r>
                          <w:r>
                            <w:rPr>
                              <w:rFonts w:cs="Times New Roman"/>
                              <w:sz w:val="18"/>
                              <w:szCs w:val="18"/>
                            </w:rPr>
                            <w:fldChar w:fldCharType="begin"/>
                          </w:r>
                          <w:r>
                            <w:rPr>
                              <w:rFonts w:cs="Times New Roman"/>
                              <w:sz w:val="18"/>
                              <w:szCs w:val="18"/>
                            </w:rPr>
                            <w:instrText xml:space="preserve"> PAGE  \* MERGEFORMAT </w:instrText>
                          </w:r>
                          <w:r>
                            <w:rPr>
                              <w:rFonts w:cs="Times New Roman"/>
                              <w:sz w:val="18"/>
                              <w:szCs w:val="18"/>
                            </w:rPr>
                            <w:fldChar w:fldCharType="separate"/>
                          </w:r>
                          <w:r>
                            <w:rPr>
                              <w:rFonts w:cs="Times New Roman"/>
                              <w:sz w:val="18"/>
                              <w:szCs w:val="18"/>
                            </w:rPr>
                            <w:t>1</w:t>
                          </w:r>
                          <w:r>
                            <w:rPr>
                              <w:rFonts w:cs="Times New Roman"/>
                              <w:sz w:val="18"/>
                              <w:szCs w:val="18"/>
                            </w:rPr>
                            <w:fldChar w:fldCharType="end"/>
                          </w:r>
                          <w:r>
                            <w:rPr>
                              <w:rFonts w:cs="Times New Roman"/>
                              <w:sz w:val="18"/>
                              <w:szCs w:val="1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cs="Times New Roman"/>
                        <w:sz w:val="18"/>
                        <w:szCs w:val="18"/>
                      </w:rPr>
                      <w:t xml:space="preserve">— </w:t>
                    </w:r>
                    <w:r>
                      <w:rPr>
                        <w:rFonts w:cs="Times New Roman"/>
                        <w:sz w:val="18"/>
                        <w:szCs w:val="18"/>
                      </w:rPr>
                      <w:fldChar w:fldCharType="begin"/>
                    </w:r>
                    <w:r>
                      <w:rPr>
                        <w:rFonts w:cs="Times New Roman"/>
                        <w:sz w:val="18"/>
                        <w:szCs w:val="18"/>
                      </w:rPr>
                      <w:instrText xml:space="preserve"> PAGE  \* MERGEFORMAT </w:instrText>
                    </w:r>
                    <w:r>
                      <w:rPr>
                        <w:rFonts w:cs="Times New Roman"/>
                        <w:sz w:val="18"/>
                        <w:szCs w:val="18"/>
                      </w:rPr>
                      <w:fldChar w:fldCharType="separate"/>
                    </w:r>
                    <w:r>
                      <w:rPr>
                        <w:rFonts w:cs="Times New Roman"/>
                        <w:sz w:val="18"/>
                        <w:szCs w:val="18"/>
                      </w:rPr>
                      <w:t>1</w:t>
                    </w:r>
                    <w:r>
                      <w:rPr>
                        <w:rFonts w:cs="Times New Roman"/>
                        <w:sz w:val="18"/>
                        <w:szCs w:val="18"/>
                      </w:rPr>
                      <w:fldChar w:fldCharType="end"/>
                    </w:r>
                    <w:r>
                      <w:rPr>
                        <w:rFonts w:cs="Times New Roman"/>
                        <w:sz w:val="18"/>
                        <w:szCs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19"/>
                              <w:rFonts w:hint="eastAsia" w:asciiTheme="minorEastAsia" w:hAnsiTheme="minorEastAsia" w:eastAsiaTheme="minorEastAsia" w:cstheme="minorEastAsia"/>
                              <w:kern w:val="2"/>
                              <w:sz w:val="28"/>
                              <w:szCs w:val="28"/>
                              <w:lang w:val="en-US" w:eastAsia="zh-CN" w:bidi="ar-SA"/>
                            </w:rPr>
                          </w:pPr>
                          <w:r>
                            <w:rPr>
                              <w:rStyle w:val="19"/>
                              <w:rFonts w:hint="eastAsia" w:asciiTheme="minorEastAsia" w:hAnsiTheme="minorEastAsia" w:eastAsiaTheme="minorEastAsia" w:cstheme="minorEastAsia"/>
                              <w:kern w:val="2"/>
                              <w:sz w:val="28"/>
                              <w:szCs w:val="28"/>
                              <w:lang w:val="en-US" w:eastAsia="zh-CN" w:bidi="ar-SA"/>
                            </w:rPr>
                            <w:t xml:space="preserve">— </w:t>
                          </w:r>
                          <w:r>
                            <w:rPr>
                              <w:rStyle w:val="19"/>
                              <w:rFonts w:hint="eastAsia" w:asciiTheme="minorEastAsia" w:hAnsiTheme="minorEastAsia" w:eastAsiaTheme="minorEastAsia" w:cstheme="minorEastAsia"/>
                              <w:kern w:val="2"/>
                              <w:sz w:val="28"/>
                              <w:szCs w:val="28"/>
                              <w:lang w:val="en-US" w:eastAsia="zh-CN" w:bidi="ar-SA"/>
                            </w:rPr>
                            <w:fldChar w:fldCharType="begin"/>
                          </w:r>
                          <w:r>
                            <w:rPr>
                              <w:rStyle w:val="19"/>
                              <w:rFonts w:hint="eastAsia" w:asciiTheme="minorEastAsia" w:hAnsiTheme="minorEastAsia" w:eastAsiaTheme="minorEastAsia" w:cstheme="minorEastAsia"/>
                              <w:kern w:val="2"/>
                              <w:sz w:val="28"/>
                              <w:szCs w:val="28"/>
                              <w:lang w:val="en-US" w:eastAsia="zh-CN" w:bidi="ar-SA"/>
                            </w:rPr>
                            <w:instrText xml:space="preserve"> PAGE  \* MERGEFORMAT </w:instrText>
                          </w:r>
                          <w:r>
                            <w:rPr>
                              <w:rStyle w:val="19"/>
                              <w:rFonts w:hint="eastAsia" w:asciiTheme="minorEastAsia" w:hAnsiTheme="minorEastAsia" w:eastAsiaTheme="minorEastAsia" w:cstheme="minorEastAsia"/>
                              <w:kern w:val="2"/>
                              <w:sz w:val="28"/>
                              <w:szCs w:val="28"/>
                              <w:lang w:val="en-US" w:eastAsia="zh-CN" w:bidi="ar-SA"/>
                            </w:rPr>
                            <w:fldChar w:fldCharType="separate"/>
                          </w:r>
                          <w:r>
                            <w:rPr>
                              <w:rStyle w:val="19"/>
                              <w:rFonts w:hint="eastAsia" w:asciiTheme="minorEastAsia" w:hAnsiTheme="minorEastAsia" w:eastAsiaTheme="minorEastAsia" w:cstheme="minorEastAsia"/>
                              <w:kern w:val="2"/>
                              <w:sz w:val="28"/>
                              <w:szCs w:val="28"/>
                              <w:lang w:val="en-US" w:eastAsia="zh-CN" w:bidi="ar-SA"/>
                            </w:rPr>
                            <w:t>12</w:t>
                          </w:r>
                          <w:r>
                            <w:rPr>
                              <w:rStyle w:val="19"/>
                              <w:rFonts w:hint="eastAsia" w:asciiTheme="minorEastAsia" w:hAnsiTheme="minorEastAsia" w:eastAsiaTheme="minorEastAsia" w:cstheme="minorEastAsia"/>
                              <w:kern w:val="2"/>
                              <w:sz w:val="28"/>
                              <w:szCs w:val="28"/>
                              <w:lang w:val="en-US" w:eastAsia="zh-CN" w:bidi="ar-SA"/>
                            </w:rPr>
                            <w:fldChar w:fldCharType="end"/>
                          </w:r>
                          <w:r>
                            <w:rPr>
                              <w:rStyle w:val="19"/>
                              <w:rFonts w:hint="eastAsia" w:asciiTheme="minorEastAsia" w:hAnsiTheme="minorEastAsia" w:eastAsiaTheme="minorEastAsia" w:cstheme="min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widowControl w:val="0"/>
                      <w:snapToGrid w:val="0"/>
                      <w:jc w:val="left"/>
                      <w:rPr>
                        <w:rStyle w:val="19"/>
                        <w:rFonts w:hint="eastAsia" w:asciiTheme="minorEastAsia" w:hAnsiTheme="minorEastAsia" w:eastAsiaTheme="minorEastAsia" w:cstheme="minorEastAsia"/>
                        <w:kern w:val="2"/>
                        <w:sz w:val="28"/>
                        <w:szCs w:val="28"/>
                        <w:lang w:val="en-US" w:eastAsia="zh-CN" w:bidi="ar-SA"/>
                      </w:rPr>
                    </w:pPr>
                    <w:r>
                      <w:rPr>
                        <w:rStyle w:val="19"/>
                        <w:rFonts w:hint="eastAsia" w:asciiTheme="minorEastAsia" w:hAnsiTheme="minorEastAsia" w:eastAsiaTheme="minorEastAsia" w:cstheme="minorEastAsia"/>
                        <w:kern w:val="2"/>
                        <w:sz w:val="28"/>
                        <w:szCs w:val="28"/>
                        <w:lang w:val="en-US" w:eastAsia="zh-CN" w:bidi="ar-SA"/>
                      </w:rPr>
                      <w:t xml:space="preserve">— </w:t>
                    </w:r>
                    <w:r>
                      <w:rPr>
                        <w:rStyle w:val="19"/>
                        <w:rFonts w:hint="eastAsia" w:asciiTheme="minorEastAsia" w:hAnsiTheme="minorEastAsia" w:eastAsiaTheme="minorEastAsia" w:cstheme="minorEastAsia"/>
                        <w:kern w:val="2"/>
                        <w:sz w:val="28"/>
                        <w:szCs w:val="28"/>
                        <w:lang w:val="en-US" w:eastAsia="zh-CN" w:bidi="ar-SA"/>
                      </w:rPr>
                      <w:fldChar w:fldCharType="begin"/>
                    </w:r>
                    <w:r>
                      <w:rPr>
                        <w:rStyle w:val="19"/>
                        <w:rFonts w:hint="eastAsia" w:asciiTheme="minorEastAsia" w:hAnsiTheme="minorEastAsia" w:eastAsiaTheme="minorEastAsia" w:cstheme="minorEastAsia"/>
                        <w:kern w:val="2"/>
                        <w:sz w:val="28"/>
                        <w:szCs w:val="28"/>
                        <w:lang w:val="en-US" w:eastAsia="zh-CN" w:bidi="ar-SA"/>
                      </w:rPr>
                      <w:instrText xml:space="preserve"> PAGE  \* MERGEFORMAT </w:instrText>
                    </w:r>
                    <w:r>
                      <w:rPr>
                        <w:rStyle w:val="19"/>
                        <w:rFonts w:hint="eastAsia" w:asciiTheme="minorEastAsia" w:hAnsiTheme="minorEastAsia" w:eastAsiaTheme="minorEastAsia" w:cstheme="minorEastAsia"/>
                        <w:kern w:val="2"/>
                        <w:sz w:val="28"/>
                        <w:szCs w:val="28"/>
                        <w:lang w:val="en-US" w:eastAsia="zh-CN" w:bidi="ar-SA"/>
                      </w:rPr>
                      <w:fldChar w:fldCharType="separate"/>
                    </w:r>
                    <w:r>
                      <w:rPr>
                        <w:rStyle w:val="19"/>
                        <w:rFonts w:hint="eastAsia" w:asciiTheme="minorEastAsia" w:hAnsiTheme="minorEastAsia" w:eastAsiaTheme="minorEastAsia" w:cstheme="minorEastAsia"/>
                        <w:kern w:val="2"/>
                        <w:sz w:val="28"/>
                        <w:szCs w:val="28"/>
                        <w:lang w:val="en-US" w:eastAsia="zh-CN" w:bidi="ar-SA"/>
                      </w:rPr>
                      <w:t>12</w:t>
                    </w:r>
                    <w:r>
                      <w:rPr>
                        <w:rStyle w:val="19"/>
                        <w:rFonts w:hint="eastAsia" w:asciiTheme="minorEastAsia" w:hAnsiTheme="minorEastAsia" w:eastAsiaTheme="minorEastAsia" w:cstheme="minorEastAsia"/>
                        <w:kern w:val="2"/>
                        <w:sz w:val="28"/>
                        <w:szCs w:val="28"/>
                        <w:lang w:val="en-US" w:eastAsia="zh-CN" w:bidi="ar-SA"/>
                      </w:rPr>
                      <w:fldChar w:fldCharType="end"/>
                    </w:r>
                    <w:r>
                      <w:rPr>
                        <w:rStyle w:val="19"/>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1A43EC"/>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B4B9F"/>
    <w:rsid w:val="2FEB6799"/>
    <w:rsid w:val="30914434"/>
    <w:rsid w:val="30EE5886"/>
    <w:rsid w:val="31D921A4"/>
    <w:rsid w:val="32BF7018"/>
    <w:rsid w:val="33AFCDDC"/>
    <w:rsid w:val="34581908"/>
    <w:rsid w:val="35020712"/>
    <w:rsid w:val="35065A3A"/>
    <w:rsid w:val="35D5328C"/>
    <w:rsid w:val="370D16B3"/>
    <w:rsid w:val="37C51145"/>
    <w:rsid w:val="37D34713"/>
    <w:rsid w:val="37FFA73D"/>
    <w:rsid w:val="386510FC"/>
    <w:rsid w:val="39BA7744"/>
    <w:rsid w:val="3AB853C8"/>
    <w:rsid w:val="3ABC26CE"/>
    <w:rsid w:val="3B9F2014"/>
    <w:rsid w:val="3BA26649"/>
    <w:rsid w:val="3BEB2DD8"/>
    <w:rsid w:val="3BEFA21D"/>
    <w:rsid w:val="3BEFAF9D"/>
    <w:rsid w:val="3C685D68"/>
    <w:rsid w:val="3C9A35A3"/>
    <w:rsid w:val="3D6B8945"/>
    <w:rsid w:val="3D7F5882"/>
    <w:rsid w:val="3DBB3E02"/>
    <w:rsid w:val="3DD030B8"/>
    <w:rsid w:val="3DDE5100"/>
    <w:rsid w:val="3E63500C"/>
    <w:rsid w:val="3E81138A"/>
    <w:rsid w:val="3EF5C745"/>
    <w:rsid w:val="3EFE8C2A"/>
    <w:rsid w:val="3F639FF5"/>
    <w:rsid w:val="3F7F5A6A"/>
    <w:rsid w:val="3F7F6E9A"/>
    <w:rsid w:val="3FA43F19"/>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84843AC"/>
    <w:rsid w:val="5A7E2231"/>
    <w:rsid w:val="5ADF6823"/>
    <w:rsid w:val="5B175D16"/>
    <w:rsid w:val="5B1A0782"/>
    <w:rsid w:val="5C624A97"/>
    <w:rsid w:val="5DDA3951"/>
    <w:rsid w:val="5E5AF9EE"/>
    <w:rsid w:val="5FA95F49"/>
    <w:rsid w:val="5FBF8763"/>
    <w:rsid w:val="5FEF0E87"/>
    <w:rsid w:val="5FFBA721"/>
    <w:rsid w:val="615D349C"/>
    <w:rsid w:val="61CB412D"/>
    <w:rsid w:val="61E274FB"/>
    <w:rsid w:val="63270190"/>
    <w:rsid w:val="63C07097"/>
    <w:rsid w:val="63F6BC28"/>
    <w:rsid w:val="654340E7"/>
    <w:rsid w:val="664F3B20"/>
    <w:rsid w:val="675B5FBD"/>
    <w:rsid w:val="6788382C"/>
    <w:rsid w:val="6826391B"/>
    <w:rsid w:val="6867608D"/>
    <w:rsid w:val="68EF42C4"/>
    <w:rsid w:val="68F1007C"/>
    <w:rsid w:val="6A7FB000"/>
    <w:rsid w:val="6A956400"/>
    <w:rsid w:val="6ABF5399"/>
    <w:rsid w:val="6B6E072A"/>
    <w:rsid w:val="6BBB6541"/>
    <w:rsid w:val="6BCD64B5"/>
    <w:rsid w:val="6C67536A"/>
    <w:rsid w:val="6D4D31CC"/>
    <w:rsid w:val="6D9DAD11"/>
    <w:rsid w:val="6E504A7B"/>
    <w:rsid w:val="6EFE9375"/>
    <w:rsid w:val="6F4D7A94"/>
    <w:rsid w:val="6F5A0D30"/>
    <w:rsid w:val="6F5A677D"/>
    <w:rsid w:val="6F9F2C42"/>
    <w:rsid w:val="6FDB23B1"/>
    <w:rsid w:val="6FE6DE43"/>
    <w:rsid w:val="6FFF2707"/>
    <w:rsid w:val="700A63FA"/>
    <w:rsid w:val="71180D83"/>
    <w:rsid w:val="71F95C1E"/>
    <w:rsid w:val="72836946"/>
    <w:rsid w:val="728B5B6F"/>
    <w:rsid w:val="72C3149E"/>
    <w:rsid w:val="733762AE"/>
    <w:rsid w:val="73661CF5"/>
    <w:rsid w:val="73AC6CAF"/>
    <w:rsid w:val="73DC4B44"/>
    <w:rsid w:val="743E4BED"/>
    <w:rsid w:val="744A0831"/>
    <w:rsid w:val="746DE58C"/>
    <w:rsid w:val="75DFB322"/>
    <w:rsid w:val="75FF1D72"/>
    <w:rsid w:val="76862FBE"/>
    <w:rsid w:val="76AE5741"/>
    <w:rsid w:val="76F61301"/>
    <w:rsid w:val="77052688"/>
    <w:rsid w:val="774E327C"/>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8FF5DF"/>
    <w:rsid w:val="7CAF6D1A"/>
    <w:rsid w:val="7CB461A6"/>
    <w:rsid w:val="7CBD2D5E"/>
    <w:rsid w:val="7CDEF532"/>
    <w:rsid w:val="7D7563CA"/>
    <w:rsid w:val="7DAA1ED0"/>
    <w:rsid w:val="7DAF588E"/>
    <w:rsid w:val="7EBCA161"/>
    <w:rsid w:val="7EF7C809"/>
    <w:rsid w:val="7EFB34CC"/>
    <w:rsid w:val="7EFDE791"/>
    <w:rsid w:val="7F7583FE"/>
    <w:rsid w:val="7FBB89BF"/>
    <w:rsid w:val="7FBF3A79"/>
    <w:rsid w:val="7FEEDE92"/>
    <w:rsid w:val="7FEFABF9"/>
    <w:rsid w:val="7FF2B72A"/>
    <w:rsid w:val="7FF2ECC9"/>
    <w:rsid w:val="7FF51362"/>
    <w:rsid w:val="7FF878E2"/>
    <w:rsid w:val="7FFB35A7"/>
    <w:rsid w:val="7FFD9F55"/>
    <w:rsid w:val="7FFF9938"/>
    <w:rsid w:val="9AD7FF0E"/>
    <w:rsid w:val="9D5E0256"/>
    <w:rsid w:val="9DFF8143"/>
    <w:rsid w:val="9E6767C7"/>
    <w:rsid w:val="9EDFA34A"/>
    <w:rsid w:val="A4A9E009"/>
    <w:rsid w:val="AEDCFD40"/>
    <w:rsid w:val="B5C121B5"/>
    <w:rsid w:val="B5DE0672"/>
    <w:rsid w:val="B5EE9E49"/>
    <w:rsid w:val="B5F7B175"/>
    <w:rsid w:val="B97F7191"/>
    <w:rsid w:val="BBFF5877"/>
    <w:rsid w:val="BBFF66F1"/>
    <w:rsid w:val="BCCF1D1D"/>
    <w:rsid w:val="BD7CAE0B"/>
    <w:rsid w:val="BDFBD4BA"/>
    <w:rsid w:val="BDFF872F"/>
    <w:rsid w:val="BEBB3247"/>
    <w:rsid w:val="BF6E9522"/>
    <w:rsid w:val="BF719F13"/>
    <w:rsid w:val="BFDF0CA2"/>
    <w:rsid w:val="BFF597B2"/>
    <w:rsid w:val="BFF785C8"/>
    <w:rsid w:val="BFF7D093"/>
    <w:rsid w:val="BFFD2A76"/>
    <w:rsid w:val="BFFE1C57"/>
    <w:rsid w:val="C7F7ADBC"/>
    <w:rsid w:val="CFDEA72F"/>
    <w:rsid w:val="D6F795FC"/>
    <w:rsid w:val="D6FD671B"/>
    <w:rsid w:val="D79F9A81"/>
    <w:rsid w:val="D7D7DDCC"/>
    <w:rsid w:val="D8DCEDE1"/>
    <w:rsid w:val="DAFBCEB0"/>
    <w:rsid w:val="DB726C3A"/>
    <w:rsid w:val="DBF76714"/>
    <w:rsid w:val="DDA208C1"/>
    <w:rsid w:val="DDEF9A0F"/>
    <w:rsid w:val="DF46CB69"/>
    <w:rsid w:val="DF6A0073"/>
    <w:rsid w:val="DF780174"/>
    <w:rsid w:val="DFCBC77F"/>
    <w:rsid w:val="DFD77326"/>
    <w:rsid w:val="DFDD30F9"/>
    <w:rsid w:val="DFDF1DD9"/>
    <w:rsid w:val="DFF5A64B"/>
    <w:rsid w:val="DFFF3E45"/>
    <w:rsid w:val="DFFFB97E"/>
    <w:rsid w:val="E3DFABFC"/>
    <w:rsid w:val="E7E2616F"/>
    <w:rsid w:val="E7FF481B"/>
    <w:rsid w:val="EABFCD06"/>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FF3781"/>
    <w:rsid w:val="F93FC902"/>
    <w:rsid w:val="F9631D36"/>
    <w:rsid w:val="F9AFB6F0"/>
    <w:rsid w:val="F9F9C2D3"/>
    <w:rsid w:val="FA576F15"/>
    <w:rsid w:val="FADC04E4"/>
    <w:rsid w:val="FB5F32AC"/>
    <w:rsid w:val="FB6E0296"/>
    <w:rsid w:val="FBAD5CE8"/>
    <w:rsid w:val="FBBD53BA"/>
    <w:rsid w:val="FBD621AB"/>
    <w:rsid w:val="FBDF2122"/>
    <w:rsid w:val="FBEE1844"/>
    <w:rsid w:val="FBEF2C87"/>
    <w:rsid w:val="FBF76626"/>
    <w:rsid w:val="FBFF2E32"/>
    <w:rsid w:val="FBFF379E"/>
    <w:rsid w:val="FCDB6888"/>
    <w:rsid w:val="FCFB6F95"/>
    <w:rsid w:val="FDBFFB3F"/>
    <w:rsid w:val="FDEDFE4B"/>
    <w:rsid w:val="FDF51AF1"/>
    <w:rsid w:val="FDF531D4"/>
    <w:rsid w:val="FF4843DA"/>
    <w:rsid w:val="FF5EF1C1"/>
    <w:rsid w:val="FF7DB9F7"/>
    <w:rsid w:val="FFCF68DB"/>
    <w:rsid w:val="FFDB89D3"/>
    <w:rsid w:val="FFDBFA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9"/>
    <w:next w:val="9"/>
    <w:semiHidden/>
    <w:qFormat/>
    <w:uiPriority w:val="0"/>
    <w:pPr>
      <w:widowControl w:val="0"/>
    </w:pPr>
    <w:rPr>
      <w:rFonts w:ascii="Times New Roman" w:hAnsi="Times New Roman" w:cs="Times New Roman"/>
      <w:b/>
      <w:bCs/>
      <w:kern w:val="2"/>
      <w:sz w:val="28"/>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paragraph" w:customStyle="1" w:styleId="83">
    <w:name w:val="正文1"/>
    <w:qFormat/>
    <w:uiPriority w:val="0"/>
    <w:pPr>
      <w:widowControl w:val="0"/>
      <w:spacing w:line="460" w:lineRule="atLeast"/>
      <w:jc w:val="both"/>
    </w:pPr>
    <w:rPr>
      <w:rFonts w:ascii="宋体"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54</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2021-07-22T03:38:00Z</dcterms:created>
  <dc:creator>张艺馨</dc:creator>
  <cp:lastModifiedBy>zyj</cp:lastModifiedBy>
  <cp:lastPrinted>2022-11-10T19:20:00Z</cp:lastPrinted>
  <dcterms:modified xsi:type="dcterms:W3CDTF">2023-10-16T03:00:26Z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