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jc w:val="left"/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  <w:t>附件</w:t>
      </w:r>
    </w:p>
    <w:p>
      <w:pPr>
        <w:snapToGrid w:val="0"/>
        <w:spacing w:line="594" w:lineRule="exact"/>
        <w:jc w:val="left"/>
        <w:rPr>
          <w:rFonts w:hint="eastAsia" w:ascii="Times New Roman" w:hAnsi="Times New Roman" w:eastAsia="方正黑体_GBK"/>
          <w:snapToGrid w:val="0"/>
          <w:kern w:val="0"/>
          <w:sz w:val="32"/>
          <w:szCs w:val="32"/>
        </w:rPr>
      </w:pPr>
    </w:p>
    <w:p>
      <w:pPr>
        <w:snapToGrid w:val="0"/>
        <w:spacing w:line="594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  <w:lang w:eastAsia="zh-Hans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Hans"/>
        </w:rPr>
        <w:t>《重庆市水利高质量发展三年行动</w:t>
      </w:r>
    </w:p>
    <w:p>
      <w:pPr>
        <w:snapToGrid w:val="0"/>
        <w:spacing w:line="594" w:lineRule="exact"/>
        <w:jc w:val="center"/>
        <w:outlineLvl w:val="0"/>
        <w:rPr>
          <w:rFonts w:hint="eastAsia" w:ascii="Times New Roman" w:hAnsi="Times New Roman" w:eastAsia="方正小标宋_GBK"/>
          <w:sz w:val="44"/>
          <w:szCs w:val="44"/>
          <w:lang w:eastAsia="zh-Hans"/>
        </w:rPr>
      </w:pPr>
    </w:p>
    <w:p>
      <w:pPr>
        <w:snapToGrid w:val="0"/>
        <w:spacing w:line="594" w:lineRule="exact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Hans"/>
        </w:rPr>
        <w:t>实施方案》起草说明</w:t>
      </w:r>
    </w:p>
    <w:p>
      <w:pPr>
        <w:snapToGrid w:val="0"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一、制定背景</w:t>
      </w: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党中央、国务院有关要求。党中央、国务院高度重视水利建设，习近平总书记多次强调要加快构建水利等网络型基础设施体系，党的二十大报告也提出要优化水利基础设施布局、结构、功能和系统集成。重庆水安全保障有需求。我市近年来相继推进了一批水利工程，但防洪减灾和抗旱保供体系仍不完善，特别是2022年“8•20”历史罕见洪水和2022年连续高温晴热天气导致严重旱灾，暴露出我市水利基础设施还存在明显短板。市委、市政府有部署。市委、市政府多次研究部署水利工作，袁家军书记明确要求要建立可持续的现代水利工程体系，时任市长多次专题研究谋划，要求制定水利发展三年行动计划。</w:t>
      </w: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二、总体目标</w:t>
      </w: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实施方案》的主要思路是：抢机遇、补短板、强弱项。主要手段是：加强组织保障，深化改革举措，优化资源配置，强化要素保障。主要目标是：提升城乡防洪能力，增强供水保障能力，提高生态保障能力。2023—2025年，实施1800项以上各类水利工程，规划项目总投资约2000亿元，完成投资1200亿元以上。到2025年，基本满足人民群众对持续水安澜、优质水资源、健康水生态、宜居水环境、先进水文化的需求，重庆水网初具雏形，涉水事务监管体系基本建成，水安全保障能力明显增强。</w:t>
      </w: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三、重点任务</w:t>
      </w: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实施方案》提出了6项任务。一是加快构建系统完善的防洪减灾体系，实施230处以上防洪减灾工程，强化防洪减灾工程建设，提升薄弱环节防洪能力，推进防洪非工程措施建设。二是加快构建保障有力的水资源配置体系，实施290个以上水资源配置工程，推进现代水网建设，加快水源工程建设和城乡一体化供水。三是加快构建绿色低碳的水经济产业体系，实施1000处以上移民致富及水利产业项目，推进农村水网建设，加快灌区建设与节水改造，推动水库移民安稳致富。四是加快构建健康持续的河湖生态体系，实施100处以上生态治理项目，开展水土保持综合治理、流域生态综合治理和三峡库区生态治理。五是加快构建智慧畅通的新型基础设施体系，实施10处以上水利新基建项目，建设数字孪生流域，打造水利智能应用，推进水文现代化建设。六是加快构建开放共享的水利服务体系，实施40处以上水利科技文化及行政效能提升项目，推进水文化建设，提高水行政效能，加大水利科学技术研究。</w:t>
      </w: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四、主要措施</w:t>
      </w:r>
    </w:p>
    <w:p>
      <w:pPr>
        <w:snapToGrid w:val="0"/>
        <w:spacing w:line="594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napToGrid w:val="0"/>
        <w:spacing w:line="594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《实施方案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》制定了6项措施。一是保持政府投入强度，保持各级财政合理投入强度，加大政府专项债券用于水利建设份额，保障水利规费征收力度。二是深化投融资改革，发挥公共财政“四两拨千斤”的撬动作用，吸引更多金融和社会资本投入水利建设，推动市级水利投融资主体与央企合作。三是强化项目要素保障，加大对用地指标、林地指标和规划许可等方面支持力度。四是加快水权水价改革，科学合理调整水资源税、水利工程供水价格，建立跨行政区域水资源配置工程水资源税合理分配制度，培育和发展水权交易市场。五是强化建设运行管理，严把工程质量关，保障工程建设进度，确保尽早建成并发挥效益。六是加强工作组织领导，由市政府组建水利高质量发展三年行动工作专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隶书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87960"/>
    <w:rsid w:val="253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2026-03-20T11:39:00Z</dcterms:created>
  <dc:creator>Administrator</dc:creator>
  <cp:lastModifiedBy>Administrator</cp:lastModifiedBy>
  <dcterms:modified xsi:type="dcterms:W3CDTF">2026-03-20T11:41:49Z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