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napToGrid w:val="0"/>
          <w:color w:val="auto"/>
          <w:spacing w:val="0"/>
          <w:kern w:val="0"/>
          <w:sz w:val="44"/>
          <w:szCs w:val="44"/>
        </w:rPr>
        <w:t>重庆市水利局办公室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napToGrid w:val="0"/>
          <w:color w:val="auto"/>
          <w:spacing w:val="0"/>
          <w:kern w:val="0"/>
          <w:sz w:val="44"/>
          <w:szCs w:val="44"/>
        </w:rPr>
        <w:t>关于202</w:t>
      </w:r>
      <w:r>
        <w:rPr>
          <w:rFonts w:hint="eastAsia" w:ascii="Times New Roman" w:hAnsi="Times New Roman" w:eastAsia="方正小标宋_GBK" w:cs="方正小标宋_GBK"/>
          <w:b w:val="0"/>
          <w:bCs w:val="0"/>
          <w:snapToGrid w:val="0"/>
          <w:color w:val="auto"/>
          <w:spacing w:val="0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 w:cs="方正小标宋_GBK"/>
          <w:b w:val="0"/>
          <w:bCs w:val="0"/>
          <w:snapToGrid w:val="0"/>
          <w:color w:val="auto"/>
          <w:spacing w:val="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_GBK" w:cs="方正小标宋_GBK"/>
          <w:b w:val="0"/>
          <w:bCs w:val="0"/>
          <w:snapToGrid w:val="0"/>
          <w:color w:val="auto"/>
          <w:spacing w:val="0"/>
          <w:kern w:val="0"/>
          <w:sz w:val="44"/>
          <w:szCs w:val="44"/>
          <w:lang w:val="en-US" w:eastAsia="zh-CN"/>
        </w:rPr>
        <w:t>上半年</w:t>
      </w:r>
      <w:r>
        <w:rPr>
          <w:rFonts w:hint="eastAsia" w:ascii="Times New Roman" w:hAnsi="Times New Roman" w:eastAsia="方正小标宋_GBK" w:cs="方正小标宋_GBK"/>
          <w:b w:val="0"/>
          <w:bCs w:val="0"/>
          <w:snapToGrid w:val="0"/>
          <w:color w:val="auto"/>
          <w:spacing w:val="0"/>
          <w:kern w:val="0"/>
          <w:sz w:val="44"/>
          <w:szCs w:val="44"/>
        </w:rPr>
        <w:t>水利工程勘察设计报告和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snapToGrid w:val="0"/>
          <w:color w:val="auto"/>
          <w:spacing w:val="0"/>
          <w:kern w:val="0"/>
          <w:sz w:val="44"/>
          <w:szCs w:val="44"/>
        </w:rPr>
        <w:t>涉水专题报告质量评定情况的通报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jc w:val="left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各区县（自治县）、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西部科学城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重庆高新区、万盛经开区水行政主管部门，有关单位：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8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eastAsia="zh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为加强勘察设计成果质量管理，同时为项目法人择优选择勘察设计单位、项目负责人、技术负责人提供依据，现将202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上半年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水利工程勘察设计报告和涉水专题报告质量评定情况通报如下</w:t>
      </w:r>
      <w:r>
        <w:rPr>
          <w:rFonts w:hint="eastAsia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eastAsia="zh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8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kern w:val="0"/>
          <w:sz w:val="32"/>
          <w:szCs w:val="32"/>
        </w:rPr>
        <w:t>一、水利工程勘察设计报告质量评定情况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8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共审查水利工程前期工作项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目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5个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（含复审，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不含复核项目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，下同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），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其中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评审质量等级合格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5个，合格率100%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8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0"/>
          <w:kern w:val="0"/>
          <w:sz w:val="32"/>
          <w:szCs w:val="32"/>
        </w:rPr>
        <w:t>二、行政许可涉水专题报告质量评定情况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8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eastAsia="zh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共审查涉水专题报告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17个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（不含水土保持方案报告表和告知承诺办理件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，下同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）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，其中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评审质量等级合格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14个，合格率82.35%</w:t>
      </w:r>
      <w:r>
        <w:rPr>
          <w:rFonts w:hint="eastAsia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"/>
        </w:rPr>
        <w:t>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各类专题具体情况如下</w:t>
      </w:r>
      <w:r>
        <w:rPr>
          <w:rFonts w:hint="eastAsia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eastAsia="zh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firstLine="648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（一）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水土保持方案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共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审查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项目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个，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评审质量等级合格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8个，合格率80.00%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107" w:leftChars="50" w:firstLine="648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（二）洪水影响评价：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共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审查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项目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个，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评审质量等级合格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3个，合格率75.00%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107" w:leftChars="50" w:firstLine="648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（三）取水许可：</w:t>
      </w:r>
      <w:r>
        <w:rPr>
          <w:rFonts w:hint="eastAsia" w:ascii="Times New Roman" w:hAnsi="Times New Roman" w:eastAsia="方正仿宋_GBK" w:cs="方正仿宋_GBK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共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highlight w:val="none"/>
          <w:lang w:eastAsia="zh-CN"/>
        </w:rPr>
        <w:t>审查</w:t>
      </w:r>
      <w:r>
        <w:rPr>
          <w:rFonts w:hint="eastAsia" w:ascii="Times New Roman" w:hAnsi="Times New Roman" w:eastAsia="方正仿宋_GBK" w:cs="方正仿宋_GBK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</w:rPr>
        <w:t>项目</w:t>
      </w:r>
      <w:r>
        <w:rPr>
          <w:rFonts w:hint="eastAsia" w:ascii="Times New Roman" w:hAnsi="Times New Roman" w:eastAsia="方正仿宋_GBK" w:cs="方正仿宋_GBK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方正仿宋_GBK" w:cs="方正仿宋_GBK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</w:rPr>
        <w:t>个，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评审质量等级合格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3个，合格率100.00%</w:t>
      </w:r>
      <w:r>
        <w:rPr>
          <w:rFonts w:hint="eastAsia" w:ascii="Times New Roman" w:hAnsi="Times New Roman" w:eastAsia="方正仿宋_GBK" w:cs="方正仿宋_GBK"/>
          <w:b w:val="0"/>
          <w:bCs w:val="0"/>
          <w:snapToGrid w:val="0"/>
          <w:color w:val="auto"/>
          <w:spacing w:val="0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firstLine="648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1944" w:hanging="1944" w:hangingChars="6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附件：1</w:t>
      </w:r>
      <w:r>
        <w:rPr>
          <w:rFonts w:hint="eastAsia" w:ascii="方正楷体_GBK" w:hAnsi="方正楷体_GBK" w:eastAsia="方正楷体_GBK" w:cs="方正楷体_GBK"/>
          <w:snapToGrid w:val="0"/>
          <w:kern w:val="2"/>
          <w:sz w:val="32"/>
          <w:szCs w:val="32"/>
          <w:lang w:val="en-US" w:eastAsia="zh-CN" w:bidi="ar"/>
        </w:rPr>
        <w:t>．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202</w:t>
      </w:r>
      <w:r>
        <w:rPr>
          <w:rFonts w:hint="eastAsia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年</w:t>
      </w:r>
      <w:r>
        <w:rPr>
          <w:rFonts w:hint="eastAsia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上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半年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水利工程勘察设计报告质量评定成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1944" w:hanging="1944" w:hangingChars="6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果表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1965" w:leftChars="767" w:hanging="324" w:hangingChars="1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2</w:t>
      </w:r>
      <w:r>
        <w:rPr>
          <w:rFonts w:hint="eastAsia" w:ascii="Times New Roman" w:hAnsi="Times New Roman" w:eastAsia="方正仿宋_GBK" w:cs="方正仿宋_GBK"/>
          <w:b w:val="0"/>
          <w:bCs w:val="0"/>
          <w:snapToGrid w:val="0"/>
          <w:color w:val="auto"/>
          <w:spacing w:val="0"/>
          <w:kern w:val="0"/>
          <w:sz w:val="32"/>
          <w:szCs w:val="32"/>
          <w:lang w:val="en-US" w:eastAsia="zh-CN" w:bidi="ar"/>
        </w:rPr>
        <w:t>．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202</w:t>
      </w:r>
      <w:r>
        <w:rPr>
          <w:rFonts w:hint="eastAsia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年</w:t>
      </w:r>
      <w:r>
        <w:rPr>
          <w:rFonts w:hint="eastAsia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上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半年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行政许可涉水专题报告质量评定成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1944" w:hanging="1944" w:hangingChars="6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果表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1944" w:hanging="1944" w:hangingChars="6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1944" w:hanging="1944" w:hangingChars="6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1944" w:hanging="1944" w:hangingChars="600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94" w:lineRule="exact"/>
        <w:ind w:right="640" w:firstLine="648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重庆市水利局办公室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napToGrid w:val="0"/>
        <w:spacing w:line="594" w:lineRule="exact"/>
        <w:ind w:right="960" w:firstLine="648" w:firstLineChars="200"/>
        <w:jc w:val="center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 xml:space="preserve">                          2026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月</w:t>
      </w:r>
      <w:r>
        <w:rPr>
          <w:rFonts w:hint="eastAsia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94" w:lineRule="exact"/>
        <w:ind w:firstLine="648" w:firstLineChars="200"/>
        <w:jc w:val="left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8" w:firstLineChars="200"/>
        <w:jc w:val="left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（联系人：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张翔宇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；联系电话：023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  <w:lang w:val="en-US" w:eastAsia="zh-CN"/>
        </w:rPr>
        <w:t>88707092</w:t>
      </w:r>
      <w:r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left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auto"/>
          <w:spacing w:val="0"/>
          <w:kern w:val="0"/>
          <w:sz w:val="32"/>
          <w:szCs w:val="32"/>
        </w:rPr>
        <w:sectPr>
          <w:footerReference r:id="rId3" w:type="default"/>
          <w:pgSz w:w="11906" w:h="16838"/>
          <w:pgMar w:top="1984" w:right="1446" w:bottom="1644" w:left="1446" w:header="851" w:footer="1474" w:gutter="0"/>
          <w:pgNumType w:fmt="decimal"/>
          <w:cols w:space="720" w:num="1"/>
          <w:rtlGutter w:val="0"/>
          <w:docGrid w:type="linesAndChars" w:linePitch="312" w:charSpace="945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Times New Roman" w:hAnsi="Times New Roman" w:eastAsia="方正黑体_GBK" w:cs="方正黑体_GBK"/>
          <w:b w:val="0"/>
          <w:bCs w:val="0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ascii="Times New Roman" w:hAnsi="Times New Roman" w:eastAsia="方正黑体_GBK" w:cs="方正黑体_GBK"/>
          <w:b w:val="0"/>
          <w:bCs w:val="0"/>
          <w:snapToGrid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0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0"/>
          <w:kern w:val="0"/>
          <w:sz w:val="44"/>
          <w:szCs w:val="44"/>
          <w:lang w:val="en-US" w:eastAsia="zh-CN"/>
        </w:rPr>
        <w:t>上半年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0"/>
          <w:kern w:val="0"/>
          <w:sz w:val="44"/>
          <w:szCs w:val="44"/>
        </w:rPr>
        <w:t>水利工程勘察设计报告质量评定成果表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3109"/>
        <w:gridCol w:w="1511"/>
        <w:gridCol w:w="1261"/>
        <w:gridCol w:w="3166"/>
        <w:gridCol w:w="1216"/>
        <w:gridCol w:w="1247"/>
        <w:gridCol w:w="1037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tblHeader/>
          <w:jc w:val="center"/>
        </w:trPr>
        <w:tc>
          <w:tcPr>
            <w:tcW w:w="24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  <w:t>序号</w:t>
            </w:r>
          </w:p>
        </w:tc>
        <w:tc>
          <w:tcPr>
            <w:tcW w:w="109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533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  <w:t>类型</w:t>
            </w:r>
          </w:p>
        </w:tc>
        <w:tc>
          <w:tcPr>
            <w:tcW w:w="44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  <w:t>质量评定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  <w:lang w:eastAsia="zh-CN"/>
              </w:rPr>
              <w:t>等次</w:t>
            </w:r>
          </w:p>
        </w:tc>
        <w:tc>
          <w:tcPr>
            <w:tcW w:w="1117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  <w:lang w:eastAsia="zh-CN"/>
              </w:rPr>
              <w:t>勘察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  <w:t>设计单位</w:t>
            </w:r>
          </w:p>
        </w:tc>
        <w:tc>
          <w:tcPr>
            <w:tcW w:w="42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4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  <w:t>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3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  <w:t>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  <w:t>符合性</w:t>
            </w:r>
          </w:p>
        </w:tc>
        <w:tc>
          <w:tcPr>
            <w:tcW w:w="3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濑溪河流域（重庆段）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综合规划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梁永万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于艺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刘建军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陈宝中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重庆市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涪陵区龙马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水库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可行性研究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报告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水库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广东珠荣工程设计有限公司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华融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重庆市黔江区嘉禾水库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工程项目建议书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水库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广东珠荣工程设计有限公司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何云飞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重庆玉滩大型灌区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工程项目建议书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灌区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重庆市水利电力建筑勘测设计研究院有限公司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鲍玲玲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李玉桥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熊建宁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重庆市永川区孙家口水库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除险加固工程初步设计报告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除险加固</w:t>
            </w: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基本合格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重庆市渝西水利电力勘测设计院有限公司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袁道伟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彭宗兵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  <w:t>符合</w:t>
            </w:r>
          </w:p>
        </w:tc>
        <w:tc>
          <w:tcPr>
            <w:tcW w:w="3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right="960"/>
        <w:jc w:val="left"/>
        <w:rPr>
          <w:rFonts w:hint="eastAsia" w:ascii="Times New Roman" w:hAnsi="Times New Roman" w:eastAsia="宋体" w:cs="宋体"/>
          <w:b w:val="0"/>
          <w:bCs w:val="0"/>
          <w:color w:val="auto"/>
          <w:spacing w:val="0"/>
          <w:kern w:val="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right="960"/>
        <w:jc w:val="left"/>
        <w:rPr>
          <w:rFonts w:hint="eastAsia" w:ascii="Times New Roman" w:hAnsi="Times New Roman" w:eastAsia="宋体" w:cs="宋体"/>
          <w:b w:val="0"/>
          <w:bCs w:val="0"/>
          <w:color w:val="auto"/>
          <w:spacing w:val="0"/>
          <w:kern w:val="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right="960"/>
        <w:jc w:val="left"/>
        <w:rPr>
          <w:rFonts w:hint="eastAsia" w:ascii="Times New Roman" w:hAnsi="Times New Roman" w:eastAsia="宋体" w:cs="宋体"/>
          <w:b w:val="0"/>
          <w:bCs w:val="0"/>
          <w:color w:val="auto"/>
          <w:spacing w:val="0"/>
          <w:kern w:val="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right="960"/>
        <w:jc w:val="left"/>
        <w:rPr>
          <w:rFonts w:hint="eastAsia" w:ascii="Times New Roman" w:hAnsi="Times New Roman" w:eastAsia="方正黑体_GBK" w:cs="方正黑体_GBK"/>
          <w:b w:val="0"/>
          <w:bCs w:val="0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spacing w:val="0"/>
          <w:kern w:val="0"/>
          <w:sz w:val="21"/>
          <w:szCs w:val="21"/>
        </w:rPr>
        <w:br w:type="page"/>
      </w:r>
      <w:r>
        <w:rPr>
          <w:rFonts w:hint="eastAsia" w:ascii="Times New Roman" w:hAnsi="Times New Roman" w:eastAsia="方正黑体_GBK" w:cs="方正黑体_GBK"/>
          <w:b w:val="0"/>
          <w:bCs w:val="0"/>
          <w:snapToGrid w:val="0"/>
          <w:color w:val="auto"/>
          <w:spacing w:val="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240" w:lineRule="auto"/>
        <w:ind w:right="960"/>
        <w:jc w:val="left"/>
        <w:rPr>
          <w:rFonts w:hint="eastAsia" w:ascii="Times New Roman" w:hAnsi="Times New Roman" w:eastAsia="方正黑体_GBK" w:cs="方正黑体_GBK"/>
          <w:b w:val="0"/>
          <w:bCs w:val="0"/>
          <w:snapToGrid w:val="0"/>
          <w:color w:val="auto"/>
          <w:spacing w:val="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0"/>
          <w:kern w:val="0"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0"/>
          <w:kern w:val="0"/>
          <w:sz w:val="44"/>
          <w:szCs w:val="44"/>
        </w:rPr>
        <w:t>年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0"/>
          <w:kern w:val="0"/>
          <w:sz w:val="44"/>
          <w:szCs w:val="44"/>
          <w:lang w:eastAsia="zh-CN"/>
        </w:rPr>
        <w:t>上半年</w:t>
      </w:r>
      <w:r>
        <w:rPr>
          <w:rFonts w:hint="eastAsia" w:ascii="Times New Roman" w:hAnsi="Times New Roman" w:eastAsia="方正小标宋_GBK" w:cs="方正小标宋_GBK"/>
          <w:b w:val="0"/>
          <w:bCs w:val="0"/>
          <w:color w:val="auto"/>
          <w:spacing w:val="0"/>
          <w:kern w:val="0"/>
          <w:sz w:val="44"/>
          <w:szCs w:val="44"/>
        </w:rPr>
        <w:t>行政许可涉水专题报告质量评定成果表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4592"/>
        <w:gridCol w:w="841"/>
        <w:gridCol w:w="979"/>
        <w:gridCol w:w="3390"/>
        <w:gridCol w:w="920"/>
        <w:gridCol w:w="2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66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kern w:val="0"/>
                <w:sz w:val="22"/>
                <w:szCs w:val="22"/>
              </w:rPr>
              <w:t>序号</w:t>
            </w:r>
          </w:p>
        </w:tc>
        <w:tc>
          <w:tcPr>
            <w:tcW w:w="4592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18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kern w:val="0"/>
                <w:sz w:val="22"/>
                <w:szCs w:val="22"/>
              </w:rPr>
              <w:t>质量评定</w:t>
            </w:r>
          </w:p>
        </w:tc>
        <w:tc>
          <w:tcPr>
            <w:tcW w:w="3390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kern w:val="0"/>
                <w:sz w:val="22"/>
                <w:szCs w:val="22"/>
              </w:rPr>
              <w:t>编制单位</w:t>
            </w:r>
          </w:p>
        </w:tc>
        <w:tc>
          <w:tcPr>
            <w:tcW w:w="9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kern w:val="0"/>
                <w:sz w:val="22"/>
                <w:szCs w:val="22"/>
              </w:rPr>
              <w:t>人员符合性</w:t>
            </w:r>
          </w:p>
        </w:tc>
        <w:tc>
          <w:tcPr>
            <w:tcW w:w="27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6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459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kern w:val="0"/>
                <w:sz w:val="22"/>
                <w:szCs w:val="22"/>
              </w:rPr>
              <w:t>得分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pacing w:val="0"/>
                <w:kern w:val="0"/>
                <w:sz w:val="22"/>
                <w:szCs w:val="22"/>
              </w:rPr>
              <w:t>等次</w:t>
            </w:r>
          </w:p>
        </w:tc>
        <w:tc>
          <w:tcPr>
            <w:tcW w:w="33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92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7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</w:rPr>
              <w:t>一</w:t>
            </w:r>
          </w:p>
        </w:tc>
        <w:tc>
          <w:tcPr>
            <w:tcW w:w="134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水土保持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eastAsia="zh-CN"/>
              </w:rPr>
              <w:t>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重庆市南川区洪塘水库工程</w:t>
            </w: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54.68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不合格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lang w:val="en-US" w:eastAsia="zh-CN"/>
              </w:rPr>
              <w:t>重庆市渝西水利电力勘测设计院有限公司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eastAsia="方正仿宋_GBK" w:cs="Times New Roman"/>
                <w:b w:val="0"/>
                <w:bCs w:val="0"/>
                <w:color w:val="auto"/>
                <w:spacing w:val="0"/>
                <w:kern w:val="0"/>
                <w:sz w:val="20"/>
                <w:szCs w:val="20"/>
                <w:lang w:val="en-US" w:eastAsia="zh-CN" w:bidi="ar-SA"/>
              </w:rPr>
              <w:t>评分项的第1、2、3、5、9项均不合格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渝遂高速公路复线（北碚至铜梁段）弃渣场变更</w:t>
            </w: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60.85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合格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重庆龙翰环保工程有限公司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一纵线农马立交至白彭路立交段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二期（科学大道九龙坡段）</w:t>
            </w: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65.76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合格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重庆信博水程工程设计有限公司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重庆三环高速公路合川至长寿段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水土保持方案变更</w:t>
            </w: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65.44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合格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重庆龙翰环保工程有限公司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G4223武汉至重庆高速公路重庆巫山（鄂渝界）至万州段（一期）</w:t>
            </w: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66.19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合格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招商局重庆交通科研设计院有限公司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白市驿隧道项目</w:t>
            </w: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63.04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合格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重庆骊跃环保工程有限公司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黔江金洞风电项目</w:t>
            </w: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57.04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不合格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广东元河工程技术有限公司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评分项的第1、2、3、5、9项均不合格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重庆荣昌至四川自贡高速公路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（重庆段）</w:t>
            </w: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64.69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合格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重庆后科环保有限责任公司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永川至自贡高速公路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（永川至荣昌段）</w:t>
            </w: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64.10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合格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中铁长江交通设计集团有限公司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云阳建全抽水蓄能电站500千伏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送出工程</w:t>
            </w: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62.46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合格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szCs w:val="22"/>
                <w:lang w:val="en-US" w:eastAsia="zh-CN"/>
              </w:rPr>
              <w:t>湖北君邦环境技术有限责任公司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二</w:t>
            </w:r>
          </w:p>
        </w:tc>
        <w:tc>
          <w:tcPr>
            <w:tcW w:w="134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洪水影响评价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G42沪蓉高速公路奉节至梁平段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安全韧性提升项目</w:t>
            </w: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59.1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不合格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重庆龙翰环保工程有限公司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评分项的第3、4、6、7项均不合格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龙嘴至芭蕉滩龙河两岸农村公路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改建及安全生命防护安装工程</w:t>
            </w: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64.4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合格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重庆龙翰环保工程有限公司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G4223武汉至重庆高速公路重庆巫山（鄂渝界）至万州段（一期）工程</w:t>
            </w: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66.0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合格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中交第一公路勘察设计研究院有限公司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涪江安居电厂船闸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扩能升级改造工程</w:t>
            </w:r>
          </w:p>
        </w:tc>
        <w:tc>
          <w:tcPr>
            <w:tcW w:w="84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65.6</w:t>
            </w:r>
          </w:p>
        </w:tc>
        <w:tc>
          <w:tcPr>
            <w:tcW w:w="9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合格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重庆皇泰工程勘测规划设计有限公司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</w:rPr>
              <w:t>三</w:t>
            </w:r>
          </w:p>
        </w:tc>
        <w:tc>
          <w:tcPr>
            <w:tcW w:w="134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auto"/>
                <w:spacing w:val="0"/>
                <w:kern w:val="0"/>
                <w:sz w:val="24"/>
                <w:szCs w:val="24"/>
              </w:rPr>
              <w:t>取水许可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百岛湖水库工程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64.6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合格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重庆市水利电力建筑勘测设计研究院有限公司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南岸区观景口水厂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67.4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合格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重庆江源工程勘察设计有限公司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南岸区朱家岩水厂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66.8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合格</w:t>
            </w:r>
          </w:p>
        </w:tc>
        <w:tc>
          <w:tcPr>
            <w:tcW w:w="33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kern w:val="0"/>
                <w:sz w:val="22"/>
                <w:szCs w:val="22"/>
                <w:lang w:val="en-US" w:eastAsia="zh-CN" w:bidi="ar-SA"/>
              </w:rPr>
              <w:t>重庆江源工程勘察设计有限公司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right="0"/>
        <w:jc w:val="center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spacing w:val="0"/>
          <w:kern w:val="0"/>
          <w:sz w:val="22"/>
          <w:szCs w:val="22"/>
          <w:lang w:val="en-US" w:eastAsia="zh-CN"/>
        </w:rPr>
        <w:sectPr>
          <w:pgSz w:w="16838" w:h="11906" w:orient="landscape"/>
          <w:pgMar w:top="1984" w:right="1446" w:bottom="1644" w:left="1446" w:header="851" w:footer="1474" w:gutter="0"/>
          <w:pgNumType w:fmt="decimal"/>
          <w:cols w:space="720" w:num="1"/>
          <w:rtlGutter w:val="0"/>
          <w:docGrid w:type="linesAndChars" w:linePitch="321" w:charSpace="945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right="0"/>
        <w:jc w:val="center"/>
        <w:textAlignment w:val="auto"/>
        <w:rPr>
          <w:rFonts w:hint="eastAsia" w:ascii="Times New Roman" w:hAnsi="Times New Roman" w:eastAsia="宋体" w:cs="宋体"/>
          <w:b w:val="0"/>
          <w:bCs w:val="0"/>
          <w:snapToGrid/>
          <w:color w:val="auto"/>
          <w:spacing w:val="0"/>
          <w:kern w:val="0"/>
          <w:sz w:val="22"/>
          <w:szCs w:val="22"/>
          <w:lang w:val="en-US" w:eastAsia="zh-CN"/>
        </w:rPr>
      </w:pPr>
    </w:p>
    <w:sectPr>
      <w:footerReference r:id="rId4" w:type="default"/>
      <w:pgSz w:w="11906" w:h="16838"/>
      <w:pgMar w:top="1984" w:right="1446" w:bottom="1644" w:left="1446" w:header="851" w:footer="1474" w:gutter="0"/>
      <w:pgNumType w:fmt="decimal"/>
      <w:cols w:space="720" w:num="1"/>
      <w:rtlGutter w:val="0"/>
      <w:docGrid w:type="linesAndChars" w:linePitch="312" w:charSpace="9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11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hint="eastAsia"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mwFBQ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hint="eastAsia"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dit="trackedChanges" w:enforcement="0"/>
  <w:defaultTabStop w:val="420"/>
  <w:hyphenationZone w:val="360"/>
  <w:drawingGridHorizontalSpacing w:val="107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F5"/>
    <w:rsid w:val="0000222A"/>
    <w:rsid w:val="00002985"/>
    <w:rsid w:val="000106C7"/>
    <w:rsid w:val="00010B7F"/>
    <w:rsid w:val="00010E13"/>
    <w:rsid w:val="00012CC0"/>
    <w:rsid w:val="00015B19"/>
    <w:rsid w:val="000210C6"/>
    <w:rsid w:val="0002249F"/>
    <w:rsid w:val="00034B44"/>
    <w:rsid w:val="00042F57"/>
    <w:rsid w:val="00045857"/>
    <w:rsid w:val="00051DB1"/>
    <w:rsid w:val="00053FE2"/>
    <w:rsid w:val="00054C75"/>
    <w:rsid w:val="000578A4"/>
    <w:rsid w:val="00060A7D"/>
    <w:rsid w:val="000614B8"/>
    <w:rsid w:val="00066627"/>
    <w:rsid w:val="00073D07"/>
    <w:rsid w:val="00077724"/>
    <w:rsid w:val="00082204"/>
    <w:rsid w:val="000824B4"/>
    <w:rsid w:val="0008552B"/>
    <w:rsid w:val="000858E1"/>
    <w:rsid w:val="0009269F"/>
    <w:rsid w:val="00094587"/>
    <w:rsid w:val="00094C4C"/>
    <w:rsid w:val="000A330A"/>
    <w:rsid w:val="000B578E"/>
    <w:rsid w:val="000C2D9C"/>
    <w:rsid w:val="000C5EDB"/>
    <w:rsid w:val="000C6855"/>
    <w:rsid w:val="000C6A71"/>
    <w:rsid w:val="000D0BF7"/>
    <w:rsid w:val="000D42EB"/>
    <w:rsid w:val="000D4BC1"/>
    <w:rsid w:val="000D56FF"/>
    <w:rsid w:val="000D7905"/>
    <w:rsid w:val="000E0013"/>
    <w:rsid w:val="000E3913"/>
    <w:rsid w:val="000E3C53"/>
    <w:rsid w:val="000E536D"/>
    <w:rsid w:val="000F044F"/>
    <w:rsid w:val="000F6994"/>
    <w:rsid w:val="0010005F"/>
    <w:rsid w:val="0010536B"/>
    <w:rsid w:val="00105E74"/>
    <w:rsid w:val="0010672E"/>
    <w:rsid w:val="00107B9E"/>
    <w:rsid w:val="00111F92"/>
    <w:rsid w:val="001126A6"/>
    <w:rsid w:val="001166E2"/>
    <w:rsid w:val="001305C6"/>
    <w:rsid w:val="00142A30"/>
    <w:rsid w:val="0014650E"/>
    <w:rsid w:val="0015025F"/>
    <w:rsid w:val="00160DB1"/>
    <w:rsid w:val="001653ED"/>
    <w:rsid w:val="00174F85"/>
    <w:rsid w:val="00181821"/>
    <w:rsid w:val="00196BBC"/>
    <w:rsid w:val="001A0FA6"/>
    <w:rsid w:val="001A1323"/>
    <w:rsid w:val="001A639C"/>
    <w:rsid w:val="001A67F5"/>
    <w:rsid w:val="001B2A2F"/>
    <w:rsid w:val="001B4DD9"/>
    <w:rsid w:val="001C00CE"/>
    <w:rsid w:val="001C0D32"/>
    <w:rsid w:val="001C38FB"/>
    <w:rsid w:val="001C4288"/>
    <w:rsid w:val="001C4FF5"/>
    <w:rsid w:val="001C69C8"/>
    <w:rsid w:val="001D46E1"/>
    <w:rsid w:val="001D4F61"/>
    <w:rsid w:val="001D7B6E"/>
    <w:rsid w:val="001E4A19"/>
    <w:rsid w:val="001E52D4"/>
    <w:rsid w:val="001E5C9B"/>
    <w:rsid w:val="001E5F07"/>
    <w:rsid w:val="001F1AFC"/>
    <w:rsid w:val="001F1FCA"/>
    <w:rsid w:val="001F4176"/>
    <w:rsid w:val="0020156E"/>
    <w:rsid w:val="0020252A"/>
    <w:rsid w:val="00203323"/>
    <w:rsid w:val="0022402F"/>
    <w:rsid w:val="00224214"/>
    <w:rsid w:val="00225C72"/>
    <w:rsid w:val="00226215"/>
    <w:rsid w:val="00230246"/>
    <w:rsid w:val="00230E93"/>
    <w:rsid w:val="0023198E"/>
    <w:rsid w:val="00241A77"/>
    <w:rsid w:val="00241CE6"/>
    <w:rsid w:val="00243E66"/>
    <w:rsid w:val="00247C50"/>
    <w:rsid w:val="0025222D"/>
    <w:rsid w:val="00266CA3"/>
    <w:rsid w:val="00266DB5"/>
    <w:rsid w:val="002723BE"/>
    <w:rsid w:val="00274E02"/>
    <w:rsid w:val="00280786"/>
    <w:rsid w:val="002849BB"/>
    <w:rsid w:val="00284BDF"/>
    <w:rsid w:val="002851E2"/>
    <w:rsid w:val="0029406E"/>
    <w:rsid w:val="002968A9"/>
    <w:rsid w:val="002A1637"/>
    <w:rsid w:val="002A4621"/>
    <w:rsid w:val="002A6A3A"/>
    <w:rsid w:val="002B081A"/>
    <w:rsid w:val="002C1F2F"/>
    <w:rsid w:val="002C2F33"/>
    <w:rsid w:val="002C49CC"/>
    <w:rsid w:val="002C5C8B"/>
    <w:rsid w:val="002C64F9"/>
    <w:rsid w:val="002D3146"/>
    <w:rsid w:val="002E5176"/>
    <w:rsid w:val="002E5D5C"/>
    <w:rsid w:val="002E646F"/>
    <w:rsid w:val="002E7D14"/>
    <w:rsid w:val="002F325D"/>
    <w:rsid w:val="00300637"/>
    <w:rsid w:val="00300E6E"/>
    <w:rsid w:val="003173F4"/>
    <w:rsid w:val="003177CB"/>
    <w:rsid w:val="0032115A"/>
    <w:rsid w:val="0032124D"/>
    <w:rsid w:val="00323082"/>
    <w:rsid w:val="003341F6"/>
    <w:rsid w:val="0033493A"/>
    <w:rsid w:val="00340F2F"/>
    <w:rsid w:val="003413A1"/>
    <w:rsid w:val="00341B7D"/>
    <w:rsid w:val="00342EE2"/>
    <w:rsid w:val="00343A0A"/>
    <w:rsid w:val="00343E3B"/>
    <w:rsid w:val="003566A9"/>
    <w:rsid w:val="003579BB"/>
    <w:rsid w:val="003618CD"/>
    <w:rsid w:val="00364375"/>
    <w:rsid w:val="00364FB5"/>
    <w:rsid w:val="0036719F"/>
    <w:rsid w:val="0037182D"/>
    <w:rsid w:val="003727FE"/>
    <w:rsid w:val="0037380D"/>
    <w:rsid w:val="00373E82"/>
    <w:rsid w:val="003740B7"/>
    <w:rsid w:val="00375A6F"/>
    <w:rsid w:val="00381217"/>
    <w:rsid w:val="0038291B"/>
    <w:rsid w:val="00384257"/>
    <w:rsid w:val="0038477C"/>
    <w:rsid w:val="00385D9C"/>
    <w:rsid w:val="00387177"/>
    <w:rsid w:val="00395038"/>
    <w:rsid w:val="00395250"/>
    <w:rsid w:val="0039549D"/>
    <w:rsid w:val="00396468"/>
    <w:rsid w:val="003A3C1B"/>
    <w:rsid w:val="003B3BA7"/>
    <w:rsid w:val="003C16C7"/>
    <w:rsid w:val="003C2569"/>
    <w:rsid w:val="003D27E5"/>
    <w:rsid w:val="003E0C39"/>
    <w:rsid w:val="003F56ED"/>
    <w:rsid w:val="00400B34"/>
    <w:rsid w:val="004012E9"/>
    <w:rsid w:val="00402DF7"/>
    <w:rsid w:val="004074C3"/>
    <w:rsid w:val="00412AE7"/>
    <w:rsid w:val="0041343F"/>
    <w:rsid w:val="00415995"/>
    <w:rsid w:val="00421FF7"/>
    <w:rsid w:val="0042205F"/>
    <w:rsid w:val="0043647C"/>
    <w:rsid w:val="004375B2"/>
    <w:rsid w:val="00441D64"/>
    <w:rsid w:val="00441EB1"/>
    <w:rsid w:val="004421E5"/>
    <w:rsid w:val="00445CF6"/>
    <w:rsid w:val="00446609"/>
    <w:rsid w:val="00450352"/>
    <w:rsid w:val="004634BC"/>
    <w:rsid w:val="004730A7"/>
    <w:rsid w:val="00473999"/>
    <w:rsid w:val="0047477F"/>
    <w:rsid w:val="00476C3C"/>
    <w:rsid w:val="00481FCB"/>
    <w:rsid w:val="00482394"/>
    <w:rsid w:val="004853FF"/>
    <w:rsid w:val="00487729"/>
    <w:rsid w:val="00487DB3"/>
    <w:rsid w:val="00487FC6"/>
    <w:rsid w:val="0049123B"/>
    <w:rsid w:val="00492F52"/>
    <w:rsid w:val="00494394"/>
    <w:rsid w:val="00497B94"/>
    <w:rsid w:val="004A2C29"/>
    <w:rsid w:val="004A5D2B"/>
    <w:rsid w:val="004B0A1B"/>
    <w:rsid w:val="004B1EF0"/>
    <w:rsid w:val="004B4332"/>
    <w:rsid w:val="004B47EC"/>
    <w:rsid w:val="004B5EAA"/>
    <w:rsid w:val="004C621F"/>
    <w:rsid w:val="004D1E85"/>
    <w:rsid w:val="004E24FF"/>
    <w:rsid w:val="004F31AF"/>
    <w:rsid w:val="004F3DDD"/>
    <w:rsid w:val="00501706"/>
    <w:rsid w:val="0050239C"/>
    <w:rsid w:val="005025E0"/>
    <w:rsid w:val="005029EE"/>
    <w:rsid w:val="00503D9E"/>
    <w:rsid w:val="0051008D"/>
    <w:rsid w:val="00511296"/>
    <w:rsid w:val="00513D9E"/>
    <w:rsid w:val="00522472"/>
    <w:rsid w:val="0053013A"/>
    <w:rsid w:val="005309D1"/>
    <w:rsid w:val="005346A2"/>
    <w:rsid w:val="0053635D"/>
    <w:rsid w:val="005404FC"/>
    <w:rsid w:val="0054205D"/>
    <w:rsid w:val="00542208"/>
    <w:rsid w:val="0054280F"/>
    <w:rsid w:val="005461CD"/>
    <w:rsid w:val="005505A5"/>
    <w:rsid w:val="005525DD"/>
    <w:rsid w:val="00552F7D"/>
    <w:rsid w:val="005556CD"/>
    <w:rsid w:val="00560A27"/>
    <w:rsid w:val="00563F72"/>
    <w:rsid w:val="00565059"/>
    <w:rsid w:val="00566561"/>
    <w:rsid w:val="0056770B"/>
    <w:rsid w:val="00570CF7"/>
    <w:rsid w:val="00571CBD"/>
    <w:rsid w:val="00575832"/>
    <w:rsid w:val="00580326"/>
    <w:rsid w:val="00584393"/>
    <w:rsid w:val="00595785"/>
    <w:rsid w:val="005A1DA0"/>
    <w:rsid w:val="005A7B54"/>
    <w:rsid w:val="005B0783"/>
    <w:rsid w:val="005B324B"/>
    <w:rsid w:val="005B4E45"/>
    <w:rsid w:val="005B5BDC"/>
    <w:rsid w:val="005B79F6"/>
    <w:rsid w:val="005C082A"/>
    <w:rsid w:val="005C37BB"/>
    <w:rsid w:val="005E0D93"/>
    <w:rsid w:val="005E3EA7"/>
    <w:rsid w:val="005E3F4C"/>
    <w:rsid w:val="005E4D4E"/>
    <w:rsid w:val="005E64A1"/>
    <w:rsid w:val="005E7528"/>
    <w:rsid w:val="005E7760"/>
    <w:rsid w:val="005F1530"/>
    <w:rsid w:val="005F65F8"/>
    <w:rsid w:val="005F6B74"/>
    <w:rsid w:val="006025AC"/>
    <w:rsid w:val="00602B6A"/>
    <w:rsid w:val="00602C3B"/>
    <w:rsid w:val="006059DC"/>
    <w:rsid w:val="00606342"/>
    <w:rsid w:val="00610B3E"/>
    <w:rsid w:val="00621C74"/>
    <w:rsid w:val="0062544C"/>
    <w:rsid w:val="00631D26"/>
    <w:rsid w:val="00632B55"/>
    <w:rsid w:val="00633BAE"/>
    <w:rsid w:val="00644F12"/>
    <w:rsid w:val="00656C59"/>
    <w:rsid w:val="0066076A"/>
    <w:rsid w:val="00665247"/>
    <w:rsid w:val="00665C4A"/>
    <w:rsid w:val="006713DB"/>
    <w:rsid w:val="0067184B"/>
    <w:rsid w:val="0067304E"/>
    <w:rsid w:val="00674A10"/>
    <w:rsid w:val="00676555"/>
    <w:rsid w:val="00682D9E"/>
    <w:rsid w:val="00690B59"/>
    <w:rsid w:val="00693623"/>
    <w:rsid w:val="0069779B"/>
    <w:rsid w:val="006A4A77"/>
    <w:rsid w:val="006A7358"/>
    <w:rsid w:val="006B4CD5"/>
    <w:rsid w:val="006B5FA2"/>
    <w:rsid w:val="006B684F"/>
    <w:rsid w:val="006C0D70"/>
    <w:rsid w:val="006C2788"/>
    <w:rsid w:val="006C6631"/>
    <w:rsid w:val="006D79E8"/>
    <w:rsid w:val="006E1573"/>
    <w:rsid w:val="006E594C"/>
    <w:rsid w:val="006E790F"/>
    <w:rsid w:val="006F1AD4"/>
    <w:rsid w:val="006F40B1"/>
    <w:rsid w:val="00702850"/>
    <w:rsid w:val="007038E7"/>
    <w:rsid w:val="0070479C"/>
    <w:rsid w:val="007069C5"/>
    <w:rsid w:val="00717DBA"/>
    <w:rsid w:val="00721A6A"/>
    <w:rsid w:val="00721C87"/>
    <w:rsid w:val="00724F00"/>
    <w:rsid w:val="007308EF"/>
    <w:rsid w:val="0073133C"/>
    <w:rsid w:val="00735478"/>
    <w:rsid w:val="00743028"/>
    <w:rsid w:val="007470EF"/>
    <w:rsid w:val="00747AFB"/>
    <w:rsid w:val="00752D06"/>
    <w:rsid w:val="007560EF"/>
    <w:rsid w:val="007565BC"/>
    <w:rsid w:val="00760841"/>
    <w:rsid w:val="007701B7"/>
    <w:rsid w:val="00772644"/>
    <w:rsid w:val="00774822"/>
    <w:rsid w:val="00775274"/>
    <w:rsid w:val="00776698"/>
    <w:rsid w:val="007779EA"/>
    <w:rsid w:val="00780808"/>
    <w:rsid w:val="007848A3"/>
    <w:rsid w:val="00785F5F"/>
    <w:rsid w:val="007929B0"/>
    <w:rsid w:val="007968BB"/>
    <w:rsid w:val="007A1430"/>
    <w:rsid w:val="007A4E97"/>
    <w:rsid w:val="007A5CA9"/>
    <w:rsid w:val="007B1995"/>
    <w:rsid w:val="007B2191"/>
    <w:rsid w:val="007B274F"/>
    <w:rsid w:val="007B38E0"/>
    <w:rsid w:val="007B478C"/>
    <w:rsid w:val="007B5204"/>
    <w:rsid w:val="007B67C5"/>
    <w:rsid w:val="007BD16E"/>
    <w:rsid w:val="007D1EF7"/>
    <w:rsid w:val="007D5EDB"/>
    <w:rsid w:val="007E1D0B"/>
    <w:rsid w:val="007E2061"/>
    <w:rsid w:val="007E20A6"/>
    <w:rsid w:val="007E227E"/>
    <w:rsid w:val="007F7013"/>
    <w:rsid w:val="008026D0"/>
    <w:rsid w:val="0080310E"/>
    <w:rsid w:val="00805247"/>
    <w:rsid w:val="0080654C"/>
    <w:rsid w:val="00813C1B"/>
    <w:rsid w:val="00820DAE"/>
    <w:rsid w:val="00822525"/>
    <w:rsid w:val="008257E0"/>
    <w:rsid w:val="008276F5"/>
    <w:rsid w:val="00834F09"/>
    <w:rsid w:val="00835408"/>
    <w:rsid w:val="00835CC4"/>
    <w:rsid w:val="00836FDD"/>
    <w:rsid w:val="00837DC3"/>
    <w:rsid w:val="00842030"/>
    <w:rsid w:val="00843913"/>
    <w:rsid w:val="00843C28"/>
    <w:rsid w:val="00846014"/>
    <w:rsid w:val="00851890"/>
    <w:rsid w:val="008607D5"/>
    <w:rsid w:val="00861530"/>
    <w:rsid w:val="008679EC"/>
    <w:rsid w:val="00872C5D"/>
    <w:rsid w:val="00877BA3"/>
    <w:rsid w:val="0088177C"/>
    <w:rsid w:val="00881D9E"/>
    <w:rsid w:val="00885470"/>
    <w:rsid w:val="00890784"/>
    <w:rsid w:val="00891398"/>
    <w:rsid w:val="00892431"/>
    <w:rsid w:val="00893322"/>
    <w:rsid w:val="008955CB"/>
    <w:rsid w:val="008A12B3"/>
    <w:rsid w:val="008A1A45"/>
    <w:rsid w:val="008A7569"/>
    <w:rsid w:val="008B69DB"/>
    <w:rsid w:val="008B76A8"/>
    <w:rsid w:val="008C65A0"/>
    <w:rsid w:val="008D3FDA"/>
    <w:rsid w:val="008D5C06"/>
    <w:rsid w:val="008F5B91"/>
    <w:rsid w:val="0090499E"/>
    <w:rsid w:val="00906002"/>
    <w:rsid w:val="00906389"/>
    <w:rsid w:val="00920D7A"/>
    <w:rsid w:val="009210EC"/>
    <w:rsid w:val="0092250F"/>
    <w:rsid w:val="0092524A"/>
    <w:rsid w:val="0092727B"/>
    <w:rsid w:val="0092770B"/>
    <w:rsid w:val="009320ED"/>
    <w:rsid w:val="00932D9A"/>
    <w:rsid w:val="00933CC7"/>
    <w:rsid w:val="00940E16"/>
    <w:rsid w:val="00950D2D"/>
    <w:rsid w:val="00951233"/>
    <w:rsid w:val="0095165E"/>
    <w:rsid w:val="00954BD8"/>
    <w:rsid w:val="00954CF9"/>
    <w:rsid w:val="009603E0"/>
    <w:rsid w:val="009610C2"/>
    <w:rsid w:val="009667FF"/>
    <w:rsid w:val="00967ED5"/>
    <w:rsid w:val="00973CAE"/>
    <w:rsid w:val="00980F9F"/>
    <w:rsid w:val="009810F7"/>
    <w:rsid w:val="00983981"/>
    <w:rsid w:val="00985DF9"/>
    <w:rsid w:val="00991EA8"/>
    <w:rsid w:val="009A2B9A"/>
    <w:rsid w:val="009A6435"/>
    <w:rsid w:val="009A6B57"/>
    <w:rsid w:val="009B1B1F"/>
    <w:rsid w:val="009B2785"/>
    <w:rsid w:val="009B35AF"/>
    <w:rsid w:val="009B6BD1"/>
    <w:rsid w:val="009B6DA6"/>
    <w:rsid w:val="009C1BD2"/>
    <w:rsid w:val="009D33DD"/>
    <w:rsid w:val="009D640C"/>
    <w:rsid w:val="009D7920"/>
    <w:rsid w:val="009E0A87"/>
    <w:rsid w:val="009E50F0"/>
    <w:rsid w:val="009F01EE"/>
    <w:rsid w:val="009F5E48"/>
    <w:rsid w:val="00A03F97"/>
    <w:rsid w:val="00A06D18"/>
    <w:rsid w:val="00A07088"/>
    <w:rsid w:val="00A10072"/>
    <w:rsid w:val="00A14051"/>
    <w:rsid w:val="00A14A1C"/>
    <w:rsid w:val="00A179D6"/>
    <w:rsid w:val="00A25E46"/>
    <w:rsid w:val="00A312AF"/>
    <w:rsid w:val="00A31AB6"/>
    <w:rsid w:val="00A3362B"/>
    <w:rsid w:val="00A40D4E"/>
    <w:rsid w:val="00A411A9"/>
    <w:rsid w:val="00A41DE5"/>
    <w:rsid w:val="00A4462B"/>
    <w:rsid w:val="00A4549E"/>
    <w:rsid w:val="00A542F6"/>
    <w:rsid w:val="00A61247"/>
    <w:rsid w:val="00A61321"/>
    <w:rsid w:val="00A637BD"/>
    <w:rsid w:val="00A643F5"/>
    <w:rsid w:val="00A717C6"/>
    <w:rsid w:val="00A74191"/>
    <w:rsid w:val="00A77EBF"/>
    <w:rsid w:val="00A861A7"/>
    <w:rsid w:val="00A908DB"/>
    <w:rsid w:val="00A9133F"/>
    <w:rsid w:val="00A91C8A"/>
    <w:rsid w:val="00A93F8D"/>
    <w:rsid w:val="00AB0F22"/>
    <w:rsid w:val="00AB5204"/>
    <w:rsid w:val="00AB538F"/>
    <w:rsid w:val="00AB60CA"/>
    <w:rsid w:val="00AB60DE"/>
    <w:rsid w:val="00AC191D"/>
    <w:rsid w:val="00AC4803"/>
    <w:rsid w:val="00AC719E"/>
    <w:rsid w:val="00AC7C81"/>
    <w:rsid w:val="00AD5EE9"/>
    <w:rsid w:val="00AE1FCD"/>
    <w:rsid w:val="00AE3A51"/>
    <w:rsid w:val="00AE685C"/>
    <w:rsid w:val="00AF100C"/>
    <w:rsid w:val="00AF4DDE"/>
    <w:rsid w:val="00B10EAD"/>
    <w:rsid w:val="00B117AD"/>
    <w:rsid w:val="00B12600"/>
    <w:rsid w:val="00B14B0D"/>
    <w:rsid w:val="00B16098"/>
    <w:rsid w:val="00B211FF"/>
    <w:rsid w:val="00B22C7B"/>
    <w:rsid w:val="00B27565"/>
    <w:rsid w:val="00B41BE7"/>
    <w:rsid w:val="00B43CB0"/>
    <w:rsid w:val="00B52941"/>
    <w:rsid w:val="00B549F0"/>
    <w:rsid w:val="00B54DDE"/>
    <w:rsid w:val="00B575E4"/>
    <w:rsid w:val="00B609AA"/>
    <w:rsid w:val="00B6165F"/>
    <w:rsid w:val="00B64437"/>
    <w:rsid w:val="00B66287"/>
    <w:rsid w:val="00B7352D"/>
    <w:rsid w:val="00B7496D"/>
    <w:rsid w:val="00B764BB"/>
    <w:rsid w:val="00B82436"/>
    <w:rsid w:val="00B83268"/>
    <w:rsid w:val="00B93C5A"/>
    <w:rsid w:val="00B94BE5"/>
    <w:rsid w:val="00BA0651"/>
    <w:rsid w:val="00BA6507"/>
    <w:rsid w:val="00BA6546"/>
    <w:rsid w:val="00BC1367"/>
    <w:rsid w:val="00BC4150"/>
    <w:rsid w:val="00BC5015"/>
    <w:rsid w:val="00BC64DA"/>
    <w:rsid w:val="00BD2124"/>
    <w:rsid w:val="00BD2C9C"/>
    <w:rsid w:val="00BD4B12"/>
    <w:rsid w:val="00BD6E8B"/>
    <w:rsid w:val="00BE2020"/>
    <w:rsid w:val="00BE2C05"/>
    <w:rsid w:val="00BF2C47"/>
    <w:rsid w:val="00BF4BEB"/>
    <w:rsid w:val="00BF648E"/>
    <w:rsid w:val="00BF6F91"/>
    <w:rsid w:val="00C02F04"/>
    <w:rsid w:val="00C1112D"/>
    <w:rsid w:val="00C12228"/>
    <w:rsid w:val="00C16FDA"/>
    <w:rsid w:val="00C2076E"/>
    <w:rsid w:val="00C212DC"/>
    <w:rsid w:val="00C2577B"/>
    <w:rsid w:val="00C25860"/>
    <w:rsid w:val="00C26879"/>
    <w:rsid w:val="00C27335"/>
    <w:rsid w:val="00C32F68"/>
    <w:rsid w:val="00C35E8E"/>
    <w:rsid w:val="00C40C25"/>
    <w:rsid w:val="00C419BB"/>
    <w:rsid w:val="00C447B7"/>
    <w:rsid w:val="00C5050B"/>
    <w:rsid w:val="00C6272A"/>
    <w:rsid w:val="00C62CB3"/>
    <w:rsid w:val="00C64DF9"/>
    <w:rsid w:val="00C70823"/>
    <w:rsid w:val="00C76B7E"/>
    <w:rsid w:val="00C77032"/>
    <w:rsid w:val="00C81B99"/>
    <w:rsid w:val="00C82709"/>
    <w:rsid w:val="00C830C6"/>
    <w:rsid w:val="00C83246"/>
    <w:rsid w:val="00C941DF"/>
    <w:rsid w:val="00C9604C"/>
    <w:rsid w:val="00CA17E7"/>
    <w:rsid w:val="00CA321F"/>
    <w:rsid w:val="00CA7C7D"/>
    <w:rsid w:val="00CB349A"/>
    <w:rsid w:val="00CB36AC"/>
    <w:rsid w:val="00CC3D2C"/>
    <w:rsid w:val="00CD2AAF"/>
    <w:rsid w:val="00CD4C60"/>
    <w:rsid w:val="00CD74CA"/>
    <w:rsid w:val="00CD7728"/>
    <w:rsid w:val="00CE1425"/>
    <w:rsid w:val="00CE30A3"/>
    <w:rsid w:val="00CF26A6"/>
    <w:rsid w:val="00CF4CCE"/>
    <w:rsid w:val="00CF7869"/>
    <w:rsid w:val="00D03B94"/>
    <w:rsid w:val="00D04340"/>
    <w:rsid w:val="00D06A92"/>
    <w:rsid w:val="00D10834"/>
    <w:rsid w:val="00D30CBE"/>
    <w:rsid w:val="00D30D2F"/>
    <w:rsid w:val="00D31425"/>
    <w:rsid w:val="00D315E1"/>
    <w:rsid w:val="00D33832"/>
    <w:rsid w:val="00D435F6"/>
    <w:rsid w:val="00D442C9"/>
    <w:rsid w:val="00D4449E"/>
    <w:rsid w:val="00D44A5B"/>
    <w:rsid w:val="00D50206"/>
    <w:rsid w:val="00D51E4B"/>
    <w:rsid w:val="00D55502"/>
    <w:rsid w:val="00D5664D"/>
    <w:rsid w:val="00D56DE1"/>
    <w:rsid w:val="00D61A87"/>
    <w:rsid w:val="00D61E3C"/>
    <w:rsid w:val="00D6274F"/>
    <w:rsid w:val="00D64DED"/>
    <w:rsid w:val="00D656AE"/>
    <w:rsid w:val="00D710BE"/>
    <w:rsid w:val="00D75EB1"/>
    <w:rsid w:val="00D80442"/>
    <w:rsid w:val="00D8056E"/>
    <w:rsid w:val="00D8741C"/>
    <w:rsid w:val="00D90516"/>
    <w:rsid w:val="00D92568"/>
    <w:rsid w:val="00D96325"/>
    <w:rsid w:val="00D972CC"/>
    <w:rsid w:val="00D97BC6"/>
    <w:rsid w:val="00DA3B8B"/>
    <w:rsid w:val="00DA43B2"/>
    <w:rsid w:val="00DA5BCF"/>
    <w:rsid w:val="00DA643E"/>
    <w:rsid w:val="00DB26B8"/>
    <w:rsid w:val="00DC03A9"/>
    <w:rsid w:val="00DC0EFE"/>
    <w:rsid w:val="00DC5505"/>
    <w:rsid w:val="00DD126F"/>
    <w:rsid w:val="00DE3A82"/>
    <w:rsid w:val="00DF2188"/>
    <w:rsid w:val="00DF640B"/>
    <w:rsid w:val="00DF7E5B"/>
    <w:rsid w:val="00E00477"/>
    <w:rsid w:val="00E01008"/>
    <w:rsid w:val="00E10BDE"/>
    <w:rsid w:val="00E12F0E"/>
    <w:rsid w:val="00E13405"/>
    <w:rsid w:val="00E141BE"/>
    <w:rsid w:val="00E21277"/>
    <w:rsid w:val="00E21A23"/>
    <w:rsid w:val="00E22C8A"/>
    <w:rsid w:val="00E23455"/>
    <w:rsid w:val="00E23F3B"/>
    <w:rsid w:val="00E24234"/>
    <w:rsid w:val="00E26015"/>
    <w:rsid w:val="00E34B36"/>
    <w:rsid w:val="00E43F2E"/>
    <w:rsid w:val="00E451CF"/>
    <w:rsid w:val="00E4730D"/>
    <w:rsid w:val="00E50538"/>
    <w:rsid w:val="00E539FB"/>
    <w:rsid w:val="00E54264"/>
    <w:rsid w:val="00E563AE"/>
    <w:rsid w:val="00E56CEF"/>
    <w:rsid w:val="00E56F23"/>
    <w:rsid w:val="00E57A9E"/>
    <w:rsid w:val="00E60C2C"/>
    <w:rsid w:val="00E71373"/>
    <w:rsid w:val="00E724D4"/>
    <w:rsid w:val="00E72A2C"/>
    <w:rsid w:val="00E737B2"/>
    <w:rsid w:val="00E74A0D"/>
    <w:rsid w:val="00E8055B"/>
    <w:rsid w:val="00E852E4"/>
    <w:rsid w:val="00E90F11"/>
    <w:rsid w:val="00E9173A"/>
    <w:rsid w:val="00E9761B"/>
    <w:rsid w:val="00E976DD"/>
    <w:rsid w:val="00EA1E89"/>
    <w:rsid w:val="00EA3FF1"/>
    <w:rsid w:val="00EB67E6"/>
    <w:rsid w:val="00EC073C"/>
    <w:rsid w:val="00EC2C2D"/>
    <w:rsid w:val="00EC3DE7"/>
    <w:rsid w:val="00ED15A5"/>
    <w:rsid w:val="00ED1BBB"/>
    <w:rsid w:val="00ED28BB"/>
    <w:rsid w:val="00ED69F9"/>
    <w:rsid w:val="00EE12CC"/>
    <w:rsid w:val="00EE55E1"/>
    <w:rsid w:val="00EE5ADE"/>
    <w:rsid w:val="00EF2CC1"/>
    <w:rsid w:val="00EF5687"/>
    <w:rsid w:val="00F01334"/>
    <w:rsid w:val="00F07A6C"/>
    <w:rsid w:val="00F1121A"/>
    <w:rsid w:val="00F20F14"/>
    <w:rsid w:val="00F23DDE"/>
    <w:rsid w:val="00F241B4"/>
    <w:rsid w:val="00F24207"/>
    <w:rsid w:val="00F24B6D"/>
    <w:rsid w:val="00F27EF1"/>
    <w:rsid w:val="00F41483"/>
    <w:rsid w:val="00F42617"/>
    <w:rsid w:val="00F449AC"/>
    <w:rsid w:val="00F4519A"/>
    <w:rsid w:val="00F56BC4"/>
    <w:rsid w:val="00F62076"/>
    <w:rsid w:val="00F62C93"/>
    <w:rsid w:val="00F63C80"/>
    <w:rsid w:val="00F67897"/>
    <w:rsid w:val="00F67CD0"/>
    <w:rsid w:val="00F70882"/>
    <w:rsid w:val="00F70D17"/>
    <w:rsid w:val="00F70EF0"/>
    <w:rsid w:val="00F73D5A"/>
    <w:rsid w:val="00F76CC1"/>
    <w:rsid w:val="00F77919"/>
    <w:rsid w:val="00F81E96"/>
    <w:rsid w:val="00F8634F"/>
    <w:rsid w:val="00F87841"/>
    <w:rsid w:val="00F92B52"/>
    <w:rsid w:val="00F936E6"/>
    <w:rsid w:val="00F9427E"/>
    <w:rsid w:val="00FA6CD5"/>
    <w:rsid w:val="00FA6D62"/>
    <w:rsid w:val="00FB61DF"/>
    <w:rsid w:val="00FB76B8"/>
    <w:rsid w:val="00FC0910"/>
    <w:rsid w:val="00FC16BF"/>
    <w:rsid w:val="00FC194A"/>
    <w:rsid w:val="00FC1FCA"/>
    <w:rsid w:val="00FC28B8"/>
    <w:rsid w:val="00FD51D7"/>
    <w:rsid w:val="00FD785C"/>
    <w:rsid w:val="00FE1AE1"/>
    <w:rsid w:val="00FE1E63"/>
    <w:rsid w:val="00FE2783"/>
    <w:rsid w:val="00FE2B18"/>
    <w:rsid w:val="00FE3072"/>
    <w:rsid w:val="00FE366E"/>
    <w:rsid w:val="00FE4B35"/>
    <w:rsid w:val="00FE5CC3"/>
    <w:rsid w:val="00FE6D22"/>
    <w:rsid w:val="00FE7B93"/>
    <w:rsid w:val="00FF3346"/>
    <w:rsid w:val="00FF5850"/>
    <w:rsid w:val="00FF7241"/>
    <w:rsid w:val="03B93A86"/>
    <w:rsid w:val="07357995"/>
    <w:rsid w:val="0A5C2A5A"/>
    <w:rsid w:val="0EFB92CE"/>
    <w:rsid w:val="0F6E6094"/>
    <w:rsid w:val="107A53D2"/>
    <w:rsid w:val="1232655D"/>
    <w:rsid w:val="1362D33B"/>
    <w:rsid w:val="139F2D1B"/>
    <w:rsid w:val="14127CD6"/>
    <w:rsid w:val="15CF0616"/>
    <w:rsid w:val="1810032A"/>
    <w:rsid w:val="199FE4F7"/>
    <w:rsid w:val="1BD57AE9"/>
    <w:rsid w:val="1BDF01CC"/>
    <w:rsid w:val="1BEFCF43"/>
    <w:rsid w:val="1CAFCBBB"/>
    <w:rsid w:val="1D0E21DE"/>
    <w:rsid w:val="1E7FDB9E"/>
    <w:rsid w:val="1F773EE2"/>
    <w:rsid w:val="1FD654FF"/>
    <w:rsid w:val="233F603F"/>
    <w:rsid w:val="23545DCF"/>
    <w:rsid w:val="26F7BFB1"/>
    <w:rsid w:val="276C211E"/>
    <w:rsid w:val="27751194"/>
    <w:rsid w:val="27EF4804"/>
    <w:rsid w:val="2A080797"/>
    <w:rsid w:val="2A8C2ADD"/>
    <w:rsid w:val="2AC4299B"/>
    <w:rsid w:val="2CE74064"/>
    <w:rsid w:val="2E77581D"/>
    <w:rsid w:val="2F7F329C"/>
    <w:rsid w:val="2F8B1CAB"/>
    <w:rsid w:val="2FF6E9FA"/>
    <w:rsid w:val="319C4086"/>
    <w:rsid w:val="32AB49EF"/>
    <w:rsid w:val="33FC0CE3"/>
    <w:rsid w:val="34015588"/>
    <w:rsid w:val="35CE44A5"/>
    <w:rsid w:val="35EF02A7"/>
    <w:rsid w:val="36BF6ABE"/>
    <w:rsid w:val="36F3F06F"/>
    <w:rsid w:val="377176EB"/>
    <w:rsid w:val="37E6F78B"/>
    <w:rsid w:val="37F7A62A"/>
    <w:rsid w:val="37FB363B"/>
    <w:rsid w:val="37FB684E"/>
    <w:rsid w:val="37FC4285"/>
    <w:rsid w:val="37FD201F"/>
    <w:rsid w:val="3A5C3B25"/>
    <w:rsid w:val="3A7C2F1B"/>
    <w:rsid w:val="3B5F55EB"/>
    <w:rsid w:val="3B884FDC"/>
    <w:rsid w:val="3BC404EC"/>
    <w:rsid w:val="3BF6D5B0"/>
    <w:rsid w:val="3BF71285"/>
    <w:rsid w:val="3CBD22EC"/>
    <w:rsid w:val="3CBED503"/>
    <w:rsid w:val="3D6FC55A"/>
    <w:rsid w:val="3DBFD1C0"/>
    <w:rsid w:val="3DBFD9EB"/>
    <w:rsid w:val="3DC77B38"/>
    <w:rsid w:val="3DD563D0"/>
    <w:rsid w:val="3DD7ECCA"/>
    <w:rsid w:val="3DFB4EDE"/>
    <w:rsid w:val="3DFE7B06"/>
    <w:rsid w:val="3EFF658B"/>
    <w:rsid w:val="3F3D74F4"/>
    <w:rsid w:val="3F5BD236"/>
    <w:rsid w:val="3F977376"/>
    <w:rsid w:val="3FD72040"/>
    <w:rsid w:val="3FDF0FD1"/>
    <w:rsid w:val="3FFB1049"/>
    <w:rsid w:val="3FFDB40A"/>
    <w:rsid w:val="41DD178C"/>
    <w:rsid w:val="42B70F4D"/>
    <w:rsid w:val="45FED43A"/>
    <w:rsid w:val="471769C0"/>
    <w:rsid w:val="4731143B"/>
    <w:rsid w:val="47C32DDD"/>
    <w:rsid w:val="47F803D7"/>
    <w:rsid w:val="47FE142F"/>
    <w:rsid w:val="48820891"/>
    <w:rsid w:val="4BF6C3C1"/>
    <w:rsid w:val="4C7255DF"/>
    <w:rsid w:val="4C9D4F82"/>
    <w:rsid w:val="4DC75E35"/>
    <w:rsid w:val="4F6DAC28"/>
    <w:rsid w:val="4F7DCD44"/>
    <w:rsid w:val="4FAFA63F"/>
    <w:rsid w:val="4FDE4F61"/>
    <w:rsid w:val="4FDF09B0"/>
    <w:rsid w:val="4FEF825D"/>
    <w:rsid w:val="4FFBF581"/>
    <w:rsid w:val="50A90580"/>
    <w:rsid w:val="51EF4529"/>
    <w:rsid w:val="52BFC2B8"/>
    <w:rsid w:val="539FA64D"/>
    <w:rsid w:val="546F5A6A"/>
    <w:rsid w:val="54720DB5"/>
    <w:rsid w:val="552B838F"/>
    <w:rsid w:val="556F5645"/>
    <w:rsid w:val="55BDC7FF"/>
    <w:rsid w:val="569B5141"/>
    <w:rsid w:val="56FFA6A9"/>
    <w:rsid w:val="576FF438"/>
    <w:rsid w:val="57BA1786"/>
    <w:rsid w:val="57DFE770"/>
    <w:rsid w:val="57ED9532"/>
    <w:rsid w:val="5A8E12AB"/>
    <w:rsid w:val="5AF5383F"/>
    <w:rsid w:val="5B806669"/>
    <w:rsid w:val="5C7FE907"/>
    <w:rsid w:val="5CBD594F"/>
    <w:rsid w:val="5CDF7364"/>
    <w:rsid w:val="5CFBCF3A"/>
    <w:rsid w:val="5CFF28A6"/>
    <w:rsid w:val="5D453F16"/>
    <w:rsid w:val="5D4F369C"/>
    <w:rsid w:val="5D5E5526"/>
    <w:rsid w:val="5D6A84E9"/>
    <w:rsid w:val="5E9A0819"/>
    <w:rsid w:val="5EDE02B6"/>
    <w:rsid w:val="5EDE23B9"/>
    <w:rsid w:val="5EEF92C9"/>
    <w:rsid w:val="5EF4A361"/>
    <w:rsid w:val="5EFF0D50"/>
    <w:rsid w:val="5F37C276"/>
    <w:rsid w:val="5F5F38E8"/>
    <w:rsid w:val="5F6E8F02"/>
    <w:rsid w:val="5F7E1261"/>
    <w:rsid w:val="5FB9FB7D"/>
    <w:rsid w:val="5FBF329E"/>
    <w:rsid w:val="5FD2A519"/>
    <w:rsid w:val="5FD7CE0F"/>
    <w:rsid w:val="5FEB4711"/>
    <w:rsid w:val="5FF5209A"/>
    <w:rsid w:val="5FF697CB"/>
    <w:rsid w:val="5FFB9C7E"/>
    <w:rsid w:val="5FFBD00C"/>
    <w:rsid w:val="5FFD717E"/>
    <w:rsid w:val="5FFF4F78"/>
    <w:rsid w:val="5FFFB42D"/>
    <w:rsid w:val="5FFFC57C"/>
    <w:rsid w:val="61FF40A9"/>
    <w:rsid w:val="63164666"/>
    <w:rsid w:val="632EFEE9"/>
    <w:rsid w:val="63BF9C1A"/>
    <w:rsid w:val="63FB789F"/>
    <w:rsid w:val="63FDF51E"/>
    <w:rsid w:val="657E2AEE"/>
    <w:rsid w:val="65DFE745"/>
    <w:rsid w:val="66BFC732"/>
    <w:rsid w:val="66FF93D7"/>
    <w:rsid w:val="66FFAE83"/>
    <w:rsid w:val="67173653"/>
    <w:rsid w:val="675F180E"/>
    <w:rsid w:val="67F9C0D3"/>
    <w:rsid w:val="68267A87"/>
    <w:rsid w:val="697B46CD"/>
    <w:rsid w:val="69D75834"/>
    <w:rsid w:val="69FBB432"/>
    <w:rsid w:val="6B5E46F2"/>
    <w:rsid w:val="6B76ED64"/>
    <w:rsid w:val="6BDF953F"/>
    <w:rsid w:val="6C0925CB"/>
    <w:rsid w:val="6C777BE8"/>
    <w:rsid w:val="6CB7C56D"/>
    <w:rsid w:val="6D375171"/>
    <w:rsid w:val="6DFFD52E"/>
    <w:rsid w:val="6E1F0635"/>
    <w:rsid w:val="6E7FD3EB"/>
    <w:rsid w:val="6EC953C7"/>
    <w:rsid w:val="6EEA01EC"/>
    <w:rsid w:val="6EFE5015"/>
    <w:rsid w:val="6F6E137E"/>
    <w:rsid w:val="6F7AABC5"/>
    <w:rsid w:val="6FAF1E1F"/>
    <w:rsid w:val="6FB7248D"/>
    <w:rsid w:val="6FBDB4E3"/>
    <w:rsid w:val="6FBFC55B"/>
    <w:rsid w:val="6FC94EE3"/>
    <w:rsid w:val="6FD5E65E"/>
    <w:rsid w:val="6FF0697D"/>
    <w:rsid w:val="6FFF5F3A"/>
    <w:rsid w:val="6FFFB8A5"/>
    <w:rsid w:val="6FFFEAC3"/>
    <w:rsid w:val="7193024A"/>
    <w:rsid w:val="71EFD5FE"/>
    <w:rsid w:val="72C21798"/>
    <w:rsid w:val="736D0CB0"/>
    <w:rsid w:val="73932290"/>
    <w:rsid w:val="73AF517C"/>
    <w:rsid w:val="73AFF4D5"/>
    <w:rsid w:val="741A7E83"/>
    <w:rsid w:val="74BE3097"/>
    <w:rsid w:val="74EB1335"/>
    <w:rsid w:val="74EFC7B5"/>
    <w:rsid w:val="75CD6CC9"/>
    <w:rsid w:val="75D8663F"/>
    <w:rsid w:val="75E98086"/>
    <w:rsid w:val="75EF54FD"/>
    <w:rsid w:val="75FEA507"/>
    <w:rsid w:val="75FFA919"/>
    <w:rsid w:val="767BB557"/>
    <w:rsid w:val="76ED8085"/>
    <w:rsid w:val="76FFEB4E"/>
    <w:rsid w:val="77674EA6"/>
    <w:rsid w:val="77A79B85"/>
    <w:rsid w:val="77A9323D"/>
    <w:rsid w:val="77BBC020"/>
    <w:rsid w:val="77BF5C5A"/>
    <w:rsid w:val="77D98071"/>
    <w:rsid w:val="77EF5DE7"/>
    <w:rsid w:val="77EF9A2C"/>
    <w:rsid w:val="77FF1982"/>
    <w:rsid w:val="77FF69CC"/>
    <w:rsid w:val="77FF7F1C"/>
    <w:rsid w:val="7A4F1BC0"/>
    <w:rsid w:val="7AAFF8FE"/>
    <w:rsid w:val="7ACF9AB3"/>
    <w:rsid w:val="7AEC944A"/>
    <w:rsid w:val="7AFFFFEE"/>
    <w:rsid w:val="7B3FA8F5"/>
    <w:rsid w:val="7B4F9390"/>
    <w:rsid w:val="7B6F8E49"/>
    <w:rsid w:val="7B7912E4"/>
    <w:rsid w:val="7B7F1A4E"/>
    <w:rsid w:val="7BAFF596"/>
    <w:rsid w:val="7BBB46DF"/>
    <w:rsid w:val="7BBB6EEA"/>
    <w:rsid w:val="7BEB6C1D"/>
    <w:rsid w:val="7BEE1C43"/>
    <w:rsid w:val="7BF70A0B"/>
    <w:rsid w:val="7BF73460"/>
    <w:rsid w:val="7BF7901B"/>
    <w:rsid w:val="7BF79958"/>
    <w:rsid w:val="7BFC1290"/>
    <w:rsid w:val="7BFEB74C"/>
    <w:rsid w:val="7C780C7C"/>
    <w:rsid w:val="7CBF689A"/>
    <w:rsid w:val="7D4D63CB"/>
    <w:rsid w:val="7DBD9F9C"/>
    <w:rsid w:val="7DBFFFD1"/>
    <w:rsid w:val="7DC01454"/>
    <w:rsid w:val="7DDD6FE5"/>
    <w:rsid w:val="7DFA27B5"/>
    <w:rsid w:val="7E10482C"/>
    <w:rsid w:val="7E6DCA89"/>
    <w:rsid w:val="7E7DB9B3"/>
    <w:rsid w:val="7E7E9A49"/>
    <w:rsid w:val="7E9B4AC9"/>
    <w:rsid w:val="7E9B805C"/>
    <w:rsid w:val="7E9D0EDB"/>
    <w:rsid w:val="7ECDE95F"/>
    <w:rsid w:val="7EDBCDB7"/>
    <w:rsid w:val="7EE5C391"/>
    <w:rsid w:val="7EE5C80F"/>
    <w:rsid w:val="7EE92D96"/>
    <w:rsid w:val="7EED5B97"/>
    <w:rsid w:val="7EEF97C1"/>
    <w:rsid w:val="7EF7E18B"/>
    <w:rsid w:val="7EFEF34A"/>
    <w:rsid w:val="7EFF895A"/>
    <w:rsid w:val="7EFFF661"/>
    <w:rsid w:val="7F1AD82B"/>
    <w:rsid w:val="7F1F96A3"/>
    <w:rsid w:val="7F2C085B"/>
    <w:rsid w:val="7F378DAB"/>
    <w:rsid w:val="7F3ED160"/>
    <w:rsid w:val="7F3F39D2"/>
    <w:rsid w:val="7F3F6C81"/>
    <w:rsid w:val="7F4176F6"/>
    <w:rsid w:val="7F479970"/>
    <w:rsid w:val="7F510DA9"/>
    <w:rsid w:val="7F5F873C"/>
    <w:rsid w:val="7F6F2B9D"/>
    <w:rsid w:val="7F75AD90"/>
    <w:rsid w:val="7F7A548C"/>
    <w:rsid w:val="7F7B8C38"/>
    <w:rsid w:val="7F7F8DA4"/>
    <w:rsid w:val="7F7FF2A1"/>
    <w:rsid w:val="7FAEB7C8"/>
    <w:rsid w:val="7FB348D6"/>
    <w:rsid w:val="7FB3CB6C"/>
    <w:rsid w:val="7FB772C1"/>
    <w:rsid w:val="7FBA948D"/>
    <w:rsid w:val="7FBEA94F"/>
    <w:rsid w:val="7FBF5D53"/>
    <w:rsid w:val="7FBFBADA"/>
    <w:rsid w:val="7FC71F23"/>
    <w:rsid w:val="7FCEC44B"/>
    <w:rsid w:val="7FCF18E6"/>
    <w:rsid w:val="7FD6BD58"/>
    <w:rsid w:val="7FDC0BB3"/>
    <w:rsid w:val="7FDED122"/>
    <w:rsid w:val="7FDF3E1D"/>
    <w:rsid w:val="7FDFCD69"/>
    <w:rsid w:val="7FE1E6AB"/>
    <w:rsid w:val="7FE623FF"/>
    <w:rsid w:val="7FEC520A"/>
    <w:rsid w:val="7FEF2944"/>
    <w:rsid w:val="7FF719C5"/>
    <w:rsid w:val="7FF727FD"/>
    <w:rsid w:val="7FF7B124"/>
    <w:rsid w:val="7FF7D7BF"/>
    <w:rsid w:val="7FF8D33F"/>
    <w:rsid w:val="7FFB635A"/>
    <w:rsid w:val="7FFE6A3C"/>
    <w:rsid w:val="7FFF686F"/>
    <w:rsid w:val="7FFF7033"/>
    <w:rsid w:val="7FFFA8E3"/>
    <w:rsid w:val="81FE6458"/>
    <w:rsid w:val="82FFED73"/>
    <w:rsid w:val="8DFF67BE"/>
    <w:rsid w:val="8F9F52AF"/>
    <w:rsid w:val="8FDFF502"/>
    <w:rsid w:val="8FEEEDB8"/>
    <w:rsid w:val="93FBE7C6"/>
    <w:rsid w:val="977B7AFA"/>
    <w:rsid w:val="97FD92DD"/>
    <w:rsid w:val="9907E570"/>
    <w:rsid w:val="9BE775B4"/>
    <w:rsid w:val="9BF73FE2"/>
    <w:rsid w:val="9F1BA713"/>
    <w:rsid w:val="9FDE210F"/>
    <w:rsid w:val="A5FAB4ED"/>
    <w:rsid w:val="A6FCEBC3"/>
    <w:rsid w:val="A7F365C1"/>
    <w:rsid w:val="A7F873AC"/>
    <w:rsid w:val="AD474EA9"/>
    <w:rsid w:val="ADEBC811"/>
    <w:rsid w:val="ADF7158B"/>
    <w:rsid w:val="ADFF6172"/>
    <w:rsid w:val="AEFE46BC"/>
    <w:rsid w:val="AF3BFE56"/>
    <w:rsid w:val="AF3CD6EE"/>
    <w:rsid w:val="AF3FC122"/>
    <w:rsid w:val="AF6D0F95"/>
    <w:rsid w:val="AFDBD625"/>
    <w:rsid w:val="AFEFB961"/>
    <w:rsid w:val="B0FFC357"/>
    <w:rsid w:val="B1E72745"/>
    <w:rsid w:val="B1FD7157"/>
    <w:rsid w:val="B5FC1AD6"/>
    <w:rsid w:val="B6D36751"/>
    <w:rsid w:val="B6EFCCF7"/>
    <w:rsid w:val="B6FBD0D3"/>
    <w:rsid w:val="B6FD1FA8"/>
    <w:rsid w:val="B6FF409B"/>
    <w:rsid w:val="B6FF4D5C"/>
    <w:rsid w:val="B78B9C42"/>
    <w:rsid w:val="B7FE24F8"/>
    <w:rsid w:val="B8796AAE"/>
    <w:rsid w:val="BA73CA31"/>
    <w:rsid w:val="BB75287C"/>
    <w:rsid w:val="BB8AF8F2"/>
    <w:rsid w:val="BB9DB3D8"/>
    <w:rsid w:val="BC3FEA53"/>
    <w:rsid w:val="BDC4CCE3"/>
    <w:rsid w:val="BDE95E45"/>
    <w:rsid w:val="BDE9663B"/>
    <w:rsid w:val="BE7A9D30"/>
    <w:rsid w:val="BEE5966E"/>
    <w:rsid w:val="BEE70B43"/>
    <w:rsid w:val="BEFF2945"/>
    <w:rsid w:val="BF57B463"/>
    <w:rsid w:val="BF977E4B"/>
    <w:rsid w:val="BFCD8A34"/>
    <w:rsid w:val="BFDFBA18"/>
    <w:rsid w:val="BFE732B9"/>
    <w:rsid w:val="BFFBADF8"/>
    <w:rsid w:val="BFFD0DC2"/>
    <w:rsid w:val="C19F140C"/>
    <w:rsid w:val="C3F6C9D8"/>
    <w:rsid w:val="C4FC646F"/>
    <w:rsid w:val="CE787A6E"/>
    <w:rsid w:val="CEFF01F3"/>
    <w:rsid w:val="CF71FA6D"/>
    <w:rsid w:val="CF7D470F"/>
    <w:rsid w:val="CFBF7A6D"/>
    <w:rsid w:val="CFFFB3C0"/>
    <w:rsid w:val="D1A7A39A"/>
    <w:rsid w:val="D31FB7D3"/>
    <w:rsid w:val="D37BE229"/>
    <w:rsid w:val="D39F05D5"/>
    <w:rsid w:val="D56F3C84"/>
    <w:rsid w:val="D66A5486"/>
    <w:rsid w:val="D6FD64A7"/>
    <w:rsid w:val="D6FE80B4"/>
    <w:rsid w:val="D717B674"/>
    <w:rsid w:val="D73A618D"/>
    <w:rsid w:val="D767D60E"/>
    <w:rsid w:val="D775568B"/>
    <w:rsid w:val="D95C4D4F"/>
    <w:rsid w:val="DB3F3955"/>
    <w:rsid w:val="DB558871"/>
    <w:rsid w:val="DB6F31F5"/>
    <w:rsid w:val="DBF67782"/>
    <w:rsid w:val="DCF1BD27"/>
    <w:rsid w:val="DCF706A8"/>
    <w:rsid w:val="DD2EFCD5"/>
    <w:rsid w:val="DD3F8CCC"/>
    <w:rsid w:val="DD5D99EB"/>
    <w:rsid w:val="DD6C2594"/>
    <w:rsid w:val="DDA3B5A5"/>
    <w:rsid w:val="DDF555AD"/>
    <w:rsid w:val="DDFA77F2"/>
    <w:rsid w:val="DE7F6629"/>
    <w:rsid w:val="DEB58493"/>
    <w:rsid w:val="DEDC8845"/>
    <w:rsid w:val="DEEC27DF"/>
    <w:rsid w:val="DF973BCE"/>
    <w:rsid w:val="DFABA455"/>
    <w:rsid w:val="DFCCD553"/>
    <w:rsid w:val="DFEC4129"/>
    <w:rsid w:val="DFED0F7E"/>
    <w:rsid w:val="DFFFE971"/>
    <w:rsid w:val="E3FF06A6"/>
    <w:rsid w:val="E3FFE6F1"/>
    <w:rsid w:val="E6AB5BFB"/>
    <w:rsid w:val="E7CF0E70"/>
    <w:rsid w:val="E7F76BAF"/>
    <w:rsid w:val="E87C87CB"/>
    <w:rsid w:val="E9678F1F"/>
    <w:rsid w:val="E969587C"/>
    <w:rsid w:val="E9FD35FC"/>
    <w:rsid w:val="EAFA8CA3"/>
    <w:rsid w:val="EAFE77BD"/>
    <w:rsid w:val="EBEA1AFB"/>
    <w:rsid w:val="EBEFD01B"/>
    <w:rsid w:val="EBFB3911"/>
    <w:rsid w:val="EBFF0E0E"/>
    <w:rsid w:val="ECFF3DEC"/>
    <w:rsid w:val="ED97F835"/>
    <w:rsid w:val="EDAF85E3"/>
    <w:rsid w:val="EDD5BC63"/>
    <w:rsid w:val="EDFF0FC0"/>
    <w:rsid w:val="EDFF4A09"/>
    <w:rsid w:val="EDFF5B9E"/>
    <w:rsid w:val="EE1F3AB5"/>
    <w:rsid w:val="EE30875D"/>
    <w:rsid w:val="EE6D6DEE"/>
    <w:rsid w:val="EEBF6C83"/>
    <w:rsid w:val="EEF7F549"/>
    <w:rsid w:val="EF5F1783"/>
    <w:rsid w:val="EF6F54E8"/>
    <w:rsid w:val="EF9B188A"/>
    <w:rsid w:val="EFAD6A11"/>
    <w:rsid w:val="EFAF1EAC"/>
    <w:rsid w:val="EFDF9ACE"/>
    <w:rsid w:val="EFE9220A"/>
    <w:rsid w:val="EFEFBD69"/>
    <w:rsid w:val="EFF3C747"/>
    <w:rsid w:val="EFF669A8"/>
    <w:rsid w:val="EFF7AA14"/>
    <w:rsid w:val="EFFA79C9"/>
    <w:rsid w:val="EFFDD34D"/>
    <w:rsid w:val="F11F8DC7"/>
    <w:rsid w:val="F13FDF58"/>
    <w:rsid w:val="F1FF8F78"/>
    <w:rsid w:val="F2FEADF1"/>
    <w:rsid w:val="F3A009C5"/>
    <w:rsid w:val="F3B7999E"/>
    <w:rsid w:val="F3BC31C8"/>
    <w:rsid w:val="F3BD4CEE"/>
    <w:rsid w:val="F3DFE86B"/>
    <w:rsid w:val="F48A2BDE"/>
    <w:rsid w:val="F4B54089"/>
    <w:rsid w:val="F5D7DB95"/>
    <w:rsid w:val="F5DD8282"/>
    <w:rsid w:val="F5DE72DC"/>
    <w:rsid w:val="F5EB3B49"/>
    <w:rsid w:val="F5F54C56"/>
    <w:rsid w:val="F5FC9225"/>
    <w:rsid w:val="F5FDA839"/>
    <w:rsid w:val="F5FF4A7F"/>
    <w:rsid w:val="F6676BA7"/>
    <w:rsid w:val="F6A5A696"/>
    <w:rsid w:val="F6BE9C63"/>
    <w:rsid w:val="F6D46173"/>
    <w:rsid w:val="F6EFBA7A"/>
    <w:rsid w:val="F6F8E947"/>
    <w:rsid w:val="F6FB0235"/>
    <w:rsid w:val="F73747C9"/>
    <w:rsid w:val="F73F7FC2"/>
    <w:rsid w:val="F77FEFCE"/>
    <w:rsid w:val="F7ACB2A4"/>
    <w:rsid w:val="F7FFC9E0"/>
    <w:rsid w:val="F9970C41"/>
    <w:rsid w:val="F9BEB32F"/>
    <w:rsid w:val="FADDB723"/>
    <w:rsid w:val="FAFF607C"/>
    <w:rsid w:val="FB6B2B79"/>
    <w:rsid w:val="FB7D1253"/>
    <w:rsid w:val="FB7FAC50"/>
    <w:rsid w:val="FB9AC421"/>
    <w:rsid w:val="FB9B18B0"/>
    <w:rsid w:val="FB9EF915"/>
    <w:rsid w:val="FBB60FCA"/>
    <w:rsid w:val="FBCDB6A1"/>
    <w:rsid w:val="FBDE7889"/>
    <w:rsid w:val="FBE75CC0"/>
    <w:rsid w:val="FBEF29B1"/>
    <w:rsid w:val="FBEF96A7"/>
    <w:rsid w:val="FBFB73B3"/>
    <w:rsid w:val="FBFB99D4"/>
    <w:rsid w:val="FBFD8D95"/>
    <w:rsid w:val="FBFE9200"/>
    <w:rsid w:val="FBFF4090"/>
    <w:rsid w:val="FBFFAE54"/>
    <w:rsid w:val="FCBB68E8"/>
    <w:rsid w:val="FCBFD3BB"/>
    <w:rsid w:val="FCDACBC3"/>
    <w:rsid w:val="FCEC0590"/>
    <w:rsid w:val="FCFF0C27"/>
    <w:rsid w:val="FD6FA23A"/>
    <w:rsid w:val="FD7B6280"/>
    <w:rsid w:val="FD7F8F7B"/>
    <w:rsid w:val="FD7FC924"/>
    <w:rsid w:val="FDAF98E2"/>
    <w:rsid w:val="FDB51B52"/>
    <w:rsid w:val="FDC76530"/>
    <w:rsid w:val="FDCA4FD4"/>
    <w:rsid w:val="FDDE696D"/>
    <w:rsid w:val="FDE0D36C"/>
    <w:rsid w:val="FDFAC04D"/>
    <w:rsid w:val="FDFBAFBE"/>
    <w:rsid w:val="FDFF437E"/>
    <w:rsid w:val="FE1B2086"/>
    <w:rsid w:val="FE3F1F73"/>
    <w:rsid w:val="FE7BC0E6"/>
    <w:rsid w:val="FE7FFC3E"/>
    <w:rsid w:val="FEDD613C"/>
    <w:rsid w:val="FEEC751C"/>
    <w:rsid w:val="FEFE758B"/>
    <w:rsid w:val="FEFF1F14"/>
    <w:rsid w:val="FEFF89E0"/>
    <w:rsid w:val="FEFFD178"/>
    <w:rsid w:val="FF1FFF37"/>
    <w:rsid w:val="FF3BEC78"/>
    <w:rsid w:val="FF478311"/>
    <w:rsid w:val="FF4C6804"/>
    <w:rsid w:val="FF7787B9"/>
    <w:rsid w:val="FF7EE702"/>
    <w:rsid w:val="FF96569C"/>
    <w:rsid w:val="FF9FC38B"/>
    <w:rsid w:val="FFA5AE1D"/>
    <w:rsid w:val="FFBF6EED"/>
    <w:rsid w:val="FFBFB758"/>
    <w:rsid w:val="FFC5835D"/>
    <w:rsid w:val="FFC7C813"/>
    <w:rsid w:val="FFDDC3AA"/>
    <w:rsid w:val="FFE3047F"/>
    <w:rsid w:val="FFEE6D50"/>
    <w:rsid w:val="FFEFA6FF"/>
    <w:rsid w:val="FFF71F93"/>
    <w:rsid w:val="FFF7601B"/>
    <w:rsid w:val="FFFC97E9"/>
    <w:rsid w:val="FFFE891F"/>
    <w:rsid w:val="FFFED63D"/>
    <w:rsid w:val="FFFF7FA7"/>
    <w:rsid w:val="FFFFDB1E"/>
    <w:rsid w:val="FFFFE8EE"/>
    <w:rsid w:val="FFFFFA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39"/>
    <w:pPr>
      <w:spacing w:line="560" w:lineRule="exact"/>
      <w:ind w:left="840" w:firstLine="200" w:firstLineChars="200"/>
      <w:jc w:val="left"/>
    </w:pPr>
    <w:rPr>
      <w:rFonts w:ascii="仿宋_GB2312" w:hAnsi="Times New Roman" w:eastAsia="仿宋_GB2312"/>
      <w:sz w:val="18"/>
      <w:szCs w:val="18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unhideWhenUsed/>
    <w:qFormat/>
    <w:uiPriority w:val="0"/>
    <w:rPr>
      <w:rFonts w:ascii="Times New Roman" w:hAnsi="Times New Roman" w:eastAsia="宋体" w:cs="Times New Roman"/>
    </w:rPr>
  </w:style>
  <w:style w:type="character" w:customStyle="1" w:styleId="12">
    <w:name w:val="批注框文本 字符"/>
    <w:link w:val="4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眉 字符"/>
    <w:link w:val="6"/>
    <w:qFormat/>
    <w:uiPriority w:val="99"/>
    <w:rPr>
      <w:sz w:val="18"/>
      <w:szCs w:val="18"/>
    </w:rPr>
  </w:style>
  <w:style w:type="character" w:customStyle="1" w:styleId="15">
    <w:name w:val="页脚 字符"/>
    <w:qFormat/>
    <w:uiPriority w:val="99"/>
    <w:rPr>
      <w:sz w:val="18"/>
      <w:szCs w:val="18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6</Pages>
  <Words>628</Words>
  <Characters>3583</Characters>
  <Lines>29</Lines>
  <Paragraphs>8</Paragraphs>
  <TotalTime>16</TotalTime>
  <ScaleCrop>false</ScaleCrop>
  <LinksUpToDate>false</LinksUpToDate>
  <CharactersWithSpaces>4203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2021-11-01T10:01:00Z</dcterms:created>
  <dc:creator>zyx</dc:creator>
  <cp:lastModifiedBy>Administrator</cp:lastModifiedBy>
  <cp:lastPrinted>2024-04-14T11:33:00Z</cp:lastPrinted>
  <dcterms:modified xsi:type="dcterms:W3CDTF">2026-07-09T01:26:30Z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6D1DCC51CEC219E0D6C04C6A802F110C_43</vt:lpwstr>
  </property>
</Properties>
</file>