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Times New Roman" w:hAnsi="Times New Roman" w:eastAsia="方正小标宋_GBK" w:cstheme="minorBidi"/>
          <w:sz w:val="44"/>
          <w:szCs w:val="44"/>
        </w:rPr>
      </w:pPr>
      <w:r>
        <w:rPr>
          <w:rFonts w:hint="eastAsia" w:ascii="Times New Roman" w:hAnsi="Times New Roman" w:eastAsia="方正小标宋_GBK" w:cstheme="minorBidi"/>
          <w:sz w:val="44"/>
          <w:szCs w:val="44"/>
        </w:rPr>
        <w:t>重庆市水利局</w:t>
      </w:r>
    </w:p>
    <w:p>
      <w:pPr>
        <w:spacing w:line="594" w:lineRule="exact"/>
        <w:jc w:val="center"/>
        <w:rPr>
          <w:rFonts w:hint="eastAsia" w:ascii="Times New Roman" w:hAnsi="Times New Roman" w:eastAsia="方正小标宋_GBK" w:cstheme="minorBidi"/>
          <w:sz w:val="44"/>
          <w:szCs w:val="44"/>
        </w:rPr>
      </w:pPr>
      <w:r>
        <w:rPr>
          <w:rFonts w:hint="eastAsia" w:ascii="Times New Roman" w:hAnsi="Times New Roman" w:eastAsia="方正小标宋_GBK" w:cstheme="minorBidi"/>
          <w:sz w:val="44"/>
          <w:szCs w:val="44"/>
          <w:lang w:eastAsia="zh-CN"/>
        </w:rPr>
        <w:t>关于</w:t>
      </w:r>
      <w:r>
        <w:rPr>
          <w:rFonts w:hint="eastAsia" w:ascii="Times New Roman" w:hAnsi="Times New Roman" w:eastAsia="方正小标宋_GBK" w:cstheme="minorBidi"/>
          <w:sz w:val="44"/>
          <w:szCs w:val="44"/>
        </w:rPr>
        <w:t>奉节县新民河、长滩河流域综合治理工程</w:t>
      </w:r>
    </w:p>
    <w:p>
      <w:pPr>
        <w:spacing w:line="594" w:lineRule="exact"/>
        <w:jc w:val="center"/>
        <w:rPr>
          <w:rFonts w:hint="eastAsia" w:ascii="Times New Roman" w:hAnsi="Times New Roman" w:eastAsia="方正小标宋_GBK" w:cstheme="minorBidi"/>
          <w:sz w:val="44"/>
          <w:szCs w:val="44"/>
        </w:rPr>
      </w:pPr>
      <w:r>
        <w:rPr>
          <w:rFonts w:hint="eastAsia" w:ascii="Times New Roman" w:hAnsi="Times New Roman" w:eastAsia="方正小标宋_GBK" w:cstheme="minorBidi"/>
          <w:sz w:val="44"/>
          <w:szCs w:val="44"/>
        </w:rPr>
        <w:t>（长滩河段）洪水影响评价</w:t>
      </w:r>
    </w:p>
    <w:p>
      <w:pPr>
        <w:spacing w:line="594" w:lineRule="exact"/>
        <w:jc w:val="center"/>
        <w:rPr>
          <w:rFonts w:ascii="Times New Roman" w:hAnsi="Times New Roman" w:eastAsia="方正小标宋_GBK" w:cstheme="minorBidi"/>
          <w:sz w:val="44"/>
          <w:szCs w:val="44"/>
        </w:rPr>
      </w:pPr>
      <w:r>
        <w:rPr>
          <w:rFonts w:hint="eastAsia" w:ascii="Times New Roman" w:hAnsi="Times New Roman" w:eastAsia="方正小标宋_GBK" w:cstheme="minorBidi"/>
          <w:sz w:val="44"/>
          <w:szCs w:val="44"/>
        </w:rPr>
        <w:t>准予行政许可的决定</w:t>
      </w:r>
    </w:p>
    <w:p>
      <w:pPr>
        <w:keepNext w:val="0"/>
        <w:keepLines w:val="0"/>
        <w:widowControl/>
        <w:suppressLineNumbers w:val="0"/>
        <w:spacing w:before="0" w:beforeAutospacing="0" w:after="0" w:afterAutospacing="0"/>
        <w:ind w:left="0" w:right="0" w:firstLine="0"/>
        <w:jc w:val="left"/>
        <w:rPr>
          <w:rFonts w:ascii="Times New Roman" w:hAnsi="Times New Roman" w:eastAsiaTheme="minorEastAsia" w:cstheme="minorBidi"/>
          <w:kern w:val="0"/>
          <w:sz w:val="24"/>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8" w:lineRule="exact"/>
        <w:jc w:val="both"/>
        <w:textAlignment w:val="auto"/>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kern w:val="2"/>
          <w:sz w:val="32"/>
          <w:szCs w:val="32"/>
          <w:lang w:val="en-US" w:eastAsia="zh-CN" w:bidi="ar-SA"/>
        </w:rPr>
        <w:t>重庆奉节水电开发有限公司</w:t>
      </w:r>
      <w:r>
        <w:rPr>
          <w:rFonts w:hint="eastAsia" w:ascii="Times New Roman" w:hAnsi="Times New Roman" w:eastAsia="方正仿宋_GBK" w:cs="Times New Roman"/>
          <w:color w:val="auto"/>
          <w:kern w:val="0"/>
          <w:sz w:val="32"/>
          <w:szCs w:val="32"/>
          <w:highlight w:val="none"/>
          <w:lang w:eastAsia="zh-CN"/>
        </w:rPr>
        <w:t>：</w:t>
      </w:r>
    </w:p>
    <w:p>
      <w:pPr>
        <w:keepNext w:val="0"/>
        <w:keepLines w:val="0"/>
        <w:pageBreakBefore w:val="0"/>
        <w:widowControl/>
        <w:suppressLineNumbers w:val="0"/>
        <w:kinsoku/>
        <w:wordWrap w:val="0"/>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eastAsia="zh-CN"/>
        </w:rPr>
        <w:t>根据你单位关于奉节县新民河、长滩河流域综合治理工程（长滩河段）洪水影响评价的行政许可申请</w:t>
      </w:r>
      <w:r>
        <w:rPr>
          <w:rFonts w:hint="default"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eastAsia="zh-CN"/>
        </w:rPr>
        <w:t>项目</w:t>
      </w:r>
      <w:r>
        <w:rPr>
          <w:rFonts w:hint="default" w:ascii="Times New Roman" w:hAnsi="Times New Roman" w:eastAsia="方正仿宋_GBK" w:cs="Times New Roman"/>
          <w:color w:val="auto"/>
          <w:kern w:val="0"/>
          <w:sz w:val="32"/>
          <w:szCs w:val="32"/>
          <w:highlight w:val="none"/>
          <w:lang w:eastAsia="zh-CN"/>
        </w:rPr>
        <w:t>编码：</w:t>
      </w:r>
      <w:r>
        <w:rPr>
          <w:rFonts w:hint="eastAsia" w:ascii="Times New Roman" w:hAnsi="Times New Roman" w:eastAsia="方正仿宋_GBK" w:cs="Times New Roman"/>
          <w:color w:val="auto"/>
          <w:kern w:val="0"/>
          <w:sz w:val="32"/>
          <w:szCs w:val="32"/>
          <w:highlight w:val="none"/>
          <w:lang w:val="en-US" w:eastAsia="zh-CN"/>
        </w:rPr>
        <w:t>2312-500236-04-05-562626</w:t>
      </w:r>
      <w:r>
        <w:rPr>
          <w:rFonts w:hint="default" w:ascii="Times New Roman" w:hAnsi="Times New Roman" w:eastAsia="方正仿宋_GBK" w:cs="Times New Roman"/>
          <w:color w:val="auto"/>
          <w:kern w:val="0"/>
          <w:sz w:val="32"/>
          <w:szCs w:val="32"/>
          <w:highlight w:val="none"/>
          <w:lang w:eastAsia="zh-CN"/>
        </w:rPr>
        <w:t>），我局组织专家对《</w:t>
      </w:r>
      <w:r>
        <w:rPr>
          <w:rFonts w:hint="eastAsia" w:ascii="Times New Roman" w:hAnsi="Times New Roman" w:eastAsia="方正仿宋_GBK" w:cs="Times New Roman"/>
          <w:color w:val="auto"/>
          <w:kern w:val="0"/>
          <w:sz w:val="32"/>
          <w:szCs w:val="32"/>
          <w:highlight w:val="none"/>
          <w:lang w:eastAsia="zh-CN"/>
        </w:rPr>
        <w:t>奉节县新民河、长滩河流域综合治理工程（长滩河段）洪水影响评价报告》进行了审查。根据《中华人民共和国防洪法》、《中华人民共和国河道管理条例》、《行政许可法》第三十八条第一款、《水行政许可实施办法》第三十二条第一项规定和专家评审意见，现就该工程洪水影响评价作出准予行政许可决定。</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工程</w:t>
      </w:r>
      <w:r>
        <w:rPr>
          <w:rFonts w:hint="eastAsia" w:ascii="方正黑体_GBK" w:hAnsi="方正黑体_GBK" w:eastAsia="方正黑体_GBK" w:cs="方正黑体_GBK"/>
          <w:sz w:val="32"/>
          <w:szCs w:val="32"/>
        </w:rPr>
        <w:t>段位于</w:t>
      </w:r>
      <w:r>
        <w:rPr>
          <w:rFonts w:hint="eastAsia" w:ascii="方正黑体_GBK" w:hAnsi="方正黑体_GBK" w:eastAsia="方正黑体_GBK" w:cs="方正黑体_GBK"/>
          <w:color w:val="auto"/>
          <w:kern w:val="2"/>
          <w:sz w:val="32"/>
          <w:szCs w:val="32"/>
          <w:lang w:val="en-US" w:eastAsia="zh-CN" w:bidi="ar-SA"/>
        </w:rPr>
        <w:t>云阳县、奉节县界河长滩河及其支流。同意工程所在长滩河、温家沟支沟防洪评价标准10年一遇。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98" w:lineRule="exact"/>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000000"/>
          <w:sz w:val="32"/>
          <w:szCs w:val="32"/>
          <w:lang w:val="en-US" w:eastAsia="zh-CN" w:bidi="ar-SA"/>
        </w:rPr>
        <w:t>二、</w:t>
      </w:r>
      <w:r>
        <w:rPr>
          <w:rFonts w:hint="eastAsia" w:ascii="方正黑体_GBK" w:hAnsi="方正黑体_GBK" w:eastAsia="方正黑体_GBK" w:cs="方正黑体_GBK"/>
          <w:color w:val="auto"/>
          <w:kern w:val="2"/>
          <w:sz w:val="32"/>
          <w:szCs w:val="32"/>
          <w:lang w:val="en-US" w:eastAsia="zh-CN" w:bidi="ar-SA"/>
        </w:rPr>
        <w:t>原则同意工程建设对河道行洪及河势稳定影响较小的结论。</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工程位于羊市镇，分为长滩河上段、下段及温家沟支沟段。工程治理岸线总长12941m。本工程涉河建筑物包括护岸工程、穿堤排洪工程及附属建筑物。</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bidi="ar"/>
        </w:rPr>
      </w:pPr>
      <w:r>
        <w:rPr>
          <w:rFonts w:hint="eastAsia" w:ascii="方正楷体_GBK" w:hAnsi="方正楷体_GBK" w:eastAsia="方正楷体_GBK" w:cs="方正楷体_GBK"/>
          <w:b w:val="0"/>
          <w:bCs w:val="0"/>
          <w:color w:val="auto"/>
          <w:sz w:val="32"/>
          <w:szCs w:val="32"/>
          <w:lang w:val="en-US" w:eastAsia="zh-CN" w:bidi="ar"/>
        </w:rPr>
        <w:t>（一）护岸工程</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长滩河干流段上段起于肖家梁止于关口河，护岸长858.92m；下段起于杨家咀止于温家沟汇合口，护岸长1383.87m。温家沟段位于温家沟汇入长滩河汇合口左岸，护岸长939.42m。</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bidi="ar"/>
        </w:rPr>
      </w:pPr>
      <w:r>
        <w:rPr>
          <w:rFonts w:hint="eastAsia" w:ascii="方正楷体_GBK" w:hAnsi="方正楷体_GBK" w:eastAsia="方正楷体_GBK" w:cs="方正楷体_GBK"/>
          <w:b w:val="0"/>
          <w:bCs w:val="0"/>
          <w:color w:val="auto"/>
          <w:sz w:val="32"/>
          <w:szCs w:val="32"/>
          <w:lang w:val="en-US" w:eastAsia="zh-CN" w:bidi="ar"/>
        </w:rPr>
        <w:t>（二）穿堤排洪工程</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长滩河干流段新建排洪建筑物9座，分别位于桩号R4+827.38、R4+882.60、R5+640.64、R9+414.78、R9+597.50、R9+700.74、R10+130.67、R10+388.35、R10+700.34，采用钢筋砼箱涵或管涵。温家沟段新建排洪建筑物4座，分别位于桩号WZ0+179.80、WZ0+424.55、WZ0+565.41、WZ0+908.55，采用钢筋砼箱涵或管涵。</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bidi="ar"/>
        </w:rPr>
      </w:pPr>
      <w:r>
        <w:rPr>
          <w:rFonts w:hint="eastAsia" w:ascii="方正楷体_GBK" w:hAnsi="方正楷体_GBK" w:eastAsia="方正楷体_GBK" w:cs="方正楷体_GBK"/>
          <w:b w:val="0"/>
          <w:bCs w:val="0"/>
          <w:color w:val="auto"/>
          <w:sz w:val="32"/>
          <w:szCs w:val="32"/>
          <w:lang w:val="en-US" w:eastAsia="zh-CN" w:bidi="ar"/>
        </w:rPr>
        <w:t>（三）附属建筑物</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人行步道两段，共长1347.12m，路面宽2.0m~3.0m。</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道路硬化长727.61m，路面宽6.0m。</w:t>
      </w:r>
    </w:p>
    <w:p>
      <w:pPr>
        <w:keepNext w:val="0"/>
        <w:keepLines w:val="0"/>
        <w:pageBreakBefore w:val="0"/>
        <w:widowControl/>
        <w:kinsoku/>
        <w:wordWrap/>
        <w:overflowPunct/>
        <w:topLinePunct w:val="0"/>
        <w:autoSpaceDE/>
        <w:autoSpaceDN/>
        <w:bidi w:val="0"/>
        <w:snapToGrid/>
        <w:spacing w:line="598"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有关要求</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（一）项目法人应妥善处理好第三方合法水事权益，落实权属单位及管理部门要求。</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工程开工前，项目法人要将施工方案报送当地水行政主管部门。由当地水行政主管部门对施工期进行施工管理，并服从防汛指挥部门的统一指挥。项目法人要高度重视河道保护工作，严禁向河道内倾倒弃土弃渣，施工完工后应及时拆除施工设施，清除弃渣等阻碍物，确保行洪安全。</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（三）工程开工后，项目法人要及时将施工放样资料报送市河道事务中心，市河道事务中心将对工程控制坐标在内的涉河事项进行核查。</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（四）工程竣工后，项目法人应报告市河道事务中心，市河道事务中心将对工程控制坐标在内的涉河事项进行全面复核；市水利局根据复核报告，参加工程项目的综合验收。工程经验收合格后方可启用。</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（五）本行政许可决定有效</w:t>
      </w:r>
      <w:r>
        <w:rPr>
          <w:rFonts w:hint="default" w:ascii="Times New Roman" w:hAnsi="Times New Roman" w:eastAsia="方正仿宋_GBK" w:cs="Times New Roman"/>
          <w:kern w:val="2"/>
          <w:sz w:val="32"/>
          <w:szCs w:val="32"/>
          <w:lang w:val="en-US" w:eastAsia="zh-CN" w:bidi="ar-SA"/>
        </w:rPr>
        <w:t>期为3年</w:t>
      </w:r>
      <w:r>
        <w:rPr>
          <w:rFonts w:hint="eastAsia" w:ascii="Times New Roman" w:hAnsi="Times New Roman" w:eastAsia="方正仿宋_GBK" w:cs="Times New Roman"/>
          <w:kern w:val="2"/>
          <w:sz w:val="32"/>
          <w:szCs w:val="32"/>
          <w:lang w:val="en-US" w:eastAsia="zh-CN" w:bidi="ar-SA"/>
        </w:rPr>
        <w:t>，自签发之日起计算。期满后，若该工程未开工建设，本行政许可决定自行失效；若要继续建设，应重新履行行政许可手续。工程建设过程中涉河建设方案有较大变更的，也应按规定重新办理许可手续。</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（六）项目法人应严格按照批复的内容和要求实施。</w:t>
      </w:r>
    </w:p>
    <w:p>
      <w:pPr>
        <w:keepNext w:val="0"/>
        <w:keepLines w:val="0"/>
        <w:pageBreakBefore w:val="0"/>
        <w:widowControl w:val="0"/>
        <w:kinsoku/>
        <w:wordWrap/>
        <w:overflowPunct/>
        <w:topLinePunct w:val="0"/>
        <w:autoSpaceDE w:val="0"/>
        <w:autoSpaceDN w:val="0"/>
        <w:bidi w:val="0"/>
        <w:adjustRightInd w:val="0"/>
        <w:snapToGrid/>
        <w:spacing w:line="598" w:lineRule="exact"/>
        <w:textAlignment w:val="auto"/>
        <w:rPr>
          <w:rFonts w:ascii="Times New Roman" w:hAnsi="Times New Roman" w:eastAsia="方正仿宋_GBK" w:cs="方正仿宋_GBK"/>
          <w:color w:val="000000"/>
          <w:sz w:val="32"/>
          <w:szCs w:val="32"/>
          <w:lang w:val="en-US" w:eastAsia="zh-CN" w:bidi="ar-SA"/>
        </w:rPr>
      </w:pPr>
    </w:p>
    <w:p>
      <w:pPr>
        <w:pageBreakBefore w:val="0"/>
        <w:kinsoku/>
        <w:wordWrap/>
        <w:overflowPunct/>
        <w:topLinePunct w:val="0"/>
        <w:bidi w:val="0"/>
        <w:snapToGrid/>
        <w:spacing w:line="594" w:lineRule="exact"/>
        <w:ind w:left="1598" w:leftChars="304" w:hanging="960" w:hangingChars="300"/>
        <w:jc w:val="both"/>
        <w:textAlignment w:val="auto"/>
        <w:rPr>
          <w:rFonts w:ascii="Times New Roman" w:hAnsi="Times New Roman" w:eastAsia="方正仿宋_GBK" w:cstheme="minorBidi"/>
          <w:sz w:val="32"/>
          <w:szCs w:val="32"/>
        </w:rPr>
      </w:pPr>
      <w:r>
        <w:rPr>
          <w:rFonts w:hint="eastAsia" w:ascii="Times New Roman" w:hAnsi="Times New Roman" w:eastAsia="方正仿宋_GBK" w:cstheme="minorBidi"/>
          <w:sz w:val="32"/>
          <w:szCs w:val="32"/>
        </w:rPr>
        <w:t>附件：奉节县新民河、长滩河流域综合治理工程（长滩河段）洪水影响评价报告专家评审意见</w:t>
      </w:r>
    </w:p>
    <w:p>
      <w:pPr>
        <w:pageBreakBefore w:val="0"/>
        <w:kinsoku/>
        <w:wordWrap/>
        <w:overflowPunct/>
        <w:topLinePunct w:val="0"/>
        <w:bidi w:val="0"/>
        <w:snapToGrid/>
        <w:spacing w:line="594" w:lineRule="exact"/>
        <w:textAlignment w:val="auto"/>
        <w:rPr>
          <w:rFonts w:ascii="Times New Roman" w:hAnsi="Times New Roman" w:eastAsia="方正仿宋_GBK" w:cstheme="minorBidi"/>
          <w:sz w:val="32"/>
          <w:szCs w:val="32"/>
        </w:rPr>
      </w:pPr>
    </w:p>
    <w:p>
      <w:pPr>
        <w:pageBreakBefore w:val="0"/>
        <w:kinsoku/>
        <w:wordWrap/>
        <w:overflowPunct/>
        <w:topLinePunct w:val="0"/>
        <w:bidi w:val="0"/>
        <w:snapToGrid/>
        <w:spacing w:line="594" w:lineRule="exact"/>
        <w:ind w:firstLine="5440" w:firstLineChars="1700"/>
        <w:textAlignment w:val="auto"/>
        <w:rPr>
          <w:rFonts w:ascii="Times New Roman" w:hAnsi="Times New Roman" w:eastAsia="方正仿宋_GBK" w:cstheme="minorBidi"/>
          <w:sz w:val="32"/>
          <w:szCs w:val="32"/>
        </w:rPr>
      </w:pPr>
      <w:r>
        <w:rPr>
          <w:rFonts w:hint="eastAsia" w:ascii="Times New Roman" w:hAnsi="Times New Roman" w:eastAsia="方正仿宋_GBK" w:cstheme="minorBidi"/>
          <w:sz w:val="32"/>
          <w:szCs w:val="32"/>
        </w:rPr>
        <w:t>重庆市水利局</w:t>
      </w:r>
    </w:p>
    <w:p>
      <w:pPr>
        <w:pageBreakBefore w:val="0"/>
        <w:kinsoku/>
        <w:wordWrap/>
        <w:overflowPunct/>
        <w:topLinePunct w:val="0"/>
        <w:bidi w:val="0"/>
        <w:snapToGrid/>
        <w:spacing w:line="594" w:lineRule="exact"/>
        <w:ind w:firstLine="5280" w:firstLineChars="1650"/>
        <w:textAlignment w:val="auto"/>
        <w:rPr>
          <w:rFonts w:ascii="Times New Roman" w:hAnsi="Times New Roman" w:eastAsia="方正仿宋_GBK" w:cstheme="minorBidi"/>
          <w:sz w:val="32"/>
          <w:szCs w:val="32"/>
        </w:rPr>
      </w:pPr>
      <w:r>
        <w:rPr>
          <w:rFonts w:hint="eastAsia"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w:t>
      </w:r>
      <w:bookmarkStart w:id="1" w:name="_GoBack"/>
      <w:bookmarkEnd w:id="1"/>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日</w:t>
      </w: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cstheme="minorBidi"/>
          <w:sz w:val="32"/>
          <w:szCs w:val="32"/>
        </w:rPr>
      </w:pPr>
      <w:r>
        <w:rPr>
          <w:rFonts w:hint="eastAsia" w:ascii="Times New Roman" w:hAnsi="Times New Roman" w:eastAsia="方正仿宋_GBK" w:cstheme="minorBidi"/>
          <w:sz w:val="32"/>
          <w:szCs w:val="32"/>
        </w:rPr>
        <w:t>（此</w:t>
      </w:r>
      <w:r>
        <w:rPr>
          <w:rFonts w:ascii="Times New Roman" w:hAnsi="Times New Roman" w:eastAsia="方正仿宋_GBK" w:cstheme="minorBidi"/>
          <w:sz w:val="32"/>
          <w:szCs w:val="32"/>
        </w:rPr>
        <w:t>件主动公开发布</w:t>
      </w:r>
      <w:r>
        <w:rPr>
          <w:rFonts w:hint="eastAsia" w:ascii="Times New Roman" w:hAnsi="Times New Roman" w:eastAsia="方正仿宋_GBK" w:cstheme="minorBidi"/>
          <w:sz w:val="32"/>
          <w:szCs w:val="32"/>
        </w:rPr>
        <w:t>）</w:t>
      </w:r>
    </w:p>
    <w:p>
      <w:pPr>
        <w:pageBreakBefore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snapToGrid/>
          <w:kern w:val="2"/>
          <w:sz w:val="32"/>
          <w:szCs w:val="32"/>
          <w:lang w:eastAsia="zh-CN"/>
        </w:rPr>
      </w:pPr>
      <w:r>
        <w:rPr>
          <w:rFonts w:hint="eastAsia" w:ascii="Times New Roman" w:hAnsi="Times New Roman" w:eastAsia="方正仿宋_GBK" w:cstheme="minorBidi"/>
          <w:sz w:val="32"/>
          <w:szCs w:val="32"/>
        </w:rPr>
        <w:t>（联系人</w:t>
      </w:r>
      <w:r>
        <w:rPr>
          <w:rFonts w:ascii="Times New Roman" w:hAnsi="Times New Roman" w:eastAsia="方正仿宋_GBK" w:cstheme="minorBidi"/>
          <w:sz w:val="32"/>
          <w:szCs w:val="32"/>
        </w:rPr>
        <w:t>：</w:t>
      </w:r>
      <w:r>
        <w:rPr>
          <w:rFonts w:hint="eastAsia" w:ascii="Times New Roman" w:hAnsi="Times New Roman" w:eastAsia="方正仿宋_GBK" w:cstheme="minorBidi"/>
          <w:sz w:val="32"/>
          <w:szCs w:val="32"/>
          <w:lang w:val="en" w:eastAsia="zh-CN"/>
        </w:rPr>
        <w:t>张翔宇</w:t>
      </w:r>
      <w:r>
        <w:rPr>
          <w:rFonts w:hint="eastAsia" w:ascii="Times New Roman" w:hAnsi="Times New Roman" w:eastAsia="方正仿宋_GBK" w:cstheme="minorBidi"/>
          <w:sz w:val="32"/>
          <w:szCs w:val="32"/>
        </w:rPr>
        <w:t>；联系电话</w:t>
      </w:r>
      <w:r>
        <w:rPr>
          <w:rFonts w:ascii="Times New Roman" w:hAnsi="Times New Roman" w:eastAsia="方正仿宋_GBK" w:cstheme="minorBidi"/>
          <w:sz w:val="32"/>
          <w:szCs w:val="32"/>
        </w:rPr>
        <w:t>：</w:t>
      </w:r>
      <w:r>
        <w:rPr>
          <w:rFonts w:hint="eastAsia" w:ascii="Times New Roman" w:hAnsi="Times New Roman" w:eastAsia="方正仿宋_GBK" w:cs="Times New Roman"/>
          <w:sz w:val="32"/>
          <w:szCs w:val="32"/>
          <w:lang w:val="en-US" w:eastAsia="zh-CN"/>
        </w:rPr>
        <w:t>023-88707092</w:t>
      </w:r>
      <w:r>
        <w:rPr>
          <w:rFonts w:hint="eastAsia" w:ascii="Times New Roman" w:hAnsi="Times New Roman" w:eastAsia="方正仿宋_GBK" w:cstheme="minorBidi"/>
          <w:sz w:val="32"/>
          <w:szCs w:val="32"/>
        </w:rPr>
        <w:t>）</w:t>
      </w:r>
      <w:r>
        <w:rPr>
          <w:rFonts w:ascii="Times New Roman" w:hAnsi="Times New Roman" w:eastAsia="方正仿宋_GBK" w:cstheme="minorBidi"/>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napToGrid/>
          <w:color w:val="auto"/>
          <w:kern w:val="0"/>
          <w:sz w:val="32"/>
          <w:szCs w:val="32"/>
          <w:lang w:val="en-US" w:eastAsia="zh-CN" w:bidi="ar"/>
        </w:rPr>
      </w:pPr>
      <w:r>
        <w:rPr>
          <w:rFonts w:hint="eastAsia" w:ascii="方正黑体_GBK" w:hAnsi="方正黑体_GBK" w:eastAsia="方正黑体_GBK" w:cs="方正黑体_GBK"/>
          <w:snapToGrid/>
          <w:color w:val="auto"/>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宋体" w:cs="Times New Roman"/>
          <w:color w:val="auto"/>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Times New Roman"/>
          <w:snapToGrid w:val="0"/>
          <w:color w:val="auto"/>
          <w:kern w:val="0"/>
          <w:sz w:val="44"/>
          <w:szCs w:val="44"/>
          <w:u w:val="none"/>
          <w:lang w:eastAsia="zh-CN"/>
        </w:rPr>
      </w:pPr>
      <w:r>
        <w:rPr>
          <w:rFonts w:hint="eastAsia" w:ascii="Times New Roman" w:hAnsi="Times New Roman" w:eastAsia="方正小标宋_GBK" w:cs="Times New Roman"/>
          <w:snapToGrid w:val="0"/>
          <w:color w:val="auto"/>
          <w:kern w:val="0"/>
          <w:sz w:val="44"/>
          <w:szCs w:val="44"/>
          <w:u w:val="none"/>
          <w:lang w:eastAsia="zh-CN"/>
        </w:rPr>
        <w:t>奉节县新民河、长滩河流域综合治理工程</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宋体" w:eastAsia="方正小标宋_GBK" w:cs="宋体"/>
          <w:b/>
          <w:color w:val="auto"/>
          <w:kern w:val="0"/>
          <w:sz w:val="44"/>
          <w:szCs w:val="44"/>
        </w:rPr>
      </w:pPr>
      <w:r>
        <w:rPr>
          <w:rFonts w:hint="eastAsia" w:ascii="Times New Roman" w:hAnsi="Times New Roman" w:eastAsia="方正小标宋_GBK" w:cs="Times New Roman"/>
          <w:snapToGrid w:val="0"/>
          <w:color w:val="auto"/>
          <w:kern w:val="0"/>
          <w:sz w:val="44"/>
          <w:szCs w:val="44"/>
          <w:u w:val="none"/>
          <w:lang w:eastAsia="zh-CN"/>
        </w:rPr>
        <w:t>（长滩河段）洪水影响评价报告专家评审意见</w:t>
      </w:r>
    </w:p>
    <w:p>
      <w:pPr>
        <w:pStyle w:val="2"/>
        <w:keepNext w:val="0"/>
        <w:keepLines w:val="0"/>
        <w:pageBreakBefore w:val="0"/>
        <w:kinsoku/>
        <w:wordWrap/>
        <w:overflowPunct/>
        <w:topLinePunct w:val="0"/>
        <w:bidi w:val="0"/>
        <w:spacing w:after="0" w:line="560" w:lineRule="exact"/>
        <w:ind w:firstLine="640" w:firstLineChars="200"/>
        <w:textAlignment w:val="auto"/>
        <w:rPr>
          <w:rFonts w:hint="eastAsia" w:eastAsia="方正仿宋_GBK"/>
          <w:color w:val="auto"/>
          <w:sz w:val="32"/>
          <w:szCs w:val="32"/>
          <w:lang w:bidi="ar"/>
        </w:rPr>
      </w:pPr>
    </w:p>
    <w:p>
      <w:pPr>
        <w:keepNext w:val="0"/>
        <w:keepLines w:val="0"/>
        <w:pageBreakBefore w:val="0"/>
        <w:widowControl/>
        <w:kinsoku/>
        <w:wordWrap/>
        <w:overflowPunct/>
        <w:topLinePunct w:val="0"/>
        <w:bidi w:val="0"/>
        <w:spacing w:line="560" w:lineRule="exact"/>
        <w:ind w:firstLine="640" w:firstLineChars="200"/>
        <w:jc w:val="both"/>
        <w:textAlignment w:val="auto"/>
        <w:rPr>
          <w:rFonts w:ascii="Times New Roman" w:hAnsi="Times New Roman" w:eastAsia="方正仿宋_GBK"/>
          <w:color w:val="auto"/>
          <w:sz w:val="32"/>
          <w:szCs w:val="32"/>
        </w:rPr>
      </w:pPr>
      <w:r>
        <w:rPr>
          <w:rFonts w:hint="default" w:ascii="Times New Roman" w:hAnsi="Times New Roman" w:eastAsia="方正仿宋_GBK" w:cs="Times New Roman"/>
          <w:color w:val="auto"/>
          <w:kern w:val="0"/>
          <w:sz w:val="32"/>
          <w:szCs w:val="32"/>
          <w:lang w:bidi="ar"/>
        </w:rPr>
        <w:t>2024年11月14日</w:t>
      </w:r>
      <w:r>
        <w:rPr>
          <w:rFonts w:hint="eastAsia" w:ascii="Times New Roman" w:hAnsi="Times New Roman" w:eastAsia="方正仿宋_GBK" w:cs="Times New Roman"/>
          <w:color w:val="auto"/>
          <w:kern w:val="0"/>
          <w:sz w:val="32"/>
          <w:szCs w:val="32"/>
          <w:lang w:eastAsia="zh-CN" w:bidi="ar"/>
        </w:rPr>
        <w:t>，</w:t>
      </w:r>
      <w:r>
        <w:rPr>
          <w:rFonts w:ascii="Times New Roman" w:hAnsi="Times New Roman" w:eastAsia="方正仿宋_GBK"/>
          <w:color w:val="auto"/>
          <w:kern w:val="0"/>
          <w:sz w:val="32"/>
          <w:szCs w:val="32"/>
          <w:lang w:bidi="ar"/>
        </w:rPr>
        <w:t>市水利局</w:t>
      </w:r>
      <w:r>
        <w:rPr>
          <w:rFonts w:hint="default" w:ascii="Times New Roman" w:hAnsi="Times New Roman" w:eastAsia="方正仿宋_GBK" w:cs="Times New Roman"/>
          <w:color w:val="auto"/>
          <w:kern w:val="0"/>
          <w:sz w:val="32"/>
          <w:szCs w:val="32"/>
          <w:lang w:bidi="ar"/>
        </w:rPr>
        <w:t>组织召开了《长滩河综合治理项目（云阳县堰坪镇段、奉节县羊市镇段）洪水影响评价报告》（送审稿）专家复审会</w:t>
      </w:r>
      <w:r>
        <w:rPr>
          <w:rFonts w:hint="eastAsia"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kern w:val="0"/>
          <w:sz w:val="32"/>
          <w:szCs w:val="32"/>
          <w:lang w:bidi="ar"/>
        </w:rPr>
        <w:t>该报告包含</w:t>
      </w:r>
      <w:r>
        <w:rPr>
          <w:rFonts w:hint="eastAsia" w:ascii="方正仿宋_GBK" w:hAnsi="方正仿宋_GBK" w:eastAsia="方正仿宋_GBK" w:cs="方正仿宋_GBK"/>
          <w:color w:val="auto"/>
          <w:kern w:val="0"/>
          <w:sz w:val="32"/>
          <w:szCs w:val="32"/>
          <w:lang w:bidi="ar"/>
        </w:rPr>
        <w:t>“云阳县长滩河综合治理项目（堰坪镇段）”和“奉节县新民河、长滩河流域综合治理工程（长滩河段）”两</w:t>
      </w:r>
      <w:r>
        <w:rPr>
          <w:rFonts w:hint="default" w:ascii="Times New Roman" w:hAnsi="Times New Roman" w:eastAsia="方正仿宋_GBK" w:cs="Times New Roman"/>
          <w:color w:val="auto"/>
          <w:kern w:val="0"/>
          <w:sz w:val="32"/>
          <w:szCs w:val="32"/>
          <w:lang w:bidi="ar"/>
        </w:rPr>
        <w:t>个项目</w:t>
      </w:r>
      <w:r>
        <w:rPr>
          <w:rFonts w:hint="eastAsia"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kern w:val="0"/>
          <w:sz w:val="32"/>
          <w:szCs w:val="32"/>
          <w:lang w:bidi="ar"/>
        </w:rPr>
        <w:t>勘设处、河道处，云阳县水利局、奉节县水利局，重庆奉节水电开发有限公司（以下简称项目法人）、重庆农高实业集团有限公司、重庆宏源勘测设计有限公司（以下简称报告编制单位）的代表及评审专家参加了会议。会议成立了专家组，专家组会前详细审阅了报告，会上听取了项目法人关于项目情况的介绍及报告编制单位关于报告主要内容的汇报，对报告进行了认真评审，评定等级为合格，并提出了修改意见。会后报告编制单位根据专家意见进行了修改补充，提交了《奉节县新民河、长滩河流域综合治理工程（长滩河段）》（报批稿）</w:t>
      </w:r>
      <w:r>
        <w:rPr>
          <w:rFonts w:hint="eastAsia" w:eastAsia="方正仿宋_GBK"/>
          <w:color w:val="auto"/>
          <w:kern w:val="0"/>
          <w:sz w:val="32"/>
          <w:szCs w:val="32"/>
          <w:lang w:bidi="ar"/>
        </w:rPr>
        <w:t>（以下简称《报告》）</w:t>
      </w:r>
      <w:r>
        <w:rPr>
          <w:rFonts w:hint="eastAsia"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kern w:val="0"/>
          <w:sz w:val="32"/>
          <w:szCs w:val="32"/>
          <w:lang w:bidi="ar"/>
        </w:rPr>
        <w:t>经专家组</w:t>
      </w:r>
      <w:r>
        <w:rPr>
          <w:rFonts w:hint="eastAsia" w:eastAsia="方正仿宋_GBK"/>
          <w:color w:val="auto"/>
          <w:kern w:val="0"/>
          <w:sz w:val="32"/>
          <w:szCs w:val="32"/>
          <w:lang w:bidi="ar"/>
        </w:rPr>
        <w:t>复核，形成评审意见如下：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一、评价范围</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《报告》拟定的的评价范围基本合适。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二、评价标准</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根据《奉节县城市防洪规划（2018-2035年）》，工程河段防洪标准定10年一遇。《报告》采用10年一遇评价标准合适。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三、项目</w:t>
      </w:r>
      <w:bookmarkStart w:id="0" w:name="OLE_LINK7"/>
      <w:r>
        <w:rPr>
          <w:rFonts w:hint="eastAsia" w:ascii="方正黑体_GBK" w:hAnsi="方正黑体_GBK" w:eastAsia="方正黑体_GBK" w:cs="方正黑体_GBK"/>
          <w:b w:val="0"/>
          <w:bCs w:val="0"/>
          <w:color w:val="auto"/>
          <w:kern w:val="0"/>
          <w:sz w:val="32"/>
          <w:szCs w:val="32"/>
        </w:rPr>
        <w:t>涉河建设方案</w:t>
      </w:r>
    </w:p>
    <w:bookmarkEnd w:id="0"/>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奉节县新民河、长滩河流域综合治理工程（长滩河段）位于羊市镇，工程分为长滩河上段、下段及温家沟支沟段。工程治理岸线总长12941m。本工程涉河建筑物包括护岸工程、穿堤排洪工程及附属建筑物。</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lang w:bidi="ar"/>
        </w:rPr>
      </w:pPr>
      <w:r>
        <w:rPr>
          <w:rFonts w:hint="eastAsia" w:ascii="方正楷体_GBK" w:hAnsi="方正楷体_GBK" w:eastAsia="方正楷体_GBK" w:cs="方正楷体_GBK"/>
          <w:b w:val="0"/>
          <w:bCs w:val="0"/>
          <w:color w:val="auto"/>
          <w:sz w:val="32"/>
          <w:szCs w:val="32"/>
          <w:lang w:bidi="ar"/>
        </w:rPr>
        <w:t>（一）护岸工程</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1</w:t>
      </w:r>
      <w:r>
        <w:rPr>
          <w:rFonts w:hint="eastAsia" w:ascii="Times New Roman" w:cs="Times New Roman"/>
          <w:color w:val="auto"/>
          <w:sz w:val="32"/>
          <w:szCs w:val="32"/>
          <w:lang w:eastAsia="zh-CN" w:bidi="ar"/>
        </w:rPr>
        <w:t>.</w:t>
      </w:r>
      <w:r>
        <w:rPr>
          <w:rFonts w:hint="eastAsia" w:ascii="Times New Roman" w:cs="Times New Roman"/>
          <w:color w:val="auto"/>
          <w:sz w:val="32"/>
          <w:szCs w:val="32"/>
          <w:lang w:val="en-US" w:eastAsia="zh-CN" w:bidi="ar"/>
        </w:rPr>
        <w:t xml:space="preserve"> </w:t>
      </w:r>
      <w:r>
        <w:rPr>
          <w:rFonts w:hint="eastAsia" w:ascii="Times New Roman" w:cs="Times New Roman"/>
          <w:color w:val="auto"/>
          <w:sz w:val="32"/>
          <w:szCs w:val="32"/>
          <w:lang w:bidi="ar"/>
        </w:rPr>
        <w:t>长滩河干流段</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上段：上段起于肖家梁止于关口河，护岸长858.92m。桩号R4+077.45（肖家梁）～R4+371.25（杨家河坝）段对已成重力挡墙加宽、加高，堤顶高程218.62m～214.31m</w:t>
      </w:r>
      <w:r>
        <w:rPr>
          <w:rFonts w:hint="eastAsia" w:ascii="Times New Roman" w:cs="Times New Roman"/>
          <w:color w:val="auto"/>
          <w:sz w:val="32"/>
          <w:szCs w:val="32"/>
          <w:lang w:eastAsia="zh-CN" w:bidi="ar"/>
        </w:rPr>
        <w:t>（1985国家高程基准，下同）</w:t>
      </w:r>
      <w:r>
        <w:rPr>
          <w:rFonts w:hint="eastAsia" w:ascii="Times New Roman" w:cs="Times New Roman"/>
          <w:color w:val="auto"/>
          <w:sz w:val="32"/>
          <w:szCs w:val="32"/>
          <w:lang w:bidi="ar"/>
        </w:rPr>
        <w:t>；桩号R4+371.25（杨家河坝）～R4+872.78（关口河汇合口）段采用</w:t>
      </w:r>
      <w:r>
        <w:rPr>
          <w:rFonts w:hint="eastAsia" w:ascii="方正仿宋_GBK" w:hAnsi="方正仿宋_GBK" w:eastAsia="方正仿宋_GBK" w:cs="方正仿宋_GBK"/>
          <w:color w:val="auto"/>
          <w:sz w:val="32"/>
          <w:szCs w:val="32"/>
          <w:lang w:bidi="ar"/>
        </w:rPr>
        <w:t>“镇脚</w:t>
      </w:r>
      <w:r>
        <w:rPr>
          <w:rFonts w:hint="default" w:ascii="Times New Roman" w:hAnsi="Times New Roman" w:eastAsia="方正仿宋_GBK" w:cs="Times New Roman"/>
          <w:color w:val="auto"/>
          <w:sz w:val="32"/>
          <w:szCs w:val="32"/>
          <w:lang w:bidi="ar"/>
        </w:rPr>
        <w:t>+</w:t>
      </w:r>
      <w:r>
        <w:rPr>
          <w:rFonts w:hint="eastAsia" w:ascii="方正仿宋_GBK" w:hAnsi="方正仿宋_GBK" w:eastAsia="方正仿宋_GBK" w:cs="方正仿宋_GBK"/>
          <w:color w:val="auto"/>
          <w:sz w:val="32"/>
          <w:szCs w:val="32"/>
          <w:lang w:bidi="ar"/>
        </w:rPr>
        <w:t>斜坡</w:t>
      </w:r>
      <w:r>
        <w:rPr>
          <w:rFonts w:hint="default" w:ascii="Times New Roman" w:hAnsi="Times New Roman" w:eastAsia="方正仿宋_GBK" w:cs="Times New Roman"/>
          <w:color w:val="auto"/>
          <w:sz w:val="32"/>
          <w:szCs w:val="32"/>
          <w:lang w:bidi="ar"/>
        </w:rPr>
        <w:t>+</w:t>
      </w:r>
      <w:r>
        <w:rPr>
          <w:rFonts w:hint="eastAsia" w:ascii="方正仿宋_GBK" w:hAnsi="方正仿宋_GBK" w:eastAsia="方正仿宋_GBK" w:cs="方正仿宋_GBK"/>
          <w:color w:val="auto"/>
          <w:sz w:val="32"/>
          <w:szCs w:val="32"/>
          <w:lang w:bidi="ar"/>
        </w:rPr>
        <w:t>平台”</w:t>
      </w:r>
      <w:r>
        <w:rPr>
          <w:rFonts w:hint="eastAsia" w:ascii="Times New Roman" w:cs="Times New Roman"/>
          <w:color w:val="auto"/>
          <w:sz w:val="32"/>
          <w:szCs w:val="32"/>
          <w:lang w:bidi="ar"/>
        </w:rPr>
        <w:t>护岸型式，堤顶高程214.31m～209.24m；桩号R4+872.78（关口河汇合口）～R4+936.37（关口河）段采用重力式挡墙型式，堤顶高程为209.24m～208.50m。桩号R5+005.75～R5+768.53段在挡墙迎水侧修建护脚。</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下段：下段起于杨家咀止于温家沟汇合口，护岸长1383.87m。桩号R9+366.65（杨家咀段）～R10+750.52（温家沟汇合口），护岸型式采用</w:t>
      </w:r>
      <w:r>
        <w:rPr>
          <w:rFonts w:hint="eastAsia" w:ascii="方正仿宋_GBK" w:hAnsi="方正仿宋_GBK" w:eastAsia="方正仿宋_GBK" w:cs="方正仿宋_GBK"/>
          <w:color w:val="auto"/>
          <w:sz w:val="32"/>
          <w:szCs w:val="32"/>
          <w:lang w:bidi="ar"/>
        </w:rPr>
        <w:t>“镇脚</w:t>
      </w:r>
      <w:r>
        <w:rPr>
          <w:rFonts w:hint="default" w:ascii="Times New Roman" w:hAnsi="Times New Roman" w:eastAsia="方正仿宋_GBK" w:cs="Times New Roman"/>
          <w:color w:val="auto"/>
          <w:sz w:val="32"/>
          <w:szCs w:val="32"/>
          <w:lang w:bidi="ar"/>
        </w:rPr>
        <w:t>+斜坡+</w:t>
      </w:r>
      <w:r>
        <w:rPr>
          <w:rFonts w:hint="eastAsia" w:ascii="方正仿宋_GBK" w:hAnsi="方正仿宋_GBK" w:eastAsia="方正仿宋_GBK" w:cs="方正仿宋_GBK"/>
          <w:color w:val="auto"/>
          <w:sz w:val="32"/>
          <w:szCs w:val="32"/>
          <w:lang w:bidi="ar"/>
        </w:rPr>
        <w:t>马道”</w:t>
      </w:r>
      <w:r>
        <w:rPr>
          <w:rFonts w:hint="eastAsia" w:ascii="Times New Roman" w:cs="Times New Roman"/>
          <w:color w:val="auto"/>
          <w:sz w:val="32"/>
          <w:szCs w:val="32"/>
          <w:lang w:bidi="ar"/>
        </w:rPr>
        <w:t>护岸型式，堤顶高程189.08m～188.53m。</w:t>
      </w:r>
    </w:p>
    <w:p>
      <w:pPr>
        <w:pStyle w:val="13"/>
        <w:keepNext w:val="0"/>
        <w:keepLines w:val="0"/>
        <w:pageBreakBefore w:val="0"/>
        <w:numPr>
          <w:ilvl w:val="0"/>
          <w:numId w:val="1"/>
        </w:numPr>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温家沟段</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位于温家沟汇入长滩河汇合口左岸，护岸长939.42m。护岸型式采用“镇脚+斜坡+马道”护岸型式，堤顶高程210.45m～189.88m。</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lang w:bidi="ar"/>
        </w:rPr>
      </w:pPr>
      <w:r>
        <w:rPr>
          <w:rFonts w:hint="eastAsia" w:ascii="方正楷体_GBK" w:hAnsi="方正楷体_GBK" w:eastAsia="方正楷体_GBK" w:cs="方正楷体_GBK"/>
          <w:b w:val="0"/>
          <w:bCs w:val="0"/>
          <w:color w:val="auto"/>
          <w:sz w:val="32"/>
          <w:szCs w:val="32"/>
          <w:lang w:bidi="ar"/>
        </w:rPr>
        <w:t>（二）穿堤排洪工程</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1</w:t>
      </w:r>
      <w:r>
        <w:rPr>
          <w:rFonts w:hint="eastAsia" w:ascii="Times New Roman" w:cs="Times New Roman"/>
          <w:color w:val="auto"/>
          <w:sz w:val="32"/>
          <w:szCs w:val="32"/>
          <w:lang w:eastAsia="zh-CN" w:bidi="ar"/>
        </w:rPr>
        <w:t>.</w:t>
      </w:r>
      <w:r>
        <w:rPr>
          <w:rFonts w:hint="eastAsia" w:ascii="Times New Roman" w:cs="Times New Roman"/>
          <w:color w:val="auto"/>
          <w:sz w:val="32"/>
          <w:szCs w:val="32"/>
          <w:lang w:val="en-US" w:eastAsia="zh-CN" w:bidi="ar"/>
        </w:rPr>
        <w:t xml:space="preserve"> </w:t>
      </w:r>
      <w:r>
        <w:rPr>
          <w:rFonts w:hint="eastAsia" w:ascii="Times New Roman" w:cs="Times New Roman"/>
          <w:color w:val="auto"/>
          <w:sz w:val="32"/>
          <w:szCs w:val="32"/>
          <w:lang w:bidi="ar"/>
        </w:rPr>
        <w:t>长滩河干流段</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新建排洪建筑物9座，分别位于桩号R4+827.38、R4+882.60、R5+640.64、R9+414.78、R9+597.50、R9+700.74、R10+130.67、R10+388.35、R10+700.34，采用钢筋砼箱涵或管涵，编号为1#～9#。1#排洪箱涵总长12.4m，箱涵尺寸为1.2m×1.5m，为C30钢筋砼结构。2#排洪管涵总长31.6m，管涵内径1.2m，C25钢筋砼预制结构。3#排洪箱涵总长14.6m，箱涵尺寸为1.2m×1.5m，为C30钢筋砼结构。4#排洪箱涵总长27.5m，箱涵尺寸为1.5m×1.5m，为C30钢筋砼结构。5#排洪管涵总长28.6m，管涵内径为1.2m，为C25钢筋砼预制结构。6#排洪箱涵总长25.1m，箱涵尺寸为1.5m×1.5m，为C30钢筋砼结构。7#排洪箱涵总长27.2m，箱涵尺寸为1.5m×1.5m，为C30钢筋砼结构。8#排洪箱涵总长26.1m，箱涵尺寸为1.5m×1.5m，为C30钢筋砼结构。9#排洪管涵总长17.8m，管涵内径为1.2m，为C30钢筋砼预制结构。</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val="en-US" w:eastAsia="zh-CN" w:bidi="ar"/>
        </w:rPr>
        <w:t>2</w:t>
      </w:r>
      <w:r>
        <w:rPr>
          <w:rFonts w:hint="eastAsia" w:ascii="Times New Roman" w:cs="Times New Roman"/>
          <w:color w:val="auto"/>
          <w:sz w:val="32"/>
          <w:szCs w:val="32"/>
          <w:lang w:eastAsia="zh-CN" w:bidi="ar"/>
        </w:rPr>
        <w:t>.</w:t>
      </w:r>
      <w:r>
        <w:rPr>
          <w:rFonts w:hint="eastAsia" w:ascii="Times New Roman" w:cs="Times New Roman"/>
          <w:color w:val="auto"/>
          <w:sz w:val="32"/>
          <w:szCs w:val="32"/>
          <w:lang w:val="en-US" w:eastAsia="zh-CN" w:bidi="ar"/>
        </w:rPr>
        <w:t xml:space="preserve"> </w:t>
      </w:r>
      <w:r>
        <w:rPr>
          <w:rFonts w:hint="eastAsia" w:ascii="Times New Roman" w:cs="Times New Roman"/>
          <w:color w:val="auto"/>
          <w:sz w:val="32"/>
          <w:szCs w:val="32"/>
          <w:lang w:bidi="ar"/>
        </w:rPr>
        <w:t>温家沟段</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新建排洪建筑物4座，分别位于桩号WZ0+179.80、WZ0+424.55、WZ0+565.41、WZ0+908.55，采用钢筋砼箱涵或管涵，编号为10#～13#。10#排洪管涵总长14.6m，管涵内径为1.2m，为C25钢筋砼预制结构。11#排洪管涵总长18.6m，管涵内径为1.2m，为C25钢筋砼预制结构。12#排洪管涵总长17.4m，管涵内径为1.2m，为C25钢筋砼预制结构。13#排洪管涵总长11.0m，管涵内径为1.2m，为C25钢筋砼预制结构。</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lang w:bidi="ar"/>
        </w:rPr>
      </w:pPr>
      <w:r>
        <w:rPr>
          <w:rFonts w:hint="eastAsia" w:ascii="方正楷体_GBK" w:hAnsi="方正楷体_GBK" w:eastAsia="方正楷体_GBK" w:cs="方正楷体_GBK"/>
          <w:b w:val="0"/>
          <w:bCs w:val="0"/>
          <w:color w:val="auto"/>
          <w:sz w:val="32"/>
          <w:szCs w:val="32"/>
          <w:lang w:bidi="ar"/>
        </w:rPr>
        <w:t>（三）附属建筑物</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1</w:t>
      </w:r>
      <w:r>
        <w:rPr>
          <w:rFonts w:hint="eastAsia" w:ascii="Times New Roman" w:cs="Times New Roman"/>
          <w:color w:val="auto"/>
          <w:sz w:val="32"/>
          <w:szCs w:val="32"/>
          <w:lang w:eastAsia="zh-CN" w:bidi="ar"/>
        </w:rPr>
        <w:t>.</w:t>
      </w:r>
      <w:r>
        <w:rPr>
          <w:rFonts w:hint="eastAsia" w:ascii="Times New Roman" w:cs="Times New Roman"/>
          <w:color w:val="auto"/>
          <w:sz w:val="32"/>
          <w:szCs w:val="32"/>
          <w:lang w:val="en-US" w:eastAsia="zh-CN" w:bidi="ar"/>
        </w:rPr>
        <w:t xml:space="preserve"> </w:t>
      </w:r>
      <w:r>
        <w:rPr>
          <w:rFonts w:hint="eastAsia" w:ascii="Times New Roman" w:cs="Times New Roman"/>
          <w:color w:val="auto"/>
          <w:sz w:val="32"/>
          <w:szCs w:val="32"/>
          <w:lang w:bidi="ar"/>
        </w:rPr>
        <w:t>人行步道</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河道桩号R6+531.89（谭家湾）～R6+922.12（红寨岭）段路面硬化，长390.23m，路面宽3.0m；河道桩号R6+922.12（红寨岭）～R7+879.01（羊市停车场）段修建人行步道，长956.89m，路面宽2.0m。</w:t>
      </w:r>
    </w:p>
    <w:p>
      <w:pPr>
        <w:pStyle w:val="13"/>
        <w:keepNext w:val="0"/>
        <w:keepLines w:val="0"/>
        <w:pageBreakBefore w:val="0"/>
        <w:numPr>
          <w:ilvl w:val="0"/>
          <w:numId w:val="2"/>
        </w:numPr>
        <w:kinsoku/>
        <w:wordWrap/>
        <w:overflowPunct/>
        <w:topLinePunct w:val="0"/>
        <w:bidi w:val="0"/>
        <w:spacing w:line="560" w:lineRule="exact"/>
        <w:ind w:left="0" w:leftChars="0"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连接道路</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桩号R8+639.04（场镇）～R9+366.65（杨家咀）段道路硬化长727.61m，路面宽6.0m。</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奉节县水利局、云阳县水利局、奉节县羊市镇人民政府及云阳县堰坪镇人民政府均同意该项目建设方案。</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工程涉河建筑物主要控制点坐标见附表1～附表3。</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四、水文、河道演变及洪水影响分析计算</w:t>
      </w:r>
    </w:p>
    <w:p>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Times New Roman" w:hAnsi="Times New Roman" w:eastAsia="方正仿宋_GBK"/>
          <w:color w:val="auto"/>
          <w:kern w:val="0"/>
          <w:sz w:val="32"/>
          <w:szCs w:val="32"/>
          <w:lang w:bidi="ar"/>
        </w:rPr>
      </w:pPr>
      <w:r>
        <w:rPr>
          <w:rFonts w:hint="eastAsia" w:ascii="Times New Roman" w:hAnsi="Times New Roman" w:eastAsia="方正仿宋_GBK"/>
          <w:color w:val="auto"/>
          <w:sz w:val="32"/>
          <w:szCs w:val="32"/>
          <w:lang w:bidi="ar"/>
        </w:rPr>
        <w:t>水文、河道演变及洪水影响分析计算基本合理。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五、防洪综合评价结论</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bidi="ar"/>
        </w:rPr>
        <w:t>据《报告》，工程建设后对工程河段的行洪影响范围和影响程度都比较小。</w:t>
      </w:r>
    </w:p>
    <w:p>
      <w:pPr>
        <w:pStyle w:val="13"/>
        <w:keepNext w:val="0"/>
        <w:keepLines w:val="0"/>
        <w:pageBreakBefore w:val="0"/>
        <w:kinsoku/>
        <w:wordWrap/>
        <w:overflowPunct/>
        <w:topLinePunct w:val="0"/>
        <w:bidi w:val="0"/>
        <w:spacing w:line="560" w:lineRule="exact"/>
        <w:textAlignment w:val="auto"/>
        <w:rPr>
          <w:rFonts w:hint="eastAsia" w:ascii="Times New Roman"/>
          <w:color w:val="auto"/>
          <w:sz w:val="32"/>
          <w:szCs w:val="32"/>
          <w:lang w:bidi="ar"/>
        </w:rPr>
      </w:pPr>
      <w:r>
        <w:rPr>
          <w:rFonts w:hint="eastAsia" w:ascii="Times New Roman" w:hAnsi="Times New Roman" w:eastAsia="方正仿宋_GBK"/>
          <w:color w:val="auto"/>
          <w:kern w:val="0"/>
          <w:sz w:val="32"/>
          <w:szCs w:val="32"/>
          <w:lang w:eastAsia="zh-CN" w:bidi="ar"/>
        </w:rPr>
        <w:drawing>
          <wp:anchor distT="0" distB="0" distL="114300" distR="114300" simplePos="0" relativeHeight="251659264" behindDoc="1" locked="0" layoutInCell="1" allowOverlap="1">
            <wp:simplePos x="0" y="0"/>
            <wp:positionH relativeFrom="column">
              <wp:posOffset>4683760</wp:posOffset>
            </wp:positionH>
            <wp:positionV relativeFrom="paragraph">
              <wp:posOffset>254635</wp:posOffset>
            </wp:positionV>
            <wp:extent cx="1115695" cy="908685"/>
            <wp:effectExtent l="0" t="0" r="8255" b="5715"/>
            <wp:wrapTight wrapText="bothSides">
              <wp:wrapPolygon>
                <wp:start x="0" y="0"/>
                <wp:lineTo x="0" y="21283"/>
                <wp:lineTo x="21391" y="21283"/>
                <wp:lineTo x="21391" y="0"/>
                <wp:lineTo x="0" y="0"/>
              </wp:wrapPolygon>
            </wp:wrapTight>
            <wp:docPr id="3" name="图片 3" descr="廖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廖总"/>
                    <pic:cNvPicPr>
                      <a:picLocks noChangeAspect="1"/>
                    </pic:cNvPicPr>
                  </pic:nvPicPr>
                  <pic:blipFill>
                    <a:blip r:embed="rId6"/>
                    <a:stretch>
                      <a:fillRect/>
                    </a:stretch>
                  </pic:blipFill>
                  <pic:spPr>
                    <a:xfrm>
                      <a:off x="0" y="0"/>
                      <a:ext cx="1115695" cy="908685"/>
                    </a:xfrm>
                    <a:prstGeom prst="rect">
                      <a:avLst/>
                    </a:prstGeom>
                  </pic:spPr>
                </pic:pic>
              </a:graphicData>
            </a:graphic>
          </wp:anchor>
        </w:drawing>
      </w:r>
    </w:p>
    <w:p>
      <w:pPr>
        <w:pStyle w:val="13"/>
        <w:keepNext w:val="0"/>
        <w:keepLines w:val="0"/>
        <w:pageBreakBefore w:val="0"/>
        <w:kinsoku/>
        <w:wordWrap/>
        <w:overflowPunct/>
        <w:topLinePunct w:val="0"/>
        <w:bidi w:val="0"/>
        <w:spacing w:line="240" w:lineRule="auto"/>
        <w:textAlignment w:val="auto"/>
        <w:rPr>
          <w:rFonts w:hint="eastAsia" w:ascii="Times New Roman" w:eastAsia="方正仿宋_GBK"/>
          <w:color w:val="auto"/>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ind w:left="5250" w:leftChars="2500" w:right="1050" w:rightChars="500"/>
        <w:jc w:val="left"/>
        <w:textAlignment w:val="auto"/>
        <w:rPr>
          <w:rFonts w:hint="eastAsia" w:ascii="Times New Roman" w:hAnsi="Times New Roman" w:eastAsia="方正仿宋_GBK"/>
          <w:color w:val="auto"/>
          <w:kern w:val="0"/>
          <w:sz w:val="32"/>
          <w:szCs w:val="32"/>
          <w:lang w:eastAsia="zh-CN" w:bidi="ar"/>
        </w:rPr>
      </w:pPr>
      <w:r>
        <w:rPr>
          <w:rFonts w:hint="eastAsia" w:ascii="Times New Roman" w:hAnsi="Times New Roman" w:eastAsia="方正仿宋_GBK"/>
          <w:color w:val="auto"/>
          <w:kern w:val="0"/>
          <w:sz w:val="32"/>
          <w:szCs w:val="32"/>
          <w:lang w:bidi="ar"/>
        </w:rPr>
        <w:t>专家组组长：</w:t>
      </w:r>
    </w:p>
    <w:p>
      <w:pPr>
        <w:keepNext w:val="0"/>
        <w:keepLines w:val="0"/>
        <w:pageBreakBefore w:val="0"/>
        <w:widowControl/>
        <w:kinsoku/>
        <w:wordWrap/>
        <w:overflowPunct/>
        <w:topLinePunct w:val="0"/>
        <w:autoSpaceDE/>
        <w:autoSpaceDN/>
        <w:bidi w:val="0"/>
        <w:adjustRightInd/>
        <w:snapToGrid/>
        <w:spacing w:line="560" w:lineRule="exact"/>
        <w:ind w:right="420" w:rightChars="200" w:firstLine="5440" w:firstLineChars="1700"/>
        <w:jc w:val="right"/>
        <w:textAlignment w:val="auto"/>
        <w:rPr>
          <w:rFonts w:hint="eastAsia" w:ascii="Times New Roman" w:hAnsi="Times New Roman" w:eastAsia="方正仿宋_GBK"/>
          <w:color w:val="auto"/>
          <w:kern w:val="0"/>
          <w:sz w:val="32"/>
          <w:szCs w:val="32"/>
          <w:lang w:bidi="ar"/>
        </w:rPr>
        <w:sectPr>
          <w:footerReference r:id="rId3" w:type="default"/>
          <w:pgSz w:w="11906" w:h="16838"/>
          <w:pgMar w:top="1984" w:right="1446" w:bottom="1644" w:left="1446" w:header="851" w:footer="1474" w:gutter="0"/>
          <w:cols w:space="720" w:num="1"/>
          <w:docGrid w:type="lines" w:linePitch="312" w:charSpace="0"/>
        </w:sectPr>
      </w:pPr>
      <w:r>
        <w:rPr>
          <w:rFonts w:hint="eastAsia" w:ascii="Times New Roman" w:hAnsi="Times New Roman" w:eastAsia="方正仿宋_GBK"/>
          <w:color w:val="auto"/>
          <w:kern w:val="0"/>
          <w:sz w:val="32"/>
          <w:szCs w:val="32"/>
          <w:lang w:bidi="ar"/>
        </w:rPr>
        <w:t>202</w:t>
      </w:r>
      <w:r>
        <w:rPr>
          <w:rFonts w:hint="eastAsia" w:ascii="Times New Roman" w:hAnsi="Times New Roman" w:eastAsia="方正仿宋_GBK"/>
          <w:color w:val="auto"/>
          <w:kern w:val="0"/>
          <w:sz w:val="32"/>
          <w:szCs w:val="32"/>
          <w:lang w:val="en-US" w:eastAsia="zh" w:bidi="ar"/>
        </w:rPr>
        <w:t>5</w:t>
      </w:r>
      <w:r>
        <w:rPr>
          <w:rFonts w:hint="eastAsia" w:ascii="Times New Roman" w:hAnsi="Times New Roman" w:eastAsia="方正仿宋_GBK"/>
          <w:color w:val="auto"/>
          <w:kern w:val="0"/>
          <w:sz w:val="32"/>
          <w:szCs w:val="32"/>
          <w:lang w:bidi="ar"/>
        </w:rPr>
        <w:t>年</w:t>
      </w:r>
      <w:r>
        <w:rPr>
          <w:rFonts w:hint="eastAsia" w:ascii="Times New Roman" w:hAnsi="Times New Roman" w:eastAsia="方正仿宋_GBK"/>
          <w:color w:val="auto"/>
          <w:kern w:val="0"/>
          <w:sz w:val="32"/>
          <w:szCs w:val="32"/>
          <w:lang w:val="en-US" w:eastAsia="zh-CN" w:bidi="ar"/>
        </w:rPr>
        <w:t>2</w:t>
      </w:r>
      <w:r>
        <w:rPr>
          <w:rFonts w:hint="eastAsia" w:ascii="Times New Roman" w:hAnsi="Times New Roman" w:eastAsia="方正仿宋_GBK"/>
          <w:color w:val="auto"/>
          <w:kern w:val="0"/>
          <w:sz w:val="32"/>
          <w:szCs w:val="32"/>
          <w:lang w:bidi="ar"/>
        </w:rPr>
        <w:t>月</w:t>
      </w:r>
      <w:r>
        <w:rPr>
          <w:rFonts w:hint="eastAsia" w:ascii="Times New Roman" w:hAnsi="Times New Roman" w:eastAsia="方正仿宋_GBK"/>
          <w:color w:val="auto"/>
          <w:kern w:val="0"/>
          <w:sz w:val="32"/>
          <w:szCs w:val="32"/>
          <w:lang w:val="en-US" w:eastAsia="zh-CN" w:bidi="ar"/>
        </w:rPr>
        <w:t>11</w:t>
      </w:r>
      <w:r>
        <w:rPr>
          <w:rFonts w:hint="eastAsia" w:ascii="Times New Roman" w:hAnsi="Times New Roman" w:eastAsia="方正仿宋_GBK"/>
          <w:color w:val="auto"/>
          <w:kern w:val="0"/>
          <w:sz w:val="32"/>
          <w:szCs w:val="32"/>
          <w:lang w:bidi="ar"/>
        </w:rPr>
        <w:t>日</w:t>
      </w:r>
    </w:p>
    <w:p>
      <w:pPr>
        <w:widowControl/>
        <w:spacing w:line="594" w:lineRule="exact"/>
        <w:jc w:val="center"/>
        <w:rPr>
          <w:rFonts w:hint="eastAsia"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bidi="ar"/>
        </w:rPr>
        <w:t>附表1  长滩河右岸堤线坐标表（上游段）</w:t>
      </w:r>
    </w:p>
    <w:tbl>
      <w:tblPr>
        <w:tblStyle w:val="10"/>
        <w:tblW w:w="4998"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39"/>
        <w:gridCol w:w="1344"/>
        <w:gridCol w:w="1886"/>
        <w:gridCol w:w="1888"/>
        <w:gridCol w:w="1460"/>
        <w:gridCol w:w="18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blHeader/>
        </w:trPr>
        <w:tc>
          <w:tcPr>
            <w:tcW w:w="455"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编号</w:t>
            </w:r>
          </w:p>
        </w:tc>
        <w:tc>
          <w:tcPr>
            <w:tcW w:w="728"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桩号</w:t>
            </w:r>
          </w:p>
        </w:tc>
        <w:tc>
          <w:tcPr>
            <w:tcW w:w="2045" w:type="pct"/>
            <w:gridSpan w:val="2"/>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坐  标  值</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转弯半径R（m）</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平面转角α（°）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blHeader/>
        </w:trPr>
        <w:tc>
          <w:tcPr>
            <w:tcW w:w="455"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728"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X</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Y</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R4+077.45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3408473.075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599843.623</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R4+102.58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3408489.547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599824.646</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31.28</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7°47'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R4+106.82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3408492.317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599821.432</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R4+111.26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3408495.443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599818.286</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170.29</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20°57'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R4+173.55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3408546.228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599782.824</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R4+191.75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3408562.791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599775.278</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2°38'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R4+196.59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3408567.104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599773.068</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103.00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R4+207.37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3408576.938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599768.663</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9</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R4+219.16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3408587.935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599764.414</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1221.38</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0°45'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R4+235.04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3408603.185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599760.011</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R4+244.95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3408612.833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599757.724</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3°12'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R4+259.40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3408627.059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599755.180</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0°51'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R4+264.20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3408631.793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599754.407</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R4+277.90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3408645.264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599751.944</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R4+282.85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3408650.172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599751.232</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100.00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R4+297.09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3408664.359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599750.197</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R4+320.15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3408687.419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599750.158</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100.00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6°33'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R4+331.58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3408698.822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599750.791</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19</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R4+349.40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3408716.536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599752.794</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144.04</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20</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R4+362.05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3408729.002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599754.894</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R4+371.25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3408737.994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599756.840</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1°59'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R4+375.90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3408742.566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599757.664</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103.00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10°13'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R4+394.26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3408760.254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599762.516</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R4+424.96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3408789.459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599771.978</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100.00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8°59'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R4+440.63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3408803.924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599777.952</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R4+446.17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3408808.865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599780.462</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R4+471.04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3408831.081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599791.631</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5°48'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R4+495.40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3408851.632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599804.723</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100.00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29</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R4+507.93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3408861.292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599812.700</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30</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R4+519.14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3408870.353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599819.290</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91.20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R4+529.32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3408878.937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599824.761</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R4+539.94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3408887.675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599830.805</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R4+543.25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3408890.283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599832.842</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3°19'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R4+550.32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3408896.427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599836.312</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36.01</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11°15'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R4+552.65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3408898.503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599837.356</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R4+561.12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3408906.298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599840.674</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103.10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4°43'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R4+569.09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3408913.955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599842.898</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R4+570.89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3408915.720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599843.217</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672.00</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0°41'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39</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R4+589.14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3408933.913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599843.887</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70.90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14°45'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40</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R4+600.00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3408944.764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599843.394</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R4+621.06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3408965.465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599846.431</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53.33</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22°37'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R4+640.76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3408983.695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599853.885</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R4+647.46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3408989.893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599856.419</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66.01</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5°49'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R4+659.05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3409000.617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599860.810</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R4+666.24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3409007.435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599863.113</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3°36'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R4+672.59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3409013.360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599865.385</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94.10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R4+677.45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3409017.956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599866.972</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R4+688.42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3409028.103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599871.148</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3°19'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49</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R4+698.36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3409037.518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599874.307</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50</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R4+712.17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3409050.638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599878.635</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0°18'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R4+725.83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3409063.799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599882.302</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2°41'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R4+733.06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3409070.900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599883.650</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82.33</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R4+735.71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3409073.525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599883.978</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R4+763.98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3409101.674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599883.102</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91.10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17°47'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R4+788.19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3409125.421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599878.422</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R4+827.38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3409163.761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599870.280</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R4+853.66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3409189.452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599864.755</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R4+862.35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3409197.943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599862.930</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R4+872.38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3409206.700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599864.200</w:t>
            </w:r>
          </w:p>
        </w:tc>
        <w:tc>
          <w:tcPr>
            <w:tcW w:w="791" w:type="pct"/>
            <w:shd w:val="clear" w:color="auto" w:fill="auto"/>
            <w:vAlign w:val="center"/>
          </w:tcPr>
          <w:p>
            <w:pPr>
              <w:spacing w:line="240" w:lineRule="exact"/>
              <w:jc w:val="center"/>
              <w:rPr>
                <w:rFonts w:ascii="Times New Roman" w:hAnsi="Times New Roman" w:eastAsia="宋体" w:cs="Times New Roman"/>
                <w:szCs w:val="21"/>
              </w:rPr>
            </w:pPr>
          </w:p>
        </w:tc>
        <w:tc>
          <w:tcPr>
            <w:tcW w:w="980" w:type="pct"/>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60</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R5+005.75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3409249.578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599853.007</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R5+018.84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3409259.590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599844.575</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0°26'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R5+035.46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3409272.387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599833.964</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0°41'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R5+040.63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3409276.405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599830.713</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R5+046.30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3409280.999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599827.396</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4°56'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R5+057.93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3409290.981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599821.424</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4°33'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R5+069.83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3409301.648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599816.141</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R5+076.02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3409307.358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599813.757</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3°18'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R5+083.15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3409313.767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599810.636</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69</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R5+089.94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3409320.020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599807.986</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0°43'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70</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R5+103.47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3409332.538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599802.867</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R5+134.28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3409360.889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599790.786</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6°13'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R5+169.30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3409394.399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599780.629</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R5+231.46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3409453.876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599762.568</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R5+299.93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3409519.328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599742.464</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R5+372.69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3409588.816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599720.896</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0°21'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R5+421.98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3409635.981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599706.569</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R5+468.60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3409680.552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599692.910</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R5+514.01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3409723.928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599679.473</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79</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R5+566.94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3409774.491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599663.793</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80</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R5+615.98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3409821.362</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599649.381</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81</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R5+636.99</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3409841.456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599643.260</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23.00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9°23'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82</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R5+640.76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3409845.135</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599642.461</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83</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R5+650.26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3409854.621</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599641.930</w:t>
            </w:r>
          </w:p>
        </w:tc>
        <w:tc>
          <w:tcPr>
            <w:tcW w:w="791"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17.00</w:t>
            </w:r>
          </w:p>
        </w:tc>
        <w:tc>
          <w:tcPr>
            <w:tcW w:w="980" w:type="pct"/>
            <w:vMerge w:val="restar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19°36'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84</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R5+656.07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3409860.270</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599640.677</w:t>
            </w:r>
          </w:p>
        </w:tc>
        <w:tc>
          <w:tcPr>
            <w:tcW w:w="791" w:type="pct"/>
            <w:vMerge w:val="continue"/>
            <w:shd w:val="clear" w:color="auto" w:fill="auto"/>
            <w:vAlign w:val="center"/>
          </w:tcPr>
          <w:p>
            <w:pPr>
              <w:spacing w:line="240" w:lineRule="exact"/>
              <w:jc w:val="center"/>
              <w:rPr>
                <w:rFonts w:ascii="Times New Roman" w:hAnsi="Times New Roman" w:eastAsia="宋体" w:cs="Times New Roman"/>
                <w:szCs w:val="21"/>
              </w:rPr>
            </w:pPr>
          </w:p>
        </w:tc>
        <w:tc>
          <w:tcPr>
            <w:tcW w:w="980" w:type="pct"/>
            <w:vMerge w:val="continue"/>
            <w:shd w:val="clear" w:color="auto" w:fill="auto"/>
            <w:vAlign w:val="center"/>
          </w:tcPr>
          <w:p>
            <w:pPr>
              <w:spacing w:line="240" w:lineRule="exact"/>
              <w:jc w:val="center"/>
              <w:rPr>
                <w:rFonts w:ascii="Times New Roman" w:hAnsi="Times New Roman" w:eastAsia="宋体"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85</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R5+672.03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3409875.036</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599634.619</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86</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R5+691.18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3409892.594</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599626.986</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87</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R5+726.28</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3409925.027</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599613.561</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0°21'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88</w:t>
            </w:r>
          </w:p>
        </w:tc>
        <w:tc>
          <w:tcPr>
            <w:tcW w:w="728"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R5+768.53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3409964.893</w:t>
            </w:r>
          </w:p>
        </w:tc>
        <w:tc>
          <w:tcPr>
            <w:tcW w:w="1022"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599596.774</w:t>
            </w:r>
          </w:p>
        </w:tc>
        <w:tc>
          <w:tcPr>
            <w:tcW w:w="791"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80" w:type="pct"/>
            <w:shd w:val="clear" w:color="auto" w:fill="auto"/>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r>
    </w:tbl>
    <w:p>
      <w:pPr>
        <w:rPr>
          <w:rFonts w:ascii="Times New Roman" w:hAnsi="Times New Roman" w:eastAsia="宋体" w:cs="Times New Roman"/>
          <w:b/>
          <w:bCs/>
          <w:sz w:val="24"/>
          <w:szCs w:val="24"/>
        </w:rPr>
      </w:pPr>
      <w:r>
        <w:rPr>
          <w:rFonts w:ascii="Times New Roman" w:hAnsi="Times New Roman" w:eastAsia="宋体" w:cs="Times New Roman"/>
          <w:b/>
          <w:bCs/>
          <w:sz w:val="24"/>
          <w:szCs w:val="24"/>
        </w:rPr>
        <w:br w:type="page"/>
      </w:r>
    </w:p>
    <w:p>
      <w:pPr>
        <w:spacing w:line="520" w:lineRule="exact"/>
        <w:jc w:val="center"/>
        <w:rPr>
          <w:rFonts w:ascii="Times New Roman" w:hAnsi="Times New Roman" w:eastAsia="宋体" w:cs="Times New Roman"/>
          <w:b/>
          <w:bCs/>
          <w:sz w:val="24"/>
          <w:szCs w:val="24"/>
        </w:rPr>
      </w:pPr>
      <w:r>
        <w:rPr>
          <w:rFonts w:hint="eastAsia" w:ascii="Times New Roman" w:hAnsi="Times New Roman" w:eastAsia="方正仿宋_GBK"/>
          <w:color w:val="auto"/>
          <w:kern w:val="0"/>
          <w:sz w:val="32"/>
          <w:szCs w:val="32"/>
          <w:lang w:bidi="ar"/>
        </w:rPr>
        <w:t>附表2  长滩河右岸堤线坐标表（下游段）</w:t>
      </w:r>
    </w:p>
    <w:tbl>
      <w:tblPr>
        <w:tblStyle w:val="10"/>
        <w:tblW w:w="4998"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39"/>
        <w:gridCol w:w="1344"/>
        <w:gridCol w:w="1886"/>
        <w:gridCol w:w="1888"/>
        <w:gridCol w:w="1460"/>
        <w:gridCol w:w="18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blHeader/>
        </w:trPr>
        <w:tc>
          <w:tcPr>
            <w:tcW w:w="455"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编号</w:t>
            </w:r>
          </w:p>
        </w:tc>
        <w:tc>
          <w:tcPr>
            <w:tcW w:w="728"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桩号</w:t>
            </w:r>
          </w:p>
        </w:tc>
        <w:tc>
          <w:tcPr>
            <w:tcW w:w="2045" w:type="pct"/>
            <w:gridSpan w:val="2"/>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坐  标  值</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转弯半径R（m）</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平面转角α（°）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blHeader/>
        </w:trPr>
        <w:tc>
          <w:tcPr>
            <w:tcW w:w="455"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728"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X</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Y</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R8+896.14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3002366.651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527906.604</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140.80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19°34'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R8+944.21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3002389.263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527948.765</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R9+083.58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3002479.349</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528055.099</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88.00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23°36'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R9+119.82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3002507.732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528077.219</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R9+122.39</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3002510.044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528078.354</w:t>
            </w:r>
          </w:p>
        </w:tc>
        <w:tc>
          <w:tcPr>
            <w:tcW w:w="791"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980"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R9+193.15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3002573.566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528109.519</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88.00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19°18'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R9+222.80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3002602.157</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528116.817</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R9+246.27</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3002625.548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528118.726</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88.00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17°54'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R9+273.76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3002652.164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528125.175</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R9+306.57</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3002682.457</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528137.766</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44.00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11</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R9+330.25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3002705.674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528140.679</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R9+382.05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3002757.095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528134.465</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88.00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15°40'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13</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R9+406.11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3002780.294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528128.368</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R9+483.14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3002852.150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528100.625</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88.00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12°34'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R9+502.44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3002869.255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528091.760</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16</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R9+508.54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3002874.327</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528088.380</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44.00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36°20'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17</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R9+536.44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3002891.279</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528066.799</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18</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R9+573.98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3002904.103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528031.523</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100.32</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19°42'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19</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R9+608.46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3002921.670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528002.049</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R9+629.29</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3002935.235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527986.247</w:t>
            </w:r>
          </w:p>
        </w:tc>
        <w:tc>
          <w:tcPr>
            <w:tcW w:w="791"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98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21</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R9+690.36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3002976.998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527941.690</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75.68</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22</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R9+703.45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3002985.081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527931.415</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23</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R9+761.81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3003014.635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527881.086</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100.32</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24</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R9+769.01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3003018.503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527875.010</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25</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R9+815.96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3003046.205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527837.104</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75.68</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19°1'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26</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R9+841.08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3003057.419</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527814.761</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27</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R9+886.02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3003070.668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527771.816</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1036.62</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28</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R9+913.08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3003080.664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527746.669</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29</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R9+928.63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3003088.233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527733.084</w:t>
            </w:r>
          </w:p>
        </w:tc>
        <w:tc>
          <w:tcPr>
            <w:tcW w:w="791"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98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7°57'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R9+978.84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3003118.499</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527693.021</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100.32</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7°47'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31</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R9+992.46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3003126.858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527682.283</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32</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R10+101.10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3003199.255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527601.279</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111.24</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14°33'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33</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R10+129.34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3003219.571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527581.773</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R10+198.66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3003274.123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527539.010</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84.05</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7°40'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35</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R10+209.89</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3003282.644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527531.700</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36</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R10+261.66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3003318.191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527494.065</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87.35</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16°15'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37</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R10+286.43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3003336.237</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527477.216</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38</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R10+323.80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3003365.077</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527453.453</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35.20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85°40'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39</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R10+376.43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3003412.856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527456.245</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40</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R10+394.43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3003425.320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527469.231</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31.68</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18°58'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41</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R10+404.92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3003433.690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527475.468</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42</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R10+419.15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3003446.765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527481.101</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56.32</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32°37'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43</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R10+451.22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3003471.132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527501.271</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44</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R10+478.55</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3003486.444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527523.911</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56.32</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45</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R10+488.38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3003491.214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527532.491</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46</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R10+531.90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3003508.968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527572.232</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31.68</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24°7'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47</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R10+545.23</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3003516.770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527582.920</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48</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R10+553.46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3003522.901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527588.405</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56.32</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13°25'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49</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R10+566.66</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3003531.620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527598.271</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50</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R10+602.20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3003551.884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527627.474</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31.68</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51</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R10+607.74</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3003555.420</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527631.723</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R10+620.32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3003564.278</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527640.654</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163.68</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10°48'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53</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R10+651.17</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3003587.932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527660.386</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54</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R10+687.21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3003617.822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527680.535</w:t>
            </w:r>
          </w:p>
        </w:tc>
        <w:tc>
          <w:tcPr>
            <w:tcW w:w="791"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22.00</w:t>
            </w:r>
          </w:p>
        </w:tc>
        <w:tc>
          <w:tcPr>
            <w:tcW w:w="980"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76°18'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55</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R10+716.51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3003626.161</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527706.402</w:t>
            </w:r>
          </w:p>
        </w:tc>
        <w:tc>
          <w:tcPr>
            <w:tcW w:w="791"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80"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455"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56</w:t>
            </w:r>
          </w:p>
        </w:tc>
        <w:tc>
          <w:tcPr>
            <w:tcW w:w="728"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R10+750.52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3003613.082</w:t>
            </w:r>
          </w:p>
        </w:tc>
        <w:tc>
          <w:tcPr>
            <w:tcW w:w="1022"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527741.800</w:t>
            </w:r>
          </w:p>
        </w:tc>
        <w:tc>
          <w:tcPr>
            <w:tcW w:w="791"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98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r>
    </w:tbl>
    <w:p>
      <w:pPr>
        <w:rPr>
          <w:rFonts w:ascii="Times New Roman" w:hAnsi="Times New Roman" w:eastAsia="宋体" w:cs="Times New Roman"/>
          <w:b/>
          <w:bCs/>
          <w:sz w:val="24"/>
          <w:szCs w:val="24"/>
        </w:rPr>
      </w:pPr>
      <w:r>
        <w:rPr>
          <w:rFonts w:ascii="Times New Roman" w:hAnsi="Times New Roman" w:eastAsia="宋体" w:cs="Times New Roman"/>
          <w:b/>
          <w:bCs/>
          <w:sz w:val="24"/>
          <w:szCs w:val="24"/>
        </w:rPr>
        <w:br w:type="page"/>
      </w:r>
    </w:p>
    <w:p>
      <w:pPr>
        <w:widowControl/>
        <w:spacing w:line="594" w:lineRule="exact"/>
        <w:jc w:val="center"/>
        <w:rPr>
          <w:rFonts w:hint="eastAsia"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bidi="ar"/>
        </w:rPr>
        <w:t>附表3  温家沟左岸堤线坐标表</w:t>
      </w:r>
    </w:p>
    <w:tbl>
      <w:tblPr>
        <w:tblStyle w:val="10"/>
        <w:tblW w:w="4997"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114"/>
        <w:gridCol w:w="2265"/>
        <w:gridCol w:w="1751"/>
        <w:gridCol w:w="1864"/>
        <w:gridCol w:w="1115"/>
        <w:gridCol w:w="111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blHeader/>
        </w:trPr>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编号</w:t>
            </w:r>
          </w:p>
        </w:tc>
        <w:tc>
          <w:tcPr>
            <w:tcW w:w="1227"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桩号</w:t>
            </w:r>
          </w:p>
        </w:tc>
        <w:tc>
          <w:tcPr>
            <w:tcW w:w="1959" w:type="pct"/>
            <w:gridSpan w:val="2"/>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坐  标  值</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转弯半径R（m）</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平面转角α（°）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blHeader/>
        </w:trPr>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1227"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X</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Y</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WZ0+000.00</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3413246.730</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600460.191</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WZ0+078.76</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3413274.617</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600386.535</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85.64</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20°33'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WZ0+109.48</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3413290.685</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600360.540</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WZ0+128.21</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3413302.329</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600345.902</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100.00</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10°44'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WZ0+134.84</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3413305.950</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600340.355</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WZ0+145.59</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3413311.828</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600331.350</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30.00</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18°37'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WZ0+155.34</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3413315.748</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600322.476</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WZ0+158.95</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3413316.457</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600318.937</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30.67</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23°4'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9</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WZ0+171.29</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3413315.710</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600306.700</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WZ0+209.67</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3413307.456</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600269.223</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11</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WZ0+241.31</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3413301.314</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600238.182</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100.00</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25°51'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WZ0+286.43</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3413283.034</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600197.349</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13</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WZ0+303.22</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3413272.918</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600183.947</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0°38'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WZ0+348.54</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3413245.218</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600148.080</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WZ0+370.86</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3413231.570</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600130.409</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100.00</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35°52'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16</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WZ0+433.48</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3413180.737</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600095.625</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17</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WZ0+469.54</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3413146.153</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600085.415</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100.00</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10°36'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18</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WZ0+488.03</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3413129.002</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600078.575</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19</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WZ0+558.84</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3413065.932</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600046.383</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30.00</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80°54'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WZ0+601.20</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3413051.029</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600010.423</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21</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WZ0+622.26</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3413057.515</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599990.386</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22</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WZ0+643.29</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3413063.993</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599970.377</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40.39</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18°55'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23</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WZ0+656.63</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3413069.500</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599958.295</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24</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WZ0+674.26</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3413078.116</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599942.905</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25</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WZ0+851.56</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3413164.723</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599788.201</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26</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WZ0+863.72</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3413170.664</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599777.587</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2°51'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27</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WZ0+877.84</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3413176.938</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599764.941</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100.00</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4°31'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28</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WZ0+885.72</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3413180.157</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599757.754</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29</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WZ0+894.01</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3413183.245</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599750.063</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100.00</w:t>
            </w:r>
          </w:p>
        </w:tc>
        <w:tc>
          <w:tcPr>
            <w:tcW w:w="604" w:type="pct"/>
            <w:vMerge w:val="restar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5°13'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WZ0+903.11</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3413186.247</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599741.472</w:t>
            </w: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c>
          <w:tcPr>
            <w:tcW w:w="604" w:type="pct"/>
            <w:vMerge w:val="continue"/>
            <w:shd w:val="clear" w:color="auto" w:fill="auto"/>
            <w:vAlign w:val="center"/>
          </w:tcPr>
          <w:p>
            <w:pPr>
              <w:widowControl/>
              <w:jc w:val="center"/>
              <w:rPr>
                <w:rFonts w:ascii="Times New Roman" w:hAnsi="Times New Roman" w:eastAsia="宋体" w:cs="Times New Roman"/>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exact"/>
        </w:trPr>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31</w:t>
            </w:r>
          </w:p>
        </w:tc>
        <w:tc>
          <w:tcPr>
            <w:tcW w:w="1227"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WZ0+939.52</w:t>
            </w:r>
          </w:p>
        </w:tc>
        <w:tc>
          <w:tcPr>
            <w:tcW w:w="949"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3413196.684</w:t>
            </w:r>
          </w:p>
        </w:tc>
        <w:tc>
          <w:tcPr>
            <w:tcW w:w="1010"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599706.591</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04" w:type="pct"/>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r>
    </w:tbl>
    <w:p>
      <w:pPr>
        <w:pStyle w:val="13"/>
        <w:rPr>
          <w:rFonts w:hint="eastAsia" w:ascii="Times New Roman" w:cs="Times New Roman"/>
          <w:color w:val="auto"/>
          <w:kern w:val="2"/>
          <w:sz w:val="21"/>
          <w:szCs w:val="28"/>
        </w:rPr>
      </w:pPr>
    </w:p>
    <w:p>
      <w:pPr>
        <w:pStyle w:val="13"/>
        <w:rPr>
          <w:rFonts w:hint="eastAsia" w:eastAsia="方正仿宋_GBK"/>
          <w:sz w:val="21"/>
          <w:szCs w:val="21"/>
          <w:lang w:eastAsia="zh-CN" w:bidi="ar"/>
        </w:rPr>
      </w:pPr>
      <w:r>
        <w:rPr>
          <w:rFonts w:hint="eastAsia" w:ascii="Times New Roman" w:cs="Times New Roman"/>
          <w:color w:val="auto"/>
          <w:kern w:val="2"/>
          <w:sz w:val="21"/>
          <w:szCs w:val="28"/>
        </w:rPr>
        <w:t>备注：坐标系统为2000国家大地坐标系。</w:t>
      </w:r>
    </w:p>
    <w:sectPr>
      <w:footerReference r:id="rId4" w:type="default"/>
      <w:pgSz w:w="11906" w:h="16838"/>
      <w:pgMar w:top="1984" w:right="1446" w:bottom="1644" w:left="1446"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9"/>
      <w:rPr>
        <w:rStyle w:val="12"/>
        <w:rFonts w:ascii="宋体" w:hAnsi="宋体"/>
        <w:sz w:val="28"/>
        <w:szCs w:val="28"/>
      </w:rPr>
    </w:pPr>
    <w:r>
      <w:rPr>
        <w:rStyle w:val="12"/>
        <w:rFonts w:hint="eastAsia" w:ascii="宋体" w:hAnsi="宋体"/>
        <w:sz w:val="28"/>
        <w:szCs w:val="28"/>
      </w:rPr>
      <w:t xml:space="preserve">— </w:t>
    </w: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rPr>
      <w:t>2</w:t>
    </w:r>
    <w:r>
      <w:rPr>
        <w:rFonts w:hint="eastAsia" w:ascii="宋体" w:hAnsi="宋体"/>
        <w:sz w:val="28"/>
        <w:szCs w:val="28"/>
      </w:rPr>
      <w:fldChar w:fldCharType="end"/>
    </w:r>
    <w:r>
      <w:rPr>
        <w:rStyle w:val="12"/>
        <w:rFonts w:hint="eastAsia" w:ascii="宋体" w:hAnsi="宋体"/>
        <w:sz w:val="28"/>
        <w:szCs w:val="28"/>
      </w:rPr>
      <w:t xml:space="preserve">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9"/>
      <w:rPr>
        <w:rStyle w:val="12"/>
        <w:rFonts w:ascii="宋体" w:hAnsi="宋体"/>
        <w:sz w:val="28"/>
        <w:szCs w:val="28"/>
      </w:rPr>
    </w:pPr>
    <w:r>
      <w:rPr>
        <w:rStyle w:val="12"/>
        <w:rFonts w:hint="eastAsia" w:ascii="宋体" w:hAnsi="宋体"/>
        <w:sz w:val="28"/>
        <w:szCs w:val="28"/>
      </w:rPr>
      <w:t xml:space="preserve">— </w:t>
    </w: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rPr>
      <w:t>4</w:t>
    </w:r>
    <w:r>
      <w:rPr>
        <w:rFonts w:hint="eastAsia" w:ascii="宋体" w:hAnsi="宋体"/>
        <w:sz w:val="28"/>
        <w:szCs w:val="28"/>
      </w:rPr>
      <w:fldChar w:fldCharType="end"/>
    </w:r>
    <w:r>
      <w:rPr>
        <w:rStyle w:val="12"/>
        <w:rFonts w:hint="eastAsia" w:ascii="宋体" w:hAnsi="宋体"/>
        <w:sz w:val="28"/>
        <w:szCs w:val="28"/>
      </w:rPr>
      <w:t xml:space="preserve"> —</w: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886427"/>
    <w:multiLevelType w:val="singleLevel"/>
    <w:tmpl w:val="D3886427"/>
    <w:lvl w:ilvl="0" w:tentative="0">
      <w:start w:val="2"/>
      <w:numFmt w:val="decimal"/>
      <w:suff w:val="space"/>
      <w:lvlText w:val="%1."/>
      <w:lvlJc w:val="left"/>
    </w:lvl>
  </w:abstractNum>
  <w:abstractNum w:abstractNumId="1">
    <w:nsid w:val="EFFC0F14"/>
    <w:multiLevelType w:val="singleLevel"/>
    <w:tmpl w:val="EFFC0F14"/>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MmE5YTBjMTAyMjhkYjYyOWQ3OTUwYTAyZTRkZDEifQ=="/>
  </w:docVars>
  <w:rsids>
    <w:rsidRoot w:val="00172A27"/>
    <w:rsid w:val="0000117F"/>
    <w:rsid w:val="00060C48"/>
    <w:rsid w:val="00080DE9"/>
    <w:rsid w:val="00080F8F"/>
    <w:rsid w:val="000843A3"/>
    <w:rsid w:val="000943E2"/>
    <w:rsid w:val="000D31BD"/>
    <w:rsid w:val="000E74E8"/>
    <w:rsid w:val="0013296D"/>
    <w:rsid w:val="001375F9"/>
    <w:rsid w:val="0015145F"/>
    <w:rsid w:val="00165E1C"/>
    <w:rsid w:val="00167901"/>
    <w:rsid w:val="00180FE2"/>
    <w:rsid w:val="0018163A"/>
    <w:rsid w:val="00186E9B"/>
    <w:rsid w:val="001D0B75"/>
    <w:rsid w:val="001F25D2"/>
    <w:rsid w:val="002101F6"/>
    <w:rsid w:val="00212506"/>
    <w:rsid w:val="002229DB"/>
    <w:rsid w:val="002246DF"/>
    <w:rsid w:val="002304BC"/>
    <w:rsid w:val="002379B1"/>
    <w:rsid w:val="00255DAB"/>
    <w:rsid w:val="00262C33"/>
    <w:rsid w:val="00276667"/>
    <w:rsid w:val="00280325"/>
    <w:rsid w:val="00287AEA"/>
    <w:rsid w:val="002B6113"/>
    <w:rsid w:val="002C18CE"/>
    <w:rsid w:val="002D413E"/>
    <w:rsid w:val="002D5C14"/>
    <w:rsid w:val="002E6FD5"/>
    <w:rsid w:val="002F3C0B"/>
    <w:rsid w:val="00313028"/>
    <w:rsid w:val="00323EA4"/>
    <w:rsid w:val="0033626C"/>
    <w:rsid w:val="00350C46"/>
    <w:rsid w:val="00381C07"/>
    <w:rsid w:val="00387AE9"/>
    <w:rsid w:val="003C203A"/>
    <w:rsid w:val="003D4AB8"/>
    <w:rsid w:val="003E08A6"/>
    <w:rsid w:val="003F2A7D"/>
    <w:rsid w:val="003F6297"/>
    <w:rsid w:val="004051BE"/>
    <w:rsid w:val="00411B68"/>
    <w:rsid w:val="0042000E"/>
    <w:rsid w:val="004334E4"/>
    <w:rsid w:val="004647E0"/>
    <w:rsid w:val="00467405"/>
    <w:rsid w:val="00476004"/>
    <w:rsid w:val="004B3BEF"/>
    <w:rsid w:val="004B7558"/>
    <w:rsid w:val="004E577A"/>
    <w:rsid w:val="004E61F0"/>
    <w:rsid w:val="004F5839"/>
    <w:rsid w:val="004F7B03"/>
    <w:rsid w:val="005558BD"/>
    <w:rsid w:val="0058358C"/>
    <w:rsid w:val="005A093D"/>
    <w:rsid w:val="005D35FE"/>
    <w:rsid w:val="00604D4E"/>
    <w:rsid w:val="00615598"/>
    <w:rsid w:val="00626A22"/>
    <w:rsid w:val="00630BE9"/>
    <w:rsid w:val="0063606C"/>
    <w:rsid w:val="00637F0E"/>
    <w:rsid w:val="00667886"/>
    <w:rsid w:val="00672EE1"/>
    <w:rsid w:val="00682665"/>
    <w:rsid w:val="00693B6D"/>
    <w:rsid w:val="006A5316"/>
    <w:rsid w:val="006B2211"/>
    <w:rsid w:val="00702135"/>
    <w:rsid w:val="00704CAB"/>
    <w:rsid w:val="00726076"/>
    <w:rsid w:val="0073505D"/>
    <w:rsid w:val="00757037"/>
    <w:rsid w:val="00770C95"/>
    <w:rsid w:val="007823EC"/>
    <w:rsid w:val="0078331B"/>
    <w:rsid w:val="0078662C"/>
    <w:rsid w:val="007878F4"/>
    <w:rsid w:val="007A69A2"/>
    <w:rsid w:val="007B10F8"/>
    <w:rsid w:val="007B79B4"/>
    <w:rsid w:val="007C1DA0"/>
    <w:rsid w:val="007D047A"/>
    <w:rsid w:val="007F6DC3"/>
    <w:rsid w:val="008012AF"/>
    <w:rsid w:val="00803100"/>
    <w:rsid w:val="00805511"/>
    <w:rsid w:val="00813CDB"/>
    <w:rsid w:val="0082597E"/>
    <w:rsid w:val="00830B9D"/>
    <w:rsid w:val="00835842"/>
    <w:rsid w:val="008364FA"/>
    <w:rsid w:val="0085735A"/>
    <w:rsid w:val="00857D4C"/>
    <w:rsid w:val="008622EF"/>
    <w:rsid w:val="00896C53"/>
    <w:rsid w:val="008B248D"/>
    <w:rsid w:val="008B4DD8"/>
    <w:rsid w:val="008C0A49"/>
    <w:rsid w:val="008D0DAF"/>
    <w:rsid w:val="008E4A17"/>
    <w:rsid w:val="00900B18"/>
    <w:rsid w:val="00912BF9"/>
    <w:rsid w:val="00917A14"/>
    <w:rsid w:val="0095770F"/>
    <w:rsid w:val="00971630"/>
    <w:rsid w:val="00973853"/>
    <w:rsid w:val="00980B14"/>
    <w:rsid w:val="009A5F66"/>
    <w:rsid w:val="009A7CD3"/>
    <w:rsid w:val="009B6472"/>
    <w:rsid w:val="009C5C4F"/>
    <w:rsid w:val="009E2A89"/>
    <w:rsid w:val="009E6BC2"/>
    <w:rsid w:val="009F1E1F"/>
    <w:rsid w:val="009F4298"/>
    <w:rsid w:val="009F6234"/>
    <w:rsid w:val="00A11FD4"/>
    <w:rsid w:val="00A25361"/>
    <w:rsid w:val="00A42211"/>
    <w:rsid w:val="00A57216"/>
    <w:rsid w:val="00A852E6"/>
    <w:rsid w:val="00A901FF"/>
    <w:rsid w:val="00AA0E5E"/>
    <w:rsid w:val="00AA4C98"/>
    <w:rsid w:val="00AA5915"/>
    <w:rsid w:val="00AA6A6E"/>
    <w:rsid w:val="00AC3A2D"/>
    <w:rsid w:val="00AC4F05"/>
    <w:rsid w:val="00AD5497"/>
    <w:rsid w:val="00AE6A21"/>
    <w:rsid w:val="00AF7923"/>
    <w:rsid w:val="00B07216"/>
    <w:rsid w:val="00B1153C"/>
    <w:rsid w:val="00B22C6B"/>
    <w:rsid w:val="00B22F6E"/>
    <w:rsid w:val="00B42916"/>
    <w:rsid w:val="00B6313A"/>
    <w:rsid w:val="00B75C65"/>
    <w:rsid w:val="00B75EBC"/>
    <w:rsid w:val="00B83961"/>
    <w:rsid w:val="00B86558"/>
    <w:rsid w:val="00BA37E2"/>
    <w:rsid w:val="00BA5290"/>
    <w:rsid w:val="00BD312C"/>
    <w:rsid w:val="00BD5373"/>
    <w:rsid w:val="00BD5FB7"/>
    <w:rsid w:val="00BD6988"/>
    <w:rsid w:val="00BE34BF"/>
    <w:rsid w:val="00C004EA"/>
    <w:rsid w:val="00C14F99"/>
    <w:rsid w:val="00C36952"/>
    <w:rsid w:val="00C87D72"/>
    <w:rsid w:val="00CA35C7"/>
    <w:rsid w:val="00CE1371"/>
    <w:rsid w:val="00CE2892"/>
    <w:rsid w:val="00CE6234"/>
    <w:rsid w:val="00CE7DEF"/>
    <w:rsid w:val="00D010EA"/>
    <w:rsid w:val="00D0412F"/>
    <w:rsid w:val="00D16EC0"/>
    <w:rsid w:val="00D34A28"/>
    <w:rsid w:val="00D9733F"/>
    <w:rsid w:val="00DA2211"/>
    <w:rsid w:val="00DA51B8"/>
    <w:rsid w:val="00DB36DA"/>
    <w:rsid w:val="00DB7766"/>
    <w:rsid w:val="00DC63F8"/>
    <w:rsid w:val="00DE43C1"/>
    <w:rsid w:val="00DF2FD3"/>
    <w:rsid w:val="00DF6728"/>
    <w:rsid w:val="00E25F69"/>
    <w:rsid w:val="00E267F1"/>
    <w:rsid w:val="00E3611E"/>
    <w:rsid w:val="00E42B68"/>
    <w:rsid w:val="00E53C48"/>
    <w:rsid w:val="00E83AC6"/>
    <w:rsid w:val="00EA2041"/>
    <w:rsid w:val="00EA7A09"/>
    <w:rsid w:val="00EB1B7B"/>
    <w:rsid w:val="00EC252B"/>
    <w:rsid w:val="00EF5D1B"/>
    <w:rsid w:val="00F137BD"/>
    <w:rsid w:val="00F1463D"/>
    <w:rsid w:val="00F164EB"/>
    <w:rsid w:val="00F1763B"/>
    <w:rsid w:val="00F261E3"/>
    <w:rsid w:val="00F35A5D"/>
    <w:rsid w:val="00F56E8E"/>
    <w:rsid w:val="00F62E0D"/>
    <w:rsid w:val="00F64D36"/>
    <w:rsid w:val="00F661FF"/>
    <w:rsid w:val="00F96782"/>
    <w:rsid w:val="00FA2BC2"/>
    <w:rsid w:val="00FA63A5"/>
    <w:rsid w:val="00FB42D1"/>
    <w:rsid w:val="00FC5CF4"/>
    <w:rsid w:val="00FC7585"/>
    <w:rsid w:val="00FD17D7"/>
    <w:rsid w:val="00FD6BD6"/>
    <w:rsid w:val="00FE0319"/>
    <w:rsid w:val="06A73081"/>
    <w:rsid w:val="06E25862"/>
    <w:rsid w:val="06EC5F66"/>
    <w:rsid w:val="086A6BEE"/>
    <w:rsid w:val="08DF3DF3"/>
    <w:rsid w:val="08F80184"/>
    <w:rsid w:val="097F55EA"/>
    <w:rsid w:val="09E67273"/>
    <w:rsid w:val="0A1310FF"/>
    <w:rsid w:val="0B4658F2"/>
    <w:rsid w:val="0C112E71"/>
    <w:rsid w:val="0C8353F1"/>
    <w:rsid w:val="0C956C30"/>
    <w:rsid w:val="0CA87562"/>
    <w:rsid w:val="0D660F9A"/>
    <w:rsid w:val="0E0E77CE"/>
    <w:rsid w:val="12F21793"/>
    <w:rsid w:val="144844B6"/>
    <w:rsid w:val="145558C5"/>
    <w:rsid w:val="14FBA8CC"/>
    <w:rsid w:val="155142DE"/>
    <w:rsid w:val="161A526B"/>
    <w:rsid w:val="17FAD88C"/>
    <w:rsid w:val="185D2B2E"/>
    <w:rsid w:val="195F22DA"/>
    <w:rsid w:val="1A6E76E0"/>
    <w:rsid w:val="1A815622"/>
    <w:rsid w:val="1B486183"/>
    <w:rsid w:val="1D3F7112"/>
    <w:rsid w:val="1DBDE8AD"/>
    <w:rsid w:val="1DDF9591"/>
    <w:rsid w:val="21553F1F"/>
    <w:rsid w:val="23065491"/>
    <w:rsid w:val="24853FA4"/>
    <w:rsid w:val="25755DC7"/>
    <w:rsid w:val="25FBF37C"/>
    <w:rsid w:val="267E0CAB"/>
    <w:rsid w:val="26CFD309"/>
    <w:rsid w:val="27F56814"/>
    <w:rsid w:val="27FF3423"/>
    <w:rsid w:val="28563F38"/>
    <w:rsid w:val="2ABBA9B4"/>
    <w:rsid w:val="2B8B3A90"/>
    <w:rsid w:val="2D08505D"/>
    <w:rsid w:val="2D3C366E"/>
    <w:rsid w:val="2E6F9124"/>
    <w:rsid w:val="2EBB1D0E"/>
    <w:rsid w:val="2FEFF896"/>
    <w:rsid w:val="313F372D"/>
    <w:rsid w:val="31D2634F"/>
    <w:rsid w:val="320078BE"/>
    <w:rsid w:val="337A6C9E"/>
    <w:rsid w:val="33F51B76"/>
    <w:rsid w:val="342C0774"/>
    <w:rsid w:val="34BF705E"/>
    <w:rsid w:val="37DE0EE6"/>
    <w:rsid w:val="37EDB4AC"/>
    <w:rsid w:val="38EA4481"/>
    <w:rsid w:val="39376333"/>
    <w:rsid w:val="39EC87EC"/>
    <w:rsid w:val="3A566334"/>
    <w:rsid w:val="3AA06FEA"/>
    <w:rsid w:val="3AF79F18"/>
    <w:rsid w:val="3AFA1224"/>
    <w:rsid w:val="3B907DAB"/>
    <w:rsid w:val="3BFFC9F4"/>
    <w:rsid w:val="3C1557B6"/>
    <w:rsid w:val="3C241E9D"/>
    <w:rsid w:val="3CFDE2AF"/>
    <w:rsid w:val="3E6FE2DE"/>
    <w:rsid w:val="3EBCF394"/>
    <w:rsid w:val="3FEBCDAE"/>
    <w:rsid w:val="40507671"/>
    <w:rsid w:val="413840B2"/>
    <w:rsid w:val="41F99A0E"/>
    <w:rsid w:val="4205007B"/>
    <w:rsid w:val="43324E9F"/>
    <w:rsid w:val="43797681"/>
    <w:rsid w:val="43CF0D40"/>
    <w:rsid w:val="44F74837"/>
    <w:rsid w:val="45F76116"/>
    <w:rsid w:val="476580E3"/>
    <w:rsid w:val="47D253E2"/>
    <w:rsid w:val="4AFF7D5D"/>
    <w:rsid w:val="4B896C11"/>
    <w:rsid w:val="4D27359B"/>
    <w:rsid w:val="4D9805D7"/>
    <w:rsid w:val="4DEFC5B1"/>
    <w:rsid w:val="4DFD2D34"/>
    <w:rsid w:val="4E7D345A"/>
    <w:rsid w:val="4F2A4E95"/>
    <w:rsid w:val="4F5FA6C0"/>
    <w:rsid w:val="4FFFB3EC"/>
    <w:rsid w:val="53D837D7"/>
    <w:rsid w:val="56B5119C"/>
    <w:rsid w:val="56EFA78F"/>
    <w:rsid w:val="57CE1512"/>
    <w:rsid w:val="57FF990D"/>
    <w:rsid w:val="594E13B8"/>
    <w:rsid w:val="59C64517"/>
    <w:rsid w:val="5B7C849B"/>
    <w:rsid w:val="5BCF2642"/>
    <w:rsid w:val="5C45B520"/>
    <w:rsid w:val="5CD72E5E"/>
    <w:rsid w:val="5CE5011D"/>
    <w:rsid w:val="5CFB5570"/>
    <w:rsid w:val="5D3165EA"/>
    <w:rsid w:val="5EFA7CCD"/>
    <w:rsid w:val="5F2C6066"/>
    <w:rsid w:val="5F3F70D5"/>
    <w:rsid w:val="5F4B86B0"/>
    <w:rsid w:val="5F6E5307"/>
    <w:rsid w:val="5FAE3C55"/>
    <w:rsid w:val="5FDEA4B1"/>
    <w:rsid w:val="5FEEEF42"/>
    <w:rsid w:val="5FF30A75"/>
    <w:rsid w:val="5FF5F01E"/>
    <w:rsid w:val="5FFEE4ED"/>
    <w:rsid w:val="60BD7CE2"/>
    <w:rsid w:val="60F15968"/>
    <w:rsid w:val="61D165F8"/>
    <w:rsid w:val="647E51B9"/>
    <w:rsid w:val="654900FB"/>
    <w:rsid w:val="658722B1"/>
    <w:rsid w:val="66DD26A3"/>
    <w:rsid w:val="677FE8BA"/>
    <w:rsid w:val="67C959E5"/>
    <w:rsid w:val="67CFA1FD"/>
    <w:rsid w:val="69674FF3"/>
    <w:rsid w:val="69C67F6C"/>
    <w:rsid w:val="6AFD996C"/>
    <w:rsid w:val="6BB3B7CF"/>
    <w:rsid w:val="6BBF6CD5"/>
    <w:rsid w:val="6C076A02"/>
    <w:rsid w:val="6CC72467"/>
    <w:rsid w:val="6E35746E"/>
    <w:rsid w:val="6EFE0A19"/>
    <w:rsid w:val="6F1277AF"/>
    <w:rsid w:val="6F79782E"/>
    <w:rsid w:val="6F9BA59E"/>
    <w:rsid w:val="6FC22F83"/>
    <w:rsid w:val="6FFD65BE"/>
    <w:rsid w:val="6FFF438D"/>
    <w:rsid w:val="71233EF6"/>
    <w:rsid w:val="731425BA"/>
    <w:rsid w:val="73DFF394"/>
    <w:rsid w:val="73EBEB32"/>
    <w:rsid w:val="75BA6222"/>
    <w:rsid w:val="75EA771F"/>
    <w:rsid w:val="7757D41C"/>
    <w:rsid w:val="777780F2"/>
    <w:rsid w:val="777D786F"/>
    <w:rsid w:val="779B0C6F"/>
    <w:rsid w:val="77EC7B96"/>
    <w:rsid w:val="77FB083A"/>
    <w:rsid w:val="77FB3E6F"/>
    <w:rsid w:val="78BD5141"/>
    <w:rsid w:val="78CD2AC8"/>
    <w:rsid w:val="7A2DC5C3"/>
    <w:rsid w:val="7A5B6E19"/>
    <w:rsid w:val="7A6D1E97"/>
    <w:rsid w:val="7ACC115A"/>
    <w:rsid w:val="7ADB139D"/>
    <w:rsid w:val="7ADC7BCA"/>
    <w:rsid w:val="7AFFABBC"/>
    <w:rsid w:val="7B231E60"/>
    <w:rsid w:val="7BC438F3"/>
    <w:rsid w:val="7BC78ADA"/>
    <w:rsid w:val="7BEF70A0"/>
    <w:rsid w:val="7BF9BD45"/>
    <w:rsid w:val="7BFF6F47"/>
    <w:rsid w:val="7CF83BAB"/>
    <w:rsid w:val="7D6D79AA"/>
    <w:rsid w:val="7DBC326D"/>
    <w:rsid w:val="7DEECEAC"/>
    <w:rsid w:val="7E592A19"/>
    <w:rsid w:val="7EBFC450"/>
    <w:rsid w:val="7EDDB14A"/>
    <w:rsid w:val="7EEE1F73"/>
    <w:rsid w:val="7EF7782A"/>
    <w:rsid w:val="7EFEC674"/>
    <w:rsid w:val="7F1C9FBF"/>
    <w:rsid w:val="7F3CBE9F"/>
    <w:rsid w:val="7F76A414"/>
    <w:rsid w:val="7F7D58EC"/>
    <w:rsid w:val="7F7F5534"/>
    <w:rsid w:val="7F879A34"/>
    <w:rsid w:val="7FA8F338"/>
    <w:rsid w:val="7FBAA2BD"/>
    <w:rsid w:val="7FBEA39F"/>
    <w:rsid w:val="7FDF72B8"/>
    <w:rsid w:val="7FEC7045"/>
    <w:rsid w:val="7FEF5842"/>
    <w:rsid w:val="7FEFC1B5"/>
    <w:rsid w:val="7FF74777"/>
    <w:rsid w:val="7FFADDA8"/>
    <w:rsid w:val="7FFB6946"/>
    <w:rsid w:val="7FFB94B4"/>
    <w:rsid w:val="7FFF7A50"/>
    <w:rsid w:val="7FFFB605"/>
    <w:rsid w:val="8F7A9915"/>
    <w:rsid w:val="97E7F88E"/>
    <w:rsid w:val="9D4B5CFF"/>
    <w:rsid w:val="9D7A8DFD"/>
    <w:rsid w:val="9DFD6D0B"/>
    <w:rsid w:val="9FEB3E71"/>
    <w:rsid w:val="A4FF8CCF"/>
    <w:rsid w:val="A5D2D812"/>
    <w:rsid w:val="A5DDEC2F"/>
    <w:rsid w:val="ABBAF70A"/>
    <w:rsid w:val="ABDC60BD"/>
    <w:rsid w:val="ABEF33DC"/>
    <w:rsid w:val="ACF595DE"/>
    <w:rsid w:val="AF6EB606"/>
    <w:rsid w:val="AF9F9521"/>
    <w:rsid w:val="AFCB4859"/>
    <w:rsid w:val="B7BF2340"/>
    <w:rsid w:val="B7EFCCA4"/>
    <w:rsid w:val="BD7FEEA7"/>
    <w:rsid w:val="BECFDE02"/>
    <w:rsid w:val="BF5D5CB9"/>
    <w:rsid w:val="BF5F07ED"/>
    <w:rsid w:val="BF777582"/>
    <w:rsid w:val="BF7D996C"/>
    <w:rsid w:val="BFEEF583"/>
    <w:rsid w:val="BFFD0B47"/>
    <w:rsid w:val="BFFFBBD3"/>
    <w:rsid w:val="C1FE2B1F"/>
    <w:rsid w:val="C3FC858A"/>
    <w:rsid w:val="CCFAF5C1"/>
    <w:rsid w:val="CEE7B7EE"/>
    <w:rsid w:val="D3DB9C93"/>
    <w:rsid w:val="D41F9B05"/>
    <w:rsid w:val="D53FEF47"/>
    <w:rsid w:val="D75FADAD"/>
    <w:rsid w:val="D7FB530A"/>
    <w:rsid w:val="D9F79E33"/>
    <w:rsid w:val="DDF7DBAE"/>
    <w:rsid w:val="DE9B97FD"/>
    <w:rsid w:val="DF2FC972"/>
    <w:rsid w:val="DF9ECC6D"/>
    <w:rsid w:val="DFB37940"/>
    <w:rsid w:val="DFE925C8"/>
    <w:rsid w:val="DFEF7F9D"/>
    <w:rsid w:val="DFF972D1"/>
    <w:rsid w:val="DFFC5816"/>
    <w:rsid w:val="E5AC51FD"/>
    <w:rsid w:val="E5FC247E"/>
    <w:rsid w:val="EB9ACE09"/>
    <w:rsid w:val="EBFE6B43"/>
    <w:rsid w:val="ED7F0276"/>
    <w:rsid w:val="EDE6EED6"/>
    <w:rsid w:val="EDF69E28"/>
    <w:rsid w:val="EDF716A8"/>
    <w:rsid w:val="EFF79DF6"/>
    <w:rsid w:val="EFFF8A90"/>
    <w:rsid w:val="F3F4DFF1"/>
    <w:rsid w:val="F4F72F81"/>
    <w:rsid w:val="F6FAB2F8"/>
    <w:rsid w:val="F6FB6AA9"/>
    <w:rsid w:val="F73E0855"/>
    <w:rsid w:val="F76359BB"/>
    <w:rsid w:val="F77F4026"/>
    <w:rsid w:val="F797FEDA"/>
    <w:rsid w:val="F7F4D78B"/>
    <w:rsid w:val="F7FF8D5F"/>
    <w:rsid w:val="F7FF9610"/>
    <w:rsid w:val="F9EF7B80"/>
    <w:rsid w:val="FAB9996D"/>
    <w:rsid w:val="FB6FFC19"/>
    <w:rsid w:val="FBA89606"/>
    <w:rsid w:val="FBAF74C7"/>
    <w:rsid w:val="FBF52DEC"/>
    <w:rsid w:val="FC7913B0"/>
    <w:rsid w:val="FCBBCA6F"/>
    <w:rsid w:val="FCDE21AE"/>
    <w:rsid w:val="FD9EEAB7"/>
    <w:rsid w:val="FDBE5B11"/>
    <w:rsid w:val="FDDFC456"/>
    <w:rsid w:val="FDF38A27"/>
    <w:rsid w:val="FDFF5B40"/>
    <w:rsid w:val="FE7F9AEA"/>
    <w:rsid w:val="FEFA26E3"/>
    <w:rsid w:val="FF3B2D18"/>
    <w:rsid w:val="FF6EC55F"/>
    <w:rsid w:val="FF7FB730"/>
    <w:rsid w:val="FF911EFE"/>
    <w:rsid w:val="FF9D91BC"/>
    <w:rsid w:val="FFA35854"/>
    <w:rsid w:val="FFA7BFFA"/>
    <w:rsid w:val="FFD75BA9"/>
    <w:rsid w:val="FFEF4A4D"/>
    <w:rsid w:val="FFEFF84A"/>
    <w:rsid w:val="FFFAD895"/>
    <w:rsid w:val="FFFD1B90"/>
    <w:rsid w:val="FFFE6418"/>
    <w:rsid w:val="FFFECED5"/>
    <w:rsid w:val="FFFEEBE8"/>
    <w:rsid w:val="FFFF4141"/>
    <w:rsid w:val="FFFFFB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4"/>
    <w:qFormat/>
    <w:uiPriority w:val="0"/>
    <w:pPr>
      <w:spacing w:after="120"/>
    </w:pPr>
    <w:rPr>
      <w:rFonts w:ascii="Times New Roman" w:hAnsi="Times New Roman" w:eastAsia="宋体" w:cs="Times New Roman"/>
      <w:sz w:val="28"/>
      <w:szCs w:val="28"/>
    </w:rPr>
  </w:style>
  <w:style w:type="paragraph" w:styleId="3">
    <w:name w:val="Body Text First Indent"/>
    <w:basedOn w:val="2"/>
    <w:unhideWhenUsed/>
    <w:qFormat/>
    <w:uiPriority w:val="99"/>
    <w:pPr>
      <w:ind w:firstLine="420" w:firstLineChars="100"/>
    </w:pPr>
  </w:style>
  <w:style w:type="paragraph" w:styleId="5">
    <w:name w:val="caption"/>
    <w:basedOn w:val="1"/>
    <w:next w:val="1"/>
    <w:qFormat/>
    <w:uiPriority w:val="0"/>
    <w:pPr>
      <w:keepNext/>
      <w:jc w:val="center"/>
    </w:pPr>
    <w:rPr>
      <w:rFonts w:ascii="Cambria" w:hAnsi="Cambria" w:eastAsia="宋体" w:cs="Times New Roman"/>
      <w:b/>
      <w:kern w:val="0"/>
      <w:sz w:val="24"/>
      <w:szCs w:val="20"/>
    </w:rPr>
  </w:style>
  <w:style w:type="paragraph" w:styleId="6">
    <w:name w:val="Balloon Text"/>
    <w:basedOn w:val="1"/>
    <w:link w:val="15"/>
    <w:unhideWhenUsed/>
    <w:qFormat/>
    <w:uiPriority w:val="99"/>
    <w:rPr>
      <w:sz w:val="18"/>
      <w:szCs w:val="18"/>
    </w:rPr>
  </w:style>
  <w:style w:type="paragraph" w:styleId="7">
    <w:name w:val="footer"/>
    <w:basedOn w:val="1"/>
    <w:next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Autospacing="1" w:afterAutospacing="1"/>
      <w:jc w:val="left"/>
    </w:pPr>
    <w:rPr>
      <w:rFonts w:cs="Times New Roman"/>
      <w:kern w:val="0"/>
      <w:sz w:val="24"/>
    </w:rPr>
  </w:style>
  <w:style w:type="character" w:styleId="12">
    <w:name w:val="page number"/>
    <w:qFormat/>
    <w:uiPriority w:val="0"/>
  </w:style>
  <w:style w:type="paragraph" w:customStyle="1" w:styleId="13">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character" w:customStyle="1" w:styleId="14">
    <w:name w:val="正文文本 字符"/>
    <w:link w:val="2"/>
    <w:qFormat/>
    <w:uiPriority w:val="0"/>
    <w:rPr>
      <w:rFonts w:ascii="Times New Roman" w:hAnsi="Times New Roman" w:eastAsia="宋体" w:cs="Times New Roman"/>
      <w:sz w:val="28"/>
      <w:szCs w:val="28"/>
    </w:rPr>
  </w:style>
  <w:style w:type="character" w:customStyle="1" w:styleId="15">
    <w:name w:val="批注框文本 字符"/>
    <w:link w:val="6"/>
    <w:semiHidden/>
    <w:qFormat/>
    <w:uiPriority w:val="99"/>
    <w:rPr>
      <w:sz w:val="18"/>
      <w:szCs w:val="18"/>
    </w:rPr>
  </w:style>
  <w:style w:type="character" w:customStyle="1" w:styleId="16">
    <w:name w:val="页脚 字符"/>
    <w:link w:val="7"/>
    <w:qFormat/>
    <w:uiPriority w:val="99"/>
    <w:rPr>
      <w:sz w:val="18"/>
      <w:szCs w:val="18"/>
    </w:rPr>
  </w:style>
  <w:style w:type="character" w:customStyle="1" w:styleId="17">
    <w:name w:val="页眉 字符"/>
    <w:link w:val="8"/>
    <w:qFormat/>
    <w:uiPriority w:val="99"/>
    <w:rPr>
      <w:sz w:val="18"/>
      <w:szCs w:val="18"/>
    </w:rPr>
  </w:style>
  <w:style w:type="character" w:customStyle="1" w:styleId="18">
    <w:name w:val="Q表格标题 Char"/>
    <w:link w:val="19"/>
    <w:qFormat/>
    <w:uiPriority w:val="0"/>
    <w:rPr>
      <w:rFonts w:eastAsia="黑体" w:cs="宋体"/>
      <w:bCs/>
      <w:color w:val="000000"/>
      <w:sz w:val="24"/>
      <w:szCs w:val="24"/>
    </w:rPr>
  </w:style>
  <w:style w:type="paragraph" w:customStyle="1" w:styleId="19">
    <w:name w:val="Q表格标题"/>
    <w:basedOn w:val="1"/>
    <w:link w:val="18"/>
    <w:qFormat/>
    <w:uiPriority w:val="0"/>
    <w:pPr>
      <w:widowControl/>
      <w:adjustRightInd w:val="0"/>
      <w:snapToGrid w:val="0"/>
      <w:jc w:val="center"/>
    </w:pPr>
    <w:rPr>
      <w:rFonts w:eastAsia="黑体" w:cs="宋体"/>
      <w:bCs/>
      <w:color w:val="000000"/>
      <w:kern w:val="0"/>
      <w:sz w:val="24"/>
      <w:szCs w:val="24"/>
    </w:rPr>
  </w:style>
  <w:style w:type="character" w:customStyle="1" w:styleId="20">
    <w:name w:val="正文文本 (2)_"/>
    <w:link w:val="21"/>
    <w:qFormat/>
    <w:locked/>
    <w:uiPriority w:val="99"/>
    <w:rPr>
      <w:rFonts w:ascii="微软雅黑" w:hAnsi="微软雅黑" w:eastAsia="微软雅黑" w:cs="微软雅黑"/>
      <w:spacing w:val="20"/>
      <w:sz w:val="13"/>
      <w:szCs w:val="13"/>
      <w:shd w:val="clear" w:color="auto" w:fill="FFFFFF"/>
    </w:rPr>
  </w:style>
  <w:style w:type="paragraph" w:customStyle="1" w:styleId="21">
    <w:name w:val="正文文本 (2)"/>
    <w:basedOn w:val="1"/>
    <w:link w:val="20"/>
    <w:qFormat/>
    <w:uiPriority w:val="99"/>
    <w:pPr>
      <w:shd w:val="clear" w:color="auto" w:fill="FFFFFF"/>
      <w:spacing w:line="261" w:lineRule="exact"/>
      <w:ind w:firstLine="340"/>
      <w:jc w:val="distribute"/>
    </w:pPr>
    <w:rPr>
      <w:rFonts w:ascii="微软雅黑" w:hAnsi="微软雅黑" w:eastAsia="微软雅黑" w:cs="微软雅黑"/>
      <w:spacing w:val="20"/>
      <w:sz w:val="13"/>
      <w:szCs w:val="13"/>
    </w:rPr>
  </w:style>
  <w:style w:type="paragraph" w:customStyle="1" w:styleId="22">
    <w:name w:val="TY-表格"/>
    <w:basedOn w:val="1"/>
    <w:qFormat/>
    <w:uiPriority w:val="0"/>
    <w:pPr>
      <w:widowControl w:val="0"/>
      <w:spacing w:line="240" w:lineRule="auto"/>
      <w:ind w:firstLine="0" w:firstLineChars="0"/>
      <w:jc w:val="center"/>
      <w:textAlignment w:val="center"/>
    </w:pPr>
    <w:rPr>
      <w:rFonts w:hint="eastAsia" w:ascii="Times New Roman" w:hAnsi="Times New Roman" w:eastAsia="宋体" w:cs="宋体"/>
      <w:color w:val="000000"/>
      <w:kern w:val="0"/>
      <w:sz w:val="21"/>
      <w:szCs w:val="21"/>
      <w:lang w:bidi="ar"/>
    </w:rPr>
  </w:style>
  <w:style w:type="paragraph" w:customStyle="1" w:styleId="23">
    <w:name w:val="标准正文格式"/>
    <w:basedOn w:val="1"/>
    <w:qFormat/>
    <w:uiPriority w:val="0"/>
    <w:pPr>
      <w:spacing w:line="520" w:lineRule="exact"/>
      <w:ind w:firstLine="480" w:firstLineChars="200"/>
    </w:pPr>
    <w:rPr>
      <w:rFonts w:ascii="宋体" w:hAnsi="宋体"/>
      <w:color w:val="FF0000"/>
      <w:sz w:val="24"/>
      <w:szCs w:val="24"/>
    </w:rPr>
  </w:style>
  <w:style w:type="paragraph" w:customStyle="1" w:styleId="24">
    <w:name w:val="_Style 1"/>
    <w:basedOn w:val="1"/>
    <w:qFormat/>
    <w:uiPriority w:val="0"/>
    <w:pPr>
      <w:ind w:firstLine="420" w:firstLineChars="200"/>
    </w:pPr>
    <w:rPr>
      <w:rFonts w:ascii="Times New Roman" w:hAnsi="Times New Roman" w:eastAsia="宋体" w:cs="Times New Roman"/>
    </w:rPr>
  </w:style>
  <w:style w:type="paragraph" w:customStyle="1" w:styleId="25">
    <w:name w:val="表内容"/>
    <w:qFormat/>
    <w:uiPriority w:val="0"/>
    <w:pPr>
      <w:widowControl w:val="0"/>
      <w:adjustRightInd w:val="0"/>
      <w:snapToGrid w:val="0"/>
      <w:jc w:val="center"/>
      <w:textAlignment w:val="baseline"/>
    </w:pPr>
    <w:rPr>
      <w:rFonts w:ascii="Times New Roman" w:hAnsi="Times New Roman" w:eastAsia="宋体" w:cs="Times New Roman"/>
      <w:sz w:val="21"/>
      <w:szCs w:val="22"/>
      <w:lang w:val="en-US" w:eastAsia="zh-CN" w:bidi="ar-SA"/>
    </w:rPr>
  </w:style>
  <w:style w:type="paragraph" w:customStyle="1" w:styleId="26">
    <w:name w:val="TY-正文"/>
    <w:basedOn w:val="1"/>
    <w:qFormat/>
    <w:uiPriority w:val="0"/>
    <w:pPr>
      <w:keepNext w:val="0"/>
      <w:spacing w:line="520" w:lineRule="exact"/>
      <w:ind w:firstLine="643" w:firstLineChars="200"/>
      <w:jc w:val="left"/>
    </w:pPr>
    <w:rPr>
      <w:rFonts w:ascii="Times New Roman" w:hAnsi="Times New Roman" w:eastAsia="宋体" w:cs="Times New Roman"/>
      <w:color w:val="000000"/>
    </w:rPr>
  </w:style>
  <w:style w:type="paragraph" w:customStyle="1" w:styleId="27">
    <w:name w:val="p0"/>
    <w:basedOn w:val="1"/>
    <w:qFormat/>
    <w:uiPriority w:val="0"/>
    <w:pPr>
      <w:widowControl/>
      <w:spacing w:line="360" w:lineRule="auto"/>
      <w:ind w:firstLine="420"/>
    </w:pPr>
    <w:rPr>
      <w:rFonts w:ascii="宋体" w:hAnsi="宋体" w:eastAsia="宋体" w:cs="宋体"/>
      <w:kern w:val="0"/>
      <w:sz w:val="24"/>
      <w:szCs w:val="24"/>
    </w:rPr>
  </w:style>
  <w:style w:type="paragraph" w:styleId="28">
    <w:name w:val="List Paragraph"/>
    <w:basedOn w:val="1"/>
    <w:qFormat/>
    <w:uiPriority w:val="34"/>
    <w:pPr>
      <w:ind w:firstLine="420" w:firstLineChars="200"/>
    </w:pPr>
  </w:style>
  <w:style w:type="paragraph" w:customStyle="1" w:styleId="29">
    <w:name w:val="正文 首行缩进:  2 字符"/>
    <w:basedOn w:val="1"/>
    <w:qFormat/>
    <w:uiPriority w:val="0"/>
    <w:pPr>
      <w:spacing w:line="500" w:lineRule="exact"/>
      <w:ind w:firstLine="560" w:firstLineChars="200"/>
      <w:jc w:val="left"/>
    </w:pPr>
    <w:rPr>
      <w:rFonts w:ascii="Calibri" w:hAnsi="Calibri" w:eastAsia="宋体" w:cs="宋体"/>
      <w:sz w:val="28"/>
      <w:szCs w:val="28"/>
    </w:rPr>
  </w:style>
  <w:style w:type="table" w:customStyle="1" w:styleId="30">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31">
    <w:name w:val="_Style 30"/>
    <w:unhideWhenUsed/>
    <w:qFormat/>
    <w:uiPriority w:val="99"/>
    <w:rPr>
      <w:rFonts w:ascii="Calibri" w:hAnsi="Calibri" w:eastAsia="宋体" w:cs="Times New Roman"/>
      <w:kern w:val="2"/>
      <w:sz w:val="21"/>
      <w:szCs w:val="22"/>
      <w:lang w:val="en-US" w:eastAsia="zh-CN" w:bidi="ar-SA"/>
    </w:rPr>
  </w:style>
  <w:style w:type="paragraph" w:customStyle="1" w:styleId="32">
    <w:name w:val="表格文本"/>
    <w:basedOn w:val="1"/>
    <w:next w:val="1"/>
    <w:link w:val="33"/>
    <w:qFormat/>
    <w:uiPriority w:val="0"/>
    <w:pPr>
      <w:widowControl/>
      <w:adjustRightInd w:val="0"/>
      <w:snapToGrid w:val="0"/>
      <w:jc w:val="center"/>
    </w:pPr>
    <w:rPr>
      <w:rFonts w:ascii="宋体" w:hAnsi="宋体" w:cs="宋体"/>
      <w:color w:val="000000"/>
      <w:kern w:val="0"/>
      <w:szCs w:val="21"/>
    </w:rPr>
  </w:style>
  <w:style w:type="character" w:customStyle="1" w:styleId="33">
    <w:name w:val="表格文本 Char"/>
    <w:link w:val="32"/>
    <w:qFormat/>
    <w:uiPriority w:val="0"/>
    <w:rPr>
      <w:rFonts w:ascii="宋体" w:hAnsi="宋体" w:cs="宋体"/>
      <w:color w:val="000000"/>
      <w:sz w:val="21"/>
      <w:szCs w:val="21"/>
    </w:rPr>
  </w:style>
  <w:style w:type="paragraph" w:customStyle="1" w:styleId="34">
    <w:name w:val="L正文"/>
    <w:basedOn w:val="1"/>
    <w:qFormat/>
    <w:uiPriority w:val="0"/>
    <w:pPr>
      <w:adjustRightInd w:val="0"/>
      <w:spacing w:line="594" w:lineRule="exact"/>
      <w:ind w:firstLine="480" w:firstLineChars="200"/>
      <w:jc w:val="left"/>
    </w:pPr>
    <w:rPr>
      <w:rFonts w:ascii="Times New Roman" w:hAnsi="Times New Roman" w:eastAsia="方正仿宋_GBK" w:cs="Times New Roman"/>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1902</Words>
  <Characters>2156</Characters>
  <Lines>16</Lines>
  <Paragraphs>4</Paragraphs>
  <TotalTime>17</TotalTime>
  <ScaleCrop>false</ScaleCrop>
  <LinksUpToDate>false</LinksUpToDate>
  <CharactersWithSpaces>2160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2024-08-08T11:46:00Z</dcterms:created>
  <dc:creator>李松</dc:creator>
  <cp:lastModifiedBy>Administrator</cp:lastModifiedBy>
  <cp:lastPrinted>2025-02-15T08:19:00Z</cp:lastPrinted>
  <dcterms:modified xsi:type="dcterms:W3CDTF">2025-02-25T02:02:58Z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9EB3EFEDBD17420FB491F2B396735AE8_13</vt:lpwstr>
  </property>
</Properties>
</file>