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right="-480" w:rightChars="-150" w:firstLine="0" w:firstLineChars="0"/>
        <w:jc w:val="left"/>
        <w:rPr>
          <w:b w:val="0"/>
          <w:bCs w:val="0"/>
          <w:color w:val="auto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ind w:right="-480" w:rightChars="-150" w:firstLine="0" w:firstLineChars="0"/>
        <w:jc w:val="center"/>
        <w:rPr>
          <w:rFonts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云阳县江口片、红狮片河道治理工程初步设计报告专家评审意见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94" w:lineRule="exact"/>
        <w:ind w:firstLine="0" w:firstLineChars="0"/>
        <w:rPr>
          <w:b w:val="0"/>
          <w:bCs w:val="0"/>
          <w:color w:val="auto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云阳县江口片、红狮片河道治理工程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位于</w:t>
      </w:r>
      <w:r>
        <w:rPr>
          <w:rFonts w:hint="eastAsia"/>
          <w:b w:val="0"/>
          <w:bCs w:val="0"/>
          <w:color w:val="auto"/>
          <w:szCs w:val="32"/>
          <w:highlight w:val="none"/>
        </w:rPr>
        <w:t>云阳县江口镇、洞鹿乡、桑坪镇，是万开云同城化发展水网建设先导工程重要组成部分。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2024年10月10日，重庆市水利局组织召开《云阳县江口片、红狮片河道治理工程初步设计报告》（以下简称《初设报告》）专家评审会议，云阳县水利局、云阳县宏源水利开发有限公司、长江勘测规划设计研究有限责任公司的代表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和特邀专家</w:t>
      </w:r>
      <w:r>
        <w:rPr>
          <w:rFonts w:hint="eastAsia"/>
          <w:b w:val="0"/>
          <w:bCs w:val="0"/>
          <w:color w:val="auto"/>
          <w:szCs w:val="32"/>
          <w:highlight w:val="none"/>
        </w:rPr>
        <w:t>参加了会议。会前专家组详细审阅了报告，会上充分讨论，形成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主要</w:t>
      </w:r>
      <w:r>
        <w:rPr>
          <w:rFonts w:hint="eastAsia"/>
          <w:b w:val="0"/>
          <w:bCs w:val="0"/>
          <w:color w:val="auto"/>
          <w:szCs w:val="32"/>
          <w:highlight w:val="none"/>
        </w:rPr>
        <w:t>修改意见。2024年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10</w:t>
      </w:r>
      <w:r>
        <w:rPr>
          <w:rFonts w:hint="eastAsia"/>
          <w:b w:val="0"/>
          <w:bCs w:val="0"/>
          <w:color w:val="auto"/>
          <w:szCs w:val="32"/>
          <w:highlight w:val="none"/>
        </w:rPr>
        <w:t>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28</w:t>
      </w:r>
      <w:r>
        <w:rPr>
          <w:rFonts w:hint="eastAsia"/>
          <w:b w:val="0"/>
          <w:bCs w:val="0"/>
          <w:color w:val="auto"/>
          <w:szCs w:val="32"/>
          <w:highlight w:val="none"/>
        </w:rPr>
        <w:t>日，项目法人提交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了</w:t>
      </w:r>
      <w:r>
        <w:rPr>
          <w:rFonts w:hint="eastAsia"/>
          <w:b w:val="0"/>
          <w:bCs w:val="0"/>
          <w:color w:val="auto"/>
          <w:szCs w:val="32"/>
          <w:highlight w:val="none"/>
        </w:rPr>
        <w:t>修改完善后的《初设报告》，经专家组复核同意，形成专家评审意见如下：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一、水文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（一）基本资料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同意参证站选择。与可研阶段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工程所在流域内无实测水文资料，临近流域设有盐渠水文站、余家水文站、芝麻田水文站、云阳气象站、渡口坝雨量站，将上述站点作为设计洪水计算的参证站。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本阶段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采用</w:t>
      </w:r>
      <w:r>
        <w:rPr>
          <w:rFonts w:hint="eastAsia"/>
          <w:b w:val="0"/>
          <w:bCs w:val="0"/>
          <w:color w:val="auto"/>
          <w:szCs w:val="32"/>
          <w:highlight w:val="none"/>
        </w:rPr>
        <w:t>盐渠（金子）水文站1964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年</w:t>
      </w:r>
      <w:r>
        <w:rPr>
          <w:rFonts w:hint="eastAsia"/>
          <w:b w:val="0"/>
          <w:bCs w:val="0"/>
          <w:color w:val="auto"/>
          <w:szCs w:val="32"/>
          <w:highlight w:val="none"/>
        </w:rPr>
        <w:t>～2020年实测暴雨资料、云阳气象站1980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年</w:t>
      </w:r>
      <w:r>
        <w:rPr>
          <w:rFonts w:hint="eastAsia"/>
          <w:b w:val="0"/>
          <w:bCs w:val="0"/>
          <w:color w:val="auto"/>
          <w:szCs w:val="32"/>
          <w:highlight w:val="none"/>
        </w:rPr>
        <w:t>～2019年实测暴雨资料、渡口坝雨量站1965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年</w:t>
      </w:r>
      <w:r>
        <w:rPr>
          <w:rFonts w:hint="eastAsia"/>
          <w:b w:val="0"/>
          <w:bCs w:val="0"/>
          <w:color w:val="auto"/>
          <w:szCs w:val="32"/>
          <w:highlight w:val="none"/>
        </w:rPr>
        <w:t>～2007年实测暴雨资料。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设计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洪水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设计</w:t>
      </w:r>
      <w:r>
        <w:rPr>
          <w:rFonts w:hint="eastAsia"/>
          <w:b w:val="0"/>
          <w:bCs w:val="0"/>
          <w:color w:val="auto"/>
          <w:szCs w:val="32"/>
          <w:highlight w:val="none"/>
        </w:rPr>
        <w:t>洪水计算方法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和</w:t>
      </w:r>
      <w:r>
        <w:rPr>
          <w:rFonts w:hint="eastAsia"/>
          <w:b w:val="0"/>
          <w:bCs w:val="0"/>
          <w:color w:val="auto"/>
          <w:szCs w:val="32"/>
          <w:highlight w:val="none"/>
        </w:rPr>
        <w:t>成果。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江口镇、洞鹿乡设计洪水采用盐渠（金子）水文站1964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年</w:t>
      </w:r>
      <w:r>
        <w:rPr>
          <w:rFonts w:hint="eastAsia"/>
          <w:b w:val="0"/>
          <w:bCs w:val="0"/>
          <w:color w:val="auto"/>
          <w:szCs w:val="32"/>
          <w:highlight w:val="none"/>
        </w:rPr>
        <w:t>～2020年实测暴雨资料、云阳气象站1980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年</w:t>
      </w:r>
      <w:r>
        <w:rPr>
          <w:rFonts w:hint="eastAsia"/>
          <w:b w:val="0"/>
          <w:bCs w:val="0"/>
          <w:color w:val="auto"/>
          <w:szCs w:val="32"/>
          <w:highlight w:val="none"/>
        </w:rPr>
        <w:t>～2019年实测暴雨资料、《四川省中小流域暴雨洪水计算手册》暴雨参数，分别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通过</w:t>
      </w:r>
      <w:r>
        <w:rPr>
          <w:rFonts w:hint="eastAsia"/>
          <w:b w:val="0"/>
          <w:bCs w:val="0"/>
          <w:color w:val="auto"/>
          <w:szCs w:val="32"/>
          <w:highlight w:val="none"/>
        </w:rPr>
        <w:t>推理公式法和综合瞬时单位线法推求各断面设计洪水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。</w:t>
      </w:r>
      <w:r>
        <w:rPr>
          <w:rFonts w:hint="eastAsia"/>
          <w:b w:val="0"/>
          <w:bCs w:val="0"/>
          <w:color w:val="auto"/>
          <w:szCs w:val="32"/>
          <w:highlight w:val="none"/>
        </w:rPr>
        <w:t>经分析比较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推荐采用盐渠水文站实测暴雨按推理公式法推求的设计洪水成果。本阶段采用1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:</w:t>
      </w:r>
      <w:r>
        <w:rPr>
          <w:rFonts w:hint="eastAsia"/>
          <w:b w:val="0"/>
          <w:bCs w:val="0"/>
          <w:color w:val="auto"/>
          <w:szCs w:val="32"/>
          <w:highlight w:val="none"/>
        </w:rPr>
        <w:t>10000航测图复核流域参数后，江口镇龙洞湾支沟、大湾支沟10年一遇设计洪峰流量分别为10.6m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/s、15.4m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/s；洞鹿乡关财桥、八间铺桥、便民桥、土猪洞支沟断面10年一遇设计洪峰流量分别为154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</w:t>
      </w:r>
      <w:r>
        <w:rPr>
          <w:rFonts w:hint="eastAsia"/>
          <w:b w:val="0"/>
          <w:bCs w:val="0"/>
          <w:color w:val="auto"/>
          <w:szCs w:val="32"/>
          <w:highlight w:val="none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/s、122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</w:t>
      </w:r>
      <w:r>
        <w:rPr>
          <w:rFonts w:hint="eastAsia"/>
          <w:b w:val="0"/>
          <w:bCs w:val="0"/>
          <w:color w:val="auto"/>
          <w:szCs w:val="32"/>
          <w:highlight w:val="none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/s、77.6m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/s、36.0m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桑坪镇设计洪水采用渡口坝雨量站1964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年</w:t>
      </w:r>
      <w:r>
        <w:rPr>
          <w:rFonts w:hint="eastAsia"/>
          <w:b w:val="0"/>
          <w:bCs w:val="0"/>
          <w:color w:val="auto"/>
          <w:szCs w:val="32"/>
          <w:highlight w:val="none"/>
        </w:rPr>
        <w:t>～2020年实测暴雨资料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分别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通过</w:t>
      </w:r>
      <w:r>
        <w:rPr>
          <w:rFonts w:hint="eastAsia"/>
          <w:b w:val="0"/>
          <w:bCs w:val="0"/>
          <w:color w:val="auto"/>
          <w:szCs w:val="32"/>
          <w:highlight w:val="none"/>
        </w:rPr>
        <w:t>推理公式法和综合瞬时单位线法推求断面处设计洪水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。</w:t>
      </w:r>
      <w:r>
        <w:rPr>
          <w:rFonts w:hint="eastAsia"/>
          <w:b w:val="0"/>
          <w:bCs w:val="0"/>
          <w:color w:val="auto"/>
          <w:szCs w:val="32"/>
          <w:highlight w:val="none"/>
        </w:rPr>
        <w:t>经分析比较，推荐采用瞬时单位线法推求的设计洪水成果。考虑上游咸池水库调蓄作用，将水库下泄流量与水库下游～工程河段区间同频率洪水流量组合叠加，控制断面10年一遇洪峰流量为356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</w:t>
      </w:r>
      <w:r>
        <w:rPr>
          <w:rFonts w:hint="eastAsia"/>
          <w:b w:val="0"/>
          <w:bCs w:val="0"/>
          <w:color w:val="auto"/>
          <w:szCs w:val="32"/>
          <w:highlight w:val="none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/s，成果与可研阶段一致。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（三）分期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设计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洪水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基本同意分期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设计</w:t>
      </w:r>
      <w:r>
        <w:rPr>
          <w:rFonts w:hint="eastAsia"/>
          <w:b w:val="0"/>
          <w:bCs w:val="0"/>
          <w:color w:val="auto"/>
          <w:szCs w:val="32"/>
          <w:highlight w:val="none"/>
        </w:rPr>
        <w:t>洪水计算方法和成果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江口镇河道治理工程分期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设计</w:t>
      </w:r>
      <w:r>
        <w:rPr>
          <w:rFonts w:hint="eastAsia"/>
          <w:b w:val="0"/>
          <w:bCs w:val="0"/>
          <w:color w:val="auto"/>
          <w:szCs w:val="32"/>
          <w:highlight w:val="none"/>
        </w:rPr>
        <w:t>洪水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采用</w:t>
      </w:r>
      <w:r>
        <w:rPr>
          <w:rFonts w:hint="eastAsia"/>
          <w:b w:val="0"/>
          <w:bCs w:val="0"/>
          <w:color w:val="auto"/>
          <w:szCs w:val="32"/>
          <w:highlight w:val="none"/>
        </w:rPr>
        <w:t>余家水文站实测分期洪水成果，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通过</w:t>
      </w:r>
      <w:r>
        <w:rPr>
          <w:rFonts w:hint="eastAsia"/>
          <w:b w:val="0"/>
          <w:bCs w:val="0"/>
          <w:color w:val="auto"/>
          <w:szCs w:val="32"/>
          <w:highlight w:val="none"/>
        </w:rPr>
        <w:t>水文比拟法推算至工程河段；洞鹿乡河道治理工程分期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设计</w:t>
      </w:r>
      <w:r>
        <w:rPr>
          <w:rFonts w:hint="eastAsia"/>
          <w:b w:val="0"/>
          <w:bCs w:val="0"/>
          <w:color w:val="auto"/>
          <w:szCs w:val="32"/>
          <w:highlight w:val="none"/>
        </w:rPr>
        <w:t>洪水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采用</w:t>
      </w:r>
      <w:r>
        <w:rPr>
          <w:rFonts w:hint="eastAsia"/>
          <w:b w:val="0"/>
          <w:bCs w:val="0"/>
          <w:color w:val="auto"/>
          <w:szCs w:val="32"/>
          <w:highlight w:val="none"/>
        </w:rPr>
        <w:t>盐渠水文站实测分期洪水成果，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通过</w:t>
      </w:r>
      <w:r>
        <w:rPr>
          <w:rFonts w:hint="eastAsia"/>
          <w:b w:val="0"/>
          <w:bCs w:val="0"/>
          <w:color w:val="auto"/>
          <w:szCs w:val="32"/>
          <w:highlight w:val="none"/>
        </w:rPr>
        <w:t>水文比拟法推算至工程河段；桑坪镇河道治理工程分期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设计</w:t>
      </w:r>
      <w:r>
        <w:rPr>
          <w:rFonts w:hint="eastAsia"/>
          <w:b w:val="0"/>
          <w:bCs w:val="0"/>
          <w:color w:val="auto"/>
          <w:szCs w:val="32"/>
          <w:highlight w:val="none"/>
        </w:rPr>
        <w:t>洪水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采用</w:t>
      </w:r>
      <w:r>
        <w:rPr>
          <w:rFonts w:hint="eastAsia"/>
          <w:b w:val="0"/>
          <w:bCs w:val="0"/>
          <w:color w:val="auto"/>
          <w:szCs w:val="32"/>
          <w:highlight w:val="none"/>
        </w:rPr>
        <w:t>芝麻田水文站实测分期洪水成果，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通过</w:t>
      </w:r>
      <w:r>
        <w:rPr>
          <w:rFonts w:hint="eastAsia"/>
          <w:b w:val="0"/>
          <w:bCs w:val="0"/>
          <w:color w:val="auto"/>
          <w:szCs w:val="32"/>
          <w:highlight w:val="none"/>
        </w:rPr>
        <w:t>水文比拟法推算至工程河段。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（四）泥沙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基本同意泥沙计算成果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工程流域无实测泥沙资料，采用《四川省水文手册》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中</w:t>
      </w:r>
      <w:r>
        <w:rPr>
          <w:rFonts w:hint="eastAsia"/>
          <w:b w:val="0"/>
          <w:bCs w:val="0"/>
          <w:color w:val="auto"/>
          <w:szCs w:val="32"/>
          <w:highlight w:val="none"/>
        </w:rPr>
        <w:t>流域多年平均悬移质输沙模数计算各断面输沙量。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江口镇段悬移质输沙模数为850t/km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</w:rPr>
        <w:t>、推移质占悬移质沙量的15%，大湾支沟、龙洞湾支沟年输沙量分别为0.15万t、0.08万t。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洞鹿乡段悬移质输沙模数为750t/km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</w:rPr>
        <w:t>、推移质占悬移质沙量的15%，麻树河干流、土猪洞支沟年输沙量分别为1.56万t、0.25万t。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桑坪镇段悬移质输沙模数为700t/km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</w:rPr>
        <w:t>、推移质占悬移质沙量的15%，工程河段年输沙量为8.5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万t。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（五）水位流量关系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基本同意水位流量计算方法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和成果。</w:t>
      </w:r>
      <w:r>
        <w:rPr>
          <w:rFonts w:hint="eastAsia"/>
          <w:b w:val="0"/>
          <w:bCs w:val="0"/>
          <w:color w:val="auto"/>
          <w:szCs w:val="32"/>
          <w:highlight w:val="none"/>
        </w:rPr>
        <w:t>成果与可研阶段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一致</w:t>
      </w:r>
      <w:r>
        <w:rPr>
          <w:rFonts w:hint="eastAsia"/>
          <w:b w:val="0"/>
          <w:bCs w:val="0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二、工程地质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（一）区域构造稳定性与地震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同意区域构造稳定性与地震评价。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根据《中国地震动参数区划图》（GB 18306-2015），本区地震动峰值加速度为0.05g，地震动反应谱特征周期为0.35s，相应的地震基本烈度为Ⅵ度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区域构造稳定性好。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（二）场地工程地质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基本同意场地工程地质评价。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场地为岭谷相间分布的侵蚀剥蚀构造中低山。覆盖层厚0.5m～22.0m；基岩为侏罗系与三叠系砂岩、粉砂岩、泥岩、页岩、泥灰岩、灰岩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节理较发育。地下水类型为孔隙水、基岩裂隙水与岩溶洞穴水；环境水、土仅对钢结构有弱～无腐蚀性。无滑坡、崩塌与泥石流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等不良地质现象</w:t>
      </w:r>
      <w:r>
        <w:rPr>
          <w:rFonts w:hint="eastAsia"/>
          <w:b w:val="0"/>
          <w:bCs w:val="0"/>
          <w:color w:val="auto"/>
          <w:szCs w:val="32"/>
          <w:highlight w:val="none"/>
        </w:rPr>
        <w:t>。强风化（溶蚀）带厚1.0m～5.0m；一般卸荷带宽3.0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</w:rPr>
        <w:t>～6.0m。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堤防存在堤基不均匀沉降、渗透变形、抗滑稳定、抗冲稳定与基坑涌水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等</w:t>
      </w:r>
      <w:r>
        <w:rPr>
          <w:rFonts w:hint="eastAsia"/>
          <w:b w:val="0"/>
          <w:bCs w:val="0"/>
          <w:color w:val="auto"/>
          <w:szCs w:val="32"/>
          <w:highlight w:val="none"/>
        </w:rPr>
        <w:t>问题；河道拓宽工程存在边坡稳定问题；隧洞存在进出口边坡稳定、洞身围岩稳定问题。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主要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建筑物工程地质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主要</w:t>
      </w:r>
      <w:r>
        <w:rPr>
          <w:rFonts w:hint="eastAsia"/>
          <w:b w:val="0"/>
          <w:bCs w:val="0"/>
          <w:color w:val="auto"/>
          <w:szCs w:val="32"/>
          <w:highlight w:val="none"/>
        </w:rPr>
        <w:t>建筑物工程地质评价，岩土物理力学参数建议值基本合适。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堤岸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分为土质堤岸、岩土混合堤岸、人工堤岸。土质堤岸未见明显塌岸现象，属于基本稳定岸坡；岩土混合堤岸与人工堤岸无变形、崩塌掉块等现象，属于稳定岸坡。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堤基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为多层与双层结构，工程地质分类多为B或C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。</w:t>
      </w:r>
      <w:r>
        <w:rPr>
          <w:rFonts w:hint="eastAsia"/>
          <w:b w:val="0"/>
          <w:bCs w:val="0"/>
          <w:color w:val="auto"/>
          <w:szCs w:val="32"/>
          <w:highlight w:val="none"/>
        </w:rPr>
        <w:t>以压实处理后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的</w:t>
      </w:r>
      <w:r>
        <w:rPr>
          <w:rFonts w:hint="eastAsia"/>
          <w:b w:val="0"/>
          <w:bCs w:val="0"/>
          <w:color w:val="auto"/>
          <w:szCs w:val="32"/>
          <w:highlight w:val="none"/>
        </w:rPr>
        <w:t>砂卵石层或基岩为持力层；基础应置于流水冲刷深度之下，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注意</w:t>
      </w:r>
      <w:r>
        <w:rPr>
          <w:rFonts w:hint="eastAsia"/>
          <w:b w:val="0"/>
          <w:bCs w:val="0"/>
          <w:color w:val="auto"/>
          <w:szCs w:val="32"/>
          <w:highlight w:val="none"/>
        </w:rPr>
        <w:t>基坑排水。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箱涵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以砂卵石或压实填土为持力层，注意基坑排水。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4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挡渣坝、拦河堰与防冲挡墙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以压实处理后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的</w:t>
      </w:r>
      <w:r>
        <w:rPr>
          <w:rFonts w:hint="eastAsia"/>
          <w:b w:val="0"/>
          <w:bCs w:val="0"/>
          <w:color w:val="auto"/>
          <w:szCs w:val="32"/>
          <w:highlight w:val="none"/>
        </w:rPr>
        <w:t>砂卵石或基岩为持力层，基础应置于抗冲深度之下。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5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河道扩挖与清淤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麻树河扩挖段将形成中边坡，局部有掉块，总体基本稳定；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应</w:t>
      </w:r>
      <w:r>
        <w:rPr>
          <w:rFonts w:hint="eastAsia"/>
          <w:b w:val="0"/>
          <w:bCs w:val="0"/>
          <w:color w:val="auto"/>
          <w:szCs w:val="32"/>
          <w:highlight w:val="none"/>
        </w:rPr>
        <w:t>设置排水设施，分级放坡，及时支护处理。适度清淤，保障安全。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6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隧洞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隧洞岩性为砂岩、泥岩互层，围岩类别Ⅳ～Ⅴ类。注意进出口边坡稳定问题。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7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明渠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以砂卵石或压实填土为持力层，注意基坑排水。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（四）弃渣场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弃渣场</w:t>
      </w:r>
      <w:r>
        <w:rPr>
          <w:rFonts w:hint="eastAsia"/>
          <w:b w:val="0"/>
          <w:bCs w:val="0"/>
          <w:color w:val="auto"/>
          <w:szCs w:val="32"/>
          <w:highlight w:val="none"/>
        </w:rPr>
        <w:t>工程地质评价。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各渣场场地基本稳定～稳定。堆渣前应清表并抽排积水，前缘挡墙应置于砂卵石或基岩上，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并</w:t>
      </w:r>
      <w:r>
        <w:rPr>
          <w:rFonts w:hint="eastAsia"/>
          <w:b w:val="0"/>
          <w:bCs w:val="0"/>
          <w:color w:val="auto"/>
          <w:szCs w:val="32"/>
          <w:highlight w:val="none"/>
        </w:rPr>
        <w:t>设置排水设施。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（五）天然建筑材料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同意天然建筑材料工程地质评价。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工程沿线附近砂料、砾料及块石料匮乏，当地砂石料开采均已商业化，建议首选外购方式解决；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报告中</w:t>
      </w:r>
      <w:r>
        <w:rPr>
          <w:rFonts w:hint="eastAsia"/>
          <w:b w:val="0"/>
          <w:bCs w:val="0"/>
          <w:color w:val="auto"/>
          <w:szCs w:val="32"/>
          <w:highlight w:val="none"/>
        </w:rPr>
        <w:t>比较了7个满足质量要求的混凝土骨料与块石料商品料场，运距3.0～87.0km。本工程疏浚开挖的粉质粘土夹碎石、砂卵砾石在清洗后质量基本满足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回填料</w:t>
      </w:r>
      <w:r>
        <w:rPr>
          <w:rFonts w:hint="eastAsia"/>
          <w:b w:val="0"/>
          <w:bCs w:val="0"/>
          <w:color w:val="auto"/>
          <w:szCs w:val="32"/>
          <w:highlight w:val="none"/>
        </w:rPr>
        <w:t>要求，可作回填料利用。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下阶段应</w:t>
      </w:r>
      <w:r>
        <w:rPr>
          <w:rFonts w:hint="eastAsia"/>
          <w:b w:val="0"/>
          <w:bCs w:val="0"/>
          <w:color w:val="auto"/>
          <w:szCs w:val="32"/>
          <w:highlight w:val="none"/>
        </w:rPr>
        <w:t>加强施工地质，进行动态法设计施工。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三、工程任务和规模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（一）工程任务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同意建设任务以场镇、集中居民点防洪为主，兼有岸坡防护、减少水土流失、改善河道生态环境等。与可研阶段一致。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（二）工程规模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防洪标准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基本同意江口镇、洞鹿乡、桑坪镇河道治理工程防洪标准采用10年一遇。与可研阶段一致。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设计洪水水面线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洪水水面线成果基本合理。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水面线计算仍采用一维水力学公式推算。工程治理后，江口镇龙洞湾支沟段10年一遇设计洪水位为184.51m～210.30m（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1985国家高程基准，下同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），较工程前降低0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～1.47m；大湾支沟段10年一遇设计洪水位为182.95m～188.20m，较工程前降低0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～1.04m。洞鹿乡麻树河10年一遇设计洪水位为772.70m～775.15m，较工程前降低0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～1.39m。桑坪镇段10年一遇设计水位为758.25m～758.82m，较工程前抬高0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～0.02m。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主要建设内容和规模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基本同意工程主要建设内容和规模。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本工程治理河道总长约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2659.14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m。其中：江口镇治理河长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1252.66m（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龙洞湾支沟段605.35m，大湾支沟段647.31m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）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，洞鹿乡治理河长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1081.87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m（其中：麻树河段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649.25m，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土猪洞支沟段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432.62m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），桑坪镇治理河长324.61m。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）江口镇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default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龙洞湾支沟段修建拦渣坝1处，将河道内影响行洪的3处桥涵改建为箱涵，局部河道改线并新建明渠83.22m，清淤河道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352.61m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；大湾支沟段修建拦渣坝1处，新建护岸挡墙135.70m，将河道内影响行洪的2处桥涵改建为箱涵，清淤河道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446.82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）洞鹿乡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default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default"/>
          <w:b w:val="0"/>
          <w:bCs w:val="0"/>
          <w:color w:val="auto"/>
          <w:szCs w:val="32"/>
          <w:highlight w:val="none"/>
          <w:lang w:eastAsia="zh-CN"/>
        </w:rPr>
        <w:t>修建分洪工程1处，包括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拦河堰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1处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、分洪隧洞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1座、防冲挡墙</w:t>
      </w:r>
      <w:r>
        <w:rPr>
          <w:rFonts w:hint="default"/>
          <w:b w:val="0"/>
          <w:bCs w:val="0"/>
          <w:color w:val="auto"/>
          <w:szCs w:val="32"/>
          <w:highlight w:val="none"/>
          <w:lang w:eastAsia="zh-CN"/>
        </w:rPr>
        <w:t>123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、拦渣坝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1处</w:t>
      </w:r>
      <w:r>
        <w:rPr>
          <w:rFonts w:hint="default"/>
          <w:b w:val="0"/>
          <w:bCs w:val="0"/>
          <w:color w:val="auto"/>
          <w:szCs w:val="32"/>
          <w:highlight w:val="none"/>
          <w:lang w:eastAsia="zh-CN"/>
        </w:rPr>
        <w:t>；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清淤河道372.51m，拓宽河道244.24m。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）桑坪镇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新建护岸324.61m。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四、工程布置及建筑物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工程等级和标准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同意工程等别、建筑物级别级及洪水标准。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工程等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别</w:t>
      </w:r>
      <w:r>
        <w:rPr>
          <w:rFonts w:hint="eastAsia"/>
          <w:b w:val="0"/>
          <w:bCs w:val="0"/>
          <w:color w:val="auto"/>
          <w:szCs w:val="32"/>
          <w:highlight w:val="none"/>
        </w:rPr>
        <w:t>为V等，主要建筑物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eastAsia"/>
          <w:b w:val="0"/>
          <w:bCs w:val="0"/>
          <w:color w:val="auto"/>
          <w:szCs w:val="32"/>
          <w:highlight w:val="none"/>
        </w:rPr>
        <w:t>次要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建筑物</w:t>
      </w:r>
      <w:r>
        <w:rPr>
          <w:rFonts w:hint="eastAsia"/>
          <w:b w:val="0"/>
          <w:bCs w:val="0"/>
          <w:color w:val="auto"/>
          <w:szCs w:val="32"/>
          <w:highlight w:val="none"/>
        </w:rPr>
        <w:t>及临时建筑物级别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均</w:t>
      </w:r>
      <w:r>
        <w:rPr>
          <w:rFonts w:hint="eastAsia"/>
          <w:b w:val="0"/>
          <w:bCs w:val="0"/>
          <w:color w:val="auto"/>
          <w:szCs w:val="32"/>
          <w:highlight w:val="none"/>
        </w:rPr>
        <w:t>为5级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设计洪水标准采用10年一遇。与可研阶段一致。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（二）工程合理使用年限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同意工程合理使用年限为30年，新建堤防、护岸挡墙等建筑物合理使用年限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为</w:t>
      </w:r>
      <w:r>
        <w:rPr>
          <w:rFonts w:hint="eastAsia"/>
          <w:b w:val="0"/>
          <w:bCs w:val="0"/>
          <w:color w:val="auto"/>
          <w:szCs w:val="32"/>
          <w:highlight w:val="none"/>
        </w:rPr>
        <w:t>20年，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拦渣坝、拦河堰、分洪隧洞、箱涵等</w:t>
      </w:r>
      <w:r>
        <w:rPr>
          <w:rFonts w:hint="eastAsia"/>
          <w:b w:val="0"/>
          <w:bCs w:val="0"/>
          <w:color w:val="auto"/>
          <w:szCs w:val="32"/>
          <w:highlight w:val="none"/>
        </w:rPr>
        <w:t>建筑物合理使用年限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为</w:t>
      </w:r>
      <w:r>
        <w:rPr>
          <w:rFonts w:hint="eastAsia"/>
          <w:b w:val="0"/>
          <w:bCs w:val="0"/>
          <w:color w:val="auto"/>
          <w:szCs w:val="32"/>
          <w:highlight w:val="none"/>
        </w:rPr>
        <w:t>30年。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（三）抗震设防标准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同意建筑物抗震设计烈度为Ⅵ度。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（四）工程选线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同意江口镇河道治理工程龙洞湾支沟段、大湾支沟段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和</w:t>
      </w:r>
      <w:r>
        <w:rPr>
          <w:rFonts w:hint="eastAsia"/>
          <w:b w:val="0"/>
          <w:bCs w:val="0"/>
          <w:color w:val="auto"/>
          <w:szCs w:val="32"/>
          <w:highlight w:val="none"/>
        </w:rPr>
        <w:t>桑坪镇河道治理工程堤线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选择</w:t>
      </w:r>
      <w:r>
        <w:rPr>
          <w:rFonts w:hint="eastAsia"/>
          <w:b w:val="0"/>
          <w:bCs w:val="0"/>
          <w:color w:val="auto"/>
          <w:szCs w:val="32"/>
          <w:highlight w:val="none"/>
        </w:rPr>
        <w:t>与可研基本一致。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洞鹿乡河道治理工程分洪隧洞洞线经洞轴线长390.25m（方案1）、洞轴线长379.64m（方案2）、洞轴线长440.18m（方案3）三方案比选，推荐方案1及相应其他建筑物轴线。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同意</w:t>
      </w:r>
      <w:r>
        <w:rPr>
          <w:rFonts w:hint="eastAsia"/>
          <w:b w:val="0"/>
          <w:bCs w:val="0"/>
          <w:color w:val="auto"/>
          <w:szCs w:val="32"/>
          <w:highlight w:val="none"/>
        </w:rPr>
        <w:t>河道扩宽方案堤线与可研基本一致。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（五）主要建筑物选型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同意江口镇河道治理工程龙洞湾支沟段推荐矩形明渠，大湾支沟段采用重力式挡墙，与可研一致。同意公路桥涵改造采用钢筋混凝土箱涵方案。同意拦渣坝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型式</w:t>
      </w:r>
      <w:r>
        <w:rPr>
          <w:rFonts w:hint="eastAsia"/>
          <w:b w:val="0"/>
          <w:bCs w:val="0"/>
          <w:color w:val="auto"/>
          <w:szCs w:val="32"/>
          <w:highlight w:val="none"/>
        </w:rPr>
        <w:t>采用格宾石笼。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同意洞鹿乡河道治理工程分洪隧洞采用无压圆拱直墙断面。同意拦渣坝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型式</w:t>
      </w:r>
      <w:r>
        <w:rPr>
          <w:rFonts w:hint="eastAsia"/>
          <w:b w:val="0"/>
          <w:bCs w:val="0"/>
          <w:color w:val="auto"/>
          <w:szCs w:val="32"/>
          <w:highlight w:val="none"/>
        </w:rPr>
        <w:t>采用格宾石笼。同意拦河堰采用埋石混凝土重力坝。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同意桑坪镇河道治理工程高度小于3m挡墙型式采用仰斜式挡墙，其余采用衡重式挡墙。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（六）工程总布置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基本同意工程总布置。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工程由江口镇河道治理工程、洞鹿乡河道治理工程、桑坪镇河道治理工程等三部分组成。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江口镇河道治理工程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龙洞湾支沟段河道治理起于新里坝下游，止于汤溪河汇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河</w:t>
      </w:r>
      <w:r>
        <w:rPr>
          <w:rFonts w:hint="eastAsia"/>
          <w:b w:val="0"/>
          <w:bCs w:val="0"/>
          <w:color w:val="auto"/>
          <w:szCs w:val="32"/>
          <w:highlight w:val="none"/>
        </w:rPr>
        <w:t>口，治理河道全长605.35m。桩号A0+054.65处设拦渣坝；桩号A0+357.83～A0+441.05段截弯取直，新建矩形明渠；桩号A0+305.50～A0+311.50、A0+353.83～A0+357.83、A0+441.05～A0+447.05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段</w:t>
      </w:r>
      <w:r>
        <w:rPr>
          <w:rFonts w:hint="eastAsia"/>
          <w:b w:val="0"/>
          <w:bCs w:val="0"/>
          <w:color w:val="auto"/>
          <w:szCs w:val="32"/>
          <w:highlight w:val="none"/>
        </w:rPr>
        <w:t>改造3座桥涵；桩号A0+140.03～A0+492.64段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进行</w:t>
      </w:r>
      <w:r>
        <w:rPr>
          <w:rFonts w:hint="eastAsia"/>
          <w:b w:val="0"/>
          <w:bCs w:val="0"/>
          <w:color w:val="auto"/>
          <w:szCs w:val="32"/>
          <w:highlight w:val="none"/>
        </w:rPr>
        <w:t>河道疏浚清淤。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大湾支沟段河道治理起于桃树湾，止于汤溪河汇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河</w:t>
      </w:r>
      <w:r>
        <w:rPr>
          <w:rFonts w:hint="eastAsia"/>
          <w:b w:val="0"/>
          <w:bCs w:val="0"/>
          <w:color w:val="auto"/>
          <w:szCs w:val="32"/>
          <w:highlight w:val="none"/>
        </w:rPr>
        <w:t>口，治理河道全长647.31m。桩号B0+021.08处设挡渣坝；桩号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B</w:t>
      </w:r>
      <w:r>
        <w:rPr>
          <w:rFonts w:hint="eastAsia"/>
          <w:b w:val="0"/>
          <w:bCs w:val="0"/>
          <w:color w:val="auto"/>
          <w:szCs w:val="32"/>
          <w:highlight w:val="none"/>
        </w:rPr>
        <w:t>0+077.92～B0+213.62段新建护岸挡墙；桩号B0+213.62～B0+221.72、B0+318.64～B0+326.47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段改造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2座</w:t>
      </w:r>
      <w:r>
        <w:rPr>
          <w:rFonts w:hint="eastAsia"/>
          <w:b w:val="0"/>
          <w:bCs w:val="0"/>
          <w:color w:val="auto"/>
          <w:szCs w:val="32"/>
          <w:highlight w:val="none"/>
        </w:rPr>
        <w:t>桥涵；桩号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0+031.10～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0+4</w:t>
      </w:r>
      <w:r>
        <w:rPr>
          <w:rFonts w:hint="eastAsia"/>
          <w:b w:val="0"/>
          <w:bCs w:val="0"/>
          <w:color w:val="auto"/>
          <w:szCs w:val="32"/>
          <w:highlight w:val="none"/>
        </w:rPr>
        <w:t>77.92段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进行</w:t>
      </w:r>
      <w:r>
        <w:rPr>
          <w:rFonts w:hint="eastAsia"/>
          <w:b w:val="0"/>
          <w:bCs w:val="0"/>
          <w:color w:val="auto"/>
          <w:szCs w:val="32"/>
          <w:highlight w:val="none"/>
        </w:rPr>
        <w:t>河道疏浚清淤。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洞鹿乡河道治理工程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default"/>
          <w:b w:val="0"/>
          <w:bCs w:val="0"/>
          <w:color w:val="auto"/>
          <w:szCs w:val="32"/>
          <w:highlight w:val="none"/>
        </w:rPr>
        <w:t>分洪工程：</w:t>
      </w:r>
      <w:r>
        <w:rPr>
          <w:rFonts w:hint="eastAsia"/>
          <w:b w:val="0"/>
          <w:bCs w:val="0"/>
          <w:color w:val="auto"/>
          <w:szCs w:val="32"/>
          <w:highlight w:val="none"/>
        </w:rPr>
        <w:t>拦河堰布置于土猪洞河口上游约395m处，堰轴线长56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m。分洪隧洞进口接拦河堰上游右岸，出口位于麻树河洞鹿桥下游约70m处，隧洞轴线长390.25m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设计分洪流量36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/s。拦河堰上游左岸设悬臂式防冲挡墙，长33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m；隧洞出口麻树河左岸设重力式防冲挡墙，长90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</w:t>
      </w:r>
      <w:r>
        <w:rPr>
          <w:rFonts w:hint="default"/>
          <w:b w:val="0"/>
          <w:bCs w:val="0"/>
          <w:color w:val="auto"/>
          <w:szCs w:val="32"/>
          <w:highlight w:val="none"/>
        </w:rPr>
        <w:t>；</w:t>
      </w:r>
      <w:r>
        <w:rPr>
          <w:rFonts w:hint="eastAsia"/>
          <w:b w:val="0"/>
          <w:bCs w:val="0"/>
          <w:color w:val="auto"/>
          <w:szCs w:val="32"/>
          <w:highlight w:val="none"/>
        </w:rPr>
        <w:t>拦渣坝布置于分洪隧洞进口上游约20m处，坝轴线长3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疏浚清淤</w:t>
      </w:r>
      <w:r>
        <w:rPr>
          <w:rFonts w:hint="default"/>
          <w:b w:val="0"/>
          <w:bCs w:val="0"/>
          <w:color w:val="auto"/>
          <w:szCs w:val="32"/>
          <w:highlight w:val="none"/>
        </w:rPr>
        <w:t>：</w:t>
      </w:r>
      <w:r>
        <w:rPr>
          <w:rFonts w:hint="eastAsia"/>
          <w:b w:val="0"/>
          <w:bCs w:val="0"/>
          <w:color w:val="auto"/>
          <w:szCs w:val="32"/>
          <w:highlight w:val="none"/>
        </w:rPr>
        <w:t>起于麻树河八间铺桥上游约140m处，止于洞鹿桥上游约125m处，河道长372.51m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；河道</w:t>
      </w:r>
      <w:r>
        <w:rPr>
          <w:rFonts w:hint="eastAsia"/>
          <w:b w:val="0"/>
          <w:bCs w:val="0"/>
          <w:color w:val="auto"/>
          <w:szCs w:val="32"/>
          <w:highlight w:val="none"/>
        </w:rPr>
        <w:t>拓宽</w:t>
      </w:r>
      <w:r>
        <w:rPr>
          <w:rFonts w:hint="default"/>
          <w:b w:val="0"/>
          <w:bCs w:val="0"/>
          <w:color w:val="auto"/>
          <w:szCs w:val="32"/>
          <w:highlight w:val="none"/>
        </w:rPr>
        <w:t>：</w:t>
      </w:r>
      <w:r>
        <w:rPr>
          <w:rFonts w:hint="eastAsia"/>
          <w:b w:val="0"/>
          <w:bCs w:val="0"/>
          <w:color w:val="auto"/>
          <w:szCs w:val="32"/>
          <w:highlight w:val="none"/>
        </w:rPr>
        <w:t>起于麻树河八间铺桥下游92.5m处，止于洞鹿桥上游30m处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，河道拓宽宽度3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m～8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</w:rPr>
        <w:t>，河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道</w:t>
      </w:r>
      <w:r>
        <w:rPr>
          <w:rFonts w:hint="eastAsia"/>
          <w:b w:val="0"/>
          <w:bCs w:val="0"/>
          <w:color w:val="auto"/>
          <w:szCs w:val="32"/>
          <w:highlight w:val="none"/>
        </w:rPr>
        <w:t>长244.24m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桑坪镇河道治理工程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szCs w:val="32"/>
          <w:highlight w:val="none"/>
        </w:rPr>
        <w:t>新建护岸</w:t>
      </w:r>
      <w:r>
        <w:rPr>
          <w:rFonts w:hint="eastAsia"/>
          <w:b w:val="0"/>
          <w:bCs w:val="0"/>
          <w:color w:val="auto"/>
          <w:szCs w:val="32"/>
          <w:highlight w:val="none"/>
        </w:rPr>
        <w:t>324.61m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szCs w:val="32"/>
          <w:highlight w:val="none"/>
        </w:rPr>
        <w:t>与云阳县车家坝河重点河段综合治理工程原护岸右堤段相接，起点</w:t>
      </w:r>
      <w:r>
        <w:rPr>
          <w:rFonts w:hint="eastAsia"/>
          <w:b w:val="0"/>
          <w:bCs w:val="0"/>
          <w:szCs w:val="32"/>
          <w:highlight w:val="none"/>
          <w:lang w:eastAsia="zh-CN"/>
        </w:rPr>
        <w:t>接桩号</w:t>
      </w:r>
      <w:r>
        <w:rPr>
          <w:rFonts w:hint="eastAsia"/>
          <w:b w:val="0"/>
          <w:bCs w:val="0"/>
          <w:szCs w:val="32"/>
          <w:highlight w:val="none"/>
        </w:rPr>
        <w:t>右堤0+705.30，终点</w:t>
      </w:r>
      <w:r>
        <w:rPr>
          <w:rFonts w:hint="eastAsia"/>
          <w:b w:val="0"/>
          <w:bCs w:val="0"/>
          <w:szCs w:val="32"/>
          <w:highlight w:val="none"/>
          <w:lang w:eastAsia="zh-CN"/>
        </w:rPr>
        <w:t>接桩号</w:t>
      </w:r>
      <w:r>
        <w:rPr>
          <w:rFonts w:hint="eastAsia"/>
          <w:b w:val="0"/>
          <w:bCs w:val="0"/>
          <w:szCs w:val="32"/>
          <w:highlight w:val="none"/>
        </w:rPr>
        <w:t>右堤1+046.30</w:t>
      </w:r>
      <w:r>
        <w:rPr>
          <w:rFonts w:hint="eastAsia"/>
          <w:b w:val="0"/>
          <w:bCs w:val="0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  <w:lang w:eastAsia="zh-CN"/>
        </w:rPr>
        <w:t>（七）主要建筑物设计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江口镇河道治理工程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基本同意江口镇河道治理工程设计。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拦渣坝共2座，坝高3.0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m，坝顶宽3.0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m，上游面铅直，下游面设2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m×1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m（宽×高）阶梯，采用镀高尔凡格宾石笼砌筑。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桥涵改造共5座，龙洞湾支沟段3座，箱涵净空尺寸均为3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m×2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m（高×宽）；大湾支沟段2座，箱涵净空尺寸分别为3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m×2.5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m（高×宽）、3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m×3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m（高×宽）。采用C30钢筋混凝土矩形箱涵，3#、5#（跨省道处）箱涵壁厚0.5m，其余箱涵壁厚0.4m，改建后原路面恢复。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龙洞湾支沟段河道疏浚清淤设计河床高程195.80m～182.71m，纵坡分别为6%、4%、1%；大湾支沟段河道疏浚清淤设计河床高程187.72m～180.47m，纵坡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分别为</w:t>
      </w:r>
      <w:r>
        <w:rPr>
          <w:rFonts w:hint="eastAsia"/>
          <w:b w:val="0"/>
          <w:bCs w:val="0"/>
          <w:color w:val="auto"/>
          <w:szCs w:val="32"/>
          <w:highlight w:val="none"/>
        </w:rPr>
        <w:t>5%、2%、1.5%、0.6%。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龙洞湾支沟段截弯取直采用新建C25钢筋混凝土矩形明渠，设计渠底高程183.70m～182.70m，纵坡1%。净断面尺寸3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m×2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m（宽×高），边墙及底板厚0.5m，渠底设0.1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m厚砂浆+0.2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m厚碎石垫层，渠顶设栏杆，边墙两侧土石回填。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大湾支沟段新建护岸挡墙采用C25混凝土重力式挡墙，现状地面高程为墙顶高程。挡墙高2.7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m，顶宽0.5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m，迎水面铅直，背水面1:0.5，墙后土石回填至现状地面。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洞鹿乡河道治理工程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基本同意洞鹿乡河道治理工程设计。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</w:t>
      </w:r>
      <w:r>
        <w:rPr>
          <w:rFonts w:hint="eastAsia"/>
          <w:b w:val="0"/>
          <w:bCs w:val="0"/>
          <w:color w:val="auto"/>
          <w:szCs w:val="32"/>
          <w:highlight w:val="none"/>
        </w:rPr>
        <w:t>拦河堰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轴线长56.0m，共分3个坝段，桩号Y0+019.00、Y0+038.00处设横缝，上游侧设铜片止水。堰体为C25埋石混凝土结构，最大堰高11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m，堰基置于弱风化基岩，堰基上游侧设2.5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m×1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m（长×高）齿槽。堰顶高程782.00m，堰顶宽3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m，上游面铅直，下游面坡比1:0.6，堰顶上下游各设圆弧段，半径1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m。桩号Y0+000.00～Y0+031.00段堰体顶部及上、下游采用种植土回填，回填后顶高程782.60m，顶宽13.3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m，上、下游及临河侧坡比均为1:2.5。桩号Y0+036.00处设DN300生态放水钢管，管中心轴线高程776.98m。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</w:t>
      </w:r>
      <w:r>
        <w:rPr>
          <w:rFonts w:hint="eastAsia"/>
          <w:b w:val="0"/>
          <w:bCs w:val="0"/>
          <w:color w:val="auto"/>
          <w:szCs w:val="32"/>
          <w:highlight w:val="none"/>
        </w:rPr>
        <w:t>分洪隧洞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由进口段、隧洞段、出口段三部分组成。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进口段长10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m，底板设平坡，高程777.61m；采用C30钢筋混凝土矩形箱涵，壁厚1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m，净尺寸3.6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m×4.2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m（宽×高）；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箱涵置于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基岩或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采用C20混凝土换填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的基础上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b w:val="0"/>
          <w:bCs w:val="0"/>
          <w:color w:val="auto"/>
          <w:szCs w:val="32"/>
          <w:highlight w:val="none"/>
        </w:rPr>
        <w:t>进口段前设浆砌块石护底，长5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m，厚1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m。箱涵顶设1:10斜坡顺接现状道路。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隧洞段长364.57m，起点底高程777.61m，终点底高程769.72m，采用圆拱直墙型断面。第一段长18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m，纵坡10%，净尺寸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3.6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m×4.2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m（宽×高）～2.20m×3.30m（宽×高）；第二段长346.57m，纵坡1.76%，净尺寸2.2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m×3.3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m（宽×高）</w:t>
      </w:r>
      <w:r>
        <w:rPr>
          <w:rFonts w:hint="eastAsia"/>
          <w:b w:val="0"/>
          <w:bCs w:val="0"/>
          <w:color w:val="auto"/>
          <w:szCs w:val="32"/>
          <w:highlight w:val="none"/>
        </w:rPr>
        <w:t>。V类围岩洞身段开挖前顶部设注浆小导管，顶拱、边墙设钢拱架+C20挂网锚喷支护；全断面0.5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m厚C25钢筋混凝土衬砌+固结灌浆，顶拱回填灌浆。IV类围岩洞身段顶拱、边墙设C20挂网锚喷支护，全断面0.4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m厚C25钢筋混凝土衬砌，顶拱回填灌浆。隧洞顶拱设排水孔，每10m设一条永久缝，设橡胶止水带。隧洞进、出口设锁口锚杆，边坡采用C20挂网锚喷支护。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出口段长15.68m，起点底高程769.72m，终点底高程769.44m，纵坡1.76%；采用C30钢筋混凝土箱涵，壁厚1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m，净尺寸2.2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m×3.3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m（宽×高）；箱涵顶部及两侧采用土石回填，现状路面恢复；箱涵下游设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纵坡</w:t>
      </w:r>
      <w:r>
        <w:rPr>
          <w:rFonts w:hint="eastAsia"/>
          <w:b w:val="0"/>
          <w:bCs w:val="0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12.5%</w:t>
      </w:r>
      <w:r>
        <w:rPr>
          <w:rFonts w:hint="eastAsia"/>
          <w:b w:val="0"/>
          <w:bCs w:val="0"/>
          <w:color w:val="auto"/>
          <w:szCs w:val="32"/>
          <w:highlight w:val="none"/>
        </w:rPr>
        <w:t>的C20混凝土斜坡段接麻树河。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</w:t>
      </w:r>
      <w:r>
        <w:rPr>
          <w:rFonts w:hint="eastAsia"/>
          <w:b w:val="0"/>
          <w:bCs w:val="0"/>
          <w:color w:val="auto"/>
          <w:szCs w:val="32"/>
          <w:highlight w:val="none"/>
        </w:rPr>
        <w:t>防冲挡墙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拦河堰上游左岸设C30钢筋混凝土悬臂式防冲挡墙，墙顶高程782.00m，顶宽0.7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m，墙高6.7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m。分洪隧洞出口麻树河左岸设C20埋石混凝土重力式防冲挡墙，墙顶高程773.00m，顶宽2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m，墙高6.3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m。墙后土石回填，表层0.6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m厚种植土回填；墙底设C20混凝土垫层。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4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</w:t>
      </w:r>
      <w:r>
        <w:rPr>
          <w:rFonts w:hint="eastAsia"/>
          <w:b w:val="0"/>
          <w:bCs w:val="0"/>
          <w:color w:val="auto"/>
          <w:szCs w:val="32"/>
          <w:highlight w:val="none"/>
        </w:rPr>
        <w:t>拦渣坝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共1座，坝高1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m，坝顶宽1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m，上、下游面铅直，采用镀高尔凡格宾石笼砌筑。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5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）河道</w:t>
      </w:r>
      <w:r>
        <w:rPr>
          <w:rFonts w:hint="eastAsia"/>
          <w:b w:val="0"/>
          <w:bCs w:val="0"/>
          <w:color w:val="auto"/>
          <w:szCs w:val="32"/>
          <w:highlight w:val="none"/>
        </w:rPr>
        <w:t>疏浚清淤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麻树河疏浚清淤段设计河床高程772.13m～769.80m，纵坡8.5‰、4.9‰，分别长139.39m、233.12m；最大清淤深度1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m，宽7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.00m</w:t>
      </w:r>
      <w:r>
        <w:rPr>
          <w:rFonts w:hint="eastAsia"/>
          <w:b w:val="0"/>
          <w:bCs w:val="0"/>
          <w:color w:val="auto"/>
          <w:szCs w:val="32"/>
          <w:highlight w:val="none"/>
        </w:rPr>
        <w:t>～10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6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）河道</w:t>
      </w:r>
      <w:r>
        <w:rPr>
          <w:rFonts w:hint="eastAsia"/>
          <w:b w:val="0"/>
          <w:bCs w:val="0"/>
          <w:color w:val="auto"/>
          <w:szCs w:val="32"/>
          <w:highlight w:val="none"/>
        </w:rPr>
        <w:t>拓宽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麻树河拓宽段设计河道底宽13.6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m～15.5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m。开挖边坡最大高度47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m，设4级2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宽马道，高程分别为779.30m、789.30m、799.30m、809.30m。高程799.30m以上开挖坡比1:0.75，以下开挖坡比1:0.5。高程773.90m以下采用0.45m厚C25钢筋混凝土护坡；以上采用C20混凝土挂网锚喷支护，局部不稳定楔形体岩体采用清除或锚筋桩+预应力锚索加强支护；边坡设截排水系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桑坪镇河道治理工程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基本同意桑坪镇河道治理工程设计。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护岸采用C20埋石混凝土挡墙，墙高2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m～3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时</w:t>
      </w:r>
      <w:r>
        <w:rPr>
          <w:rFonts w:hint="eastAsia"/>
          <w:b w:val="0"/>
          <w:bCs w:val="0"/>
          <w:color w:val="auto"/>
          <w:szCs w:val="32"/>
          <w:highlight w:val="none"/>
        </w:rPr>
        <w:t>采用仰斜式挡墙，墙高4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m～6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时</w:t>
      </w:r>
      <w:r>
        <w:rPr>
          <w:rFonts w:hint="eastAsia"/>
          <w:b w:val="0"/>
          <w:bCs w:val="0"/>
          <w:color w:val="auto"/>
          <w:szCs w:val="32"/>
          <w:highlight w:val="none"/>
        </w:rPr>
        <w:t>采用衡重式挡墙，迎水面坡比均为1:0.15。墙顶高程758.95m～759.50m，墙顶宽2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m，墙顶设0.2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m厚C30混凝土路面，临河侧设栏杆。挡墙埋深大于1.3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m，墙底设C20混凝土垫层，堤脚设砂卵砾石回填。墙后土石回填，回填坡比1:1.5～1:2，草皮护坡。局部地基采用1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.00</w:t>
      </w:r>
      <w:r>
        <w:rPr>
          <w:rFonts w:hint="eastAsia"/>
          <w:b w:val="0"/>
          <w:bCs w:val="0"/>
          <w:color w:val="auto"/>
          <w:szCs w:val="32"/>
          <w:highlight w:val="none"/>
        </w:rPr>
        <w:t>m厚块石换填处理。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下阶段，进一步优化各段河道疏浚清淤设计，避免对洞鹿小学人行桥、八间铺桥等已成建（构）筑物的不利影响。边坡工程、隧洞工程应加强施工地质，进行动态法设计施工。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4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安全监测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基本同意安全监测设计。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五、施工组织设计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（一）施工条件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基本同意对施工条件的描述。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（二）料场的选择与开采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基本同意料场选择。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工程所需土石回填料利用开挖料。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default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工程所需砂石骨料择优选择商品料场购买，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至</w:t>
      </w:r>
      <w:r>
        <w:rPr>
          <w:rFonts w:hint="eastAsia"/>
          <w:b w:val="0"/>
          <w:bCs w:val="0"/>
          <w:color w:val="auto"/>
          <w:szCs w:val="32"/>
          <w:highlight w:val="none"/>
        </w:rPr>
        <w:t>江口镇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eastAsia"/>
          <w:b w:val="0"/>
          <w:bCs w:val="0"/>
          <w:color w:val="auto"/>
          <w:szCs w:val="32"/>
          <w:highlight w:val="none"/>
        </w:rPr>
        <w:t>桑坪镇、洞鹿乡工程区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综合运距分别为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6km、48km、64km。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工程所需块石料择优选择商品料场购买，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至</w:t>
      </w:r>
      <w:r>
        <w:rPr>
          <w:rFonts w:hint="eastAsia"/>
          <w:b w:val="0"/>
          <w:bCs w:val="0"/>
          <w:color w:val="auto"/>
          <w:szCs w:val="32"/>
          <w:highlight w:val="none"/>
        </w:rPr>
        <w:t>江口镇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eastAsia"/>
          <w:b w:val="0"/>
          <w:bCs w:val="0"/>
          <w:color w:val="auto"/>
          <w:szCs w:val="32"/>
          <w:highlight w:val="none"/>
        </w:rPr>
        <w:t>桑坪镇、洞鹿乡工程区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综合运距分别为</w:t>
      </w:r>
      <w:r>
        <w:rPr>
          <w:rFonts w:hint="eastAsia"/>
          <w:b w:val="0"/>
          <w:bCs w:val="0"/>
          <w:color w:val="auto"/>
          <w:szCs w:val="32"/>
          <w:highlight w:val="none"/>
        </w:rPr>
        <w:t>6km、52km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eastAsia"/>
          <w:b w:val="0"/>
          <w:bCs w:val="0"/>
          <w:color w:val="auto"/>
          <w:szCs w:val="32"/>
          <w:highlight w:val="none"/>
        </w:rPr>
        <w:t>54km。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江口镇和桑坪镇工程区砂砾石料优先利用工程开挖料，不足部分砂砾石料择优选择商品料场购买，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综合</w:t>
      </w:r>
      <w:r>
        <w:rPr>
          <w:rFonts w:hint="eastAsia"/>
          <w:b w:val="0"/>
          <w:bCs w:val="0"/>
          <w:color w:val="auto"/>
          <w:szCs w:val="32"/>
          <w:highlight w:val="none"/>
        </w:rPr>
        <w:t>运距分别约6km、52km。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（三）施工导流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1.</w:t>
      </w:r>
      <w:r>
        <w:rPr>
          <w:rFonts w:hint="eastAsia"/>
          <w:b w:val="0"/>
          <w:bCs w:val="0"/>
          <w:color w:val="auto"/>
          <w:szCs w:val="32"/>
          <w:highlight w:val="none"/>
        </w:rPr>
        <w:t>基本同意施工导流标准、导流时段和导流方式的选择。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eastAsia="方正仿宋_GBK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江口镇段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eastAsia"/>
          <w:b w:val="0"/>
          <w:bCs w:val="0"/>
          <w:color w:val="auto"/>
          <w:szCs w:val="32"/>
          <w:highlight w:val="none"/>
        </w:rPr>
        <w:t>洞鹿乡段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eastAsia"/>
          <w:b w:val="0"/>
          <w:bCs w:val="0"/>
          <w:color w:val="auto"/>
          <w:szCs w:val="32"/>
          <w:highlight w:val="none"/>
        </w:rPr>
        <w:t>桑坪镇段施工导流建筑物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级别</w:t>
      </w:r>
      <w:r>
        <w:rPr>
          <w:rFonts w:hint="eastAsia"/>
          <w:b w:val="0"/>
          <w:bCs w:val="0"/>
          <w:color w:val="auto"/>
          <w:szCs w:val="32"/>
          <w:highlight w:val="none"/>
        </w:rPr>
        <w:t>为5级，导流标准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采用</w:t>
      </w:r>
      <w:r>
        <w:rPr>
          <w:rFonts w:hint="eastAsia"/>
          <w:b w:val="0"/>
          <w:bCs w:val="0"/>
          <w:color w:val="auto"/>
          <w:szCs w:val="32"/>
          <w:highlight w:val="none"/>
        </w:rPr>
        <w:t>5年一遇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江口镇段导流时段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选用</w:t>
      </w:r>
      <w:r>
        <w:rPr>
          <w:rFonts w:hint="eastAsia"/>
          <w:b w:val="0"/>
          <w:bCs w:val="0"/>
          <w:color w:val="auto"/>
          <w:szCs w:val="32"/>
          <w:highlight w:val="none"/>
        </w:rPr>
        <w:t>12月～次年1月，相应导流流量为0.14m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/s（龙洞支沟）和0.21m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/s（大湾支沟），导流方式均</w:t>
      </w:r>
      <w:r>
        <w:rPr>
          <w:rFonts w:hint="eastAsia"/>
          <w:b w:val="0"/>
          <w:bCs w:val="0"/>
          <w:szCs w:val="32"/>
          <w:highlight w:val="none"/>
        </w:rPr>
        <w:t>选定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“</w:t>
      </w:r>
      <w:r>
        <w:rPr>
          <w:rFonts w:hint="eastAsia"/>
          <w:b w:val="0"/>
          <w:bCs w:val="0"/>
          <w:color w:val="auto"/>
          <w:szCs w:val="32"/>
          <w:highlight w:val="none"/>
        </w:rPr>
        <w:t>围堰一次拦断河床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+</w:t>
      </w:r>
      <w:r>
        <w:rPr>
          <w:rFonts w:hint="eastAsia"/>
          <w:b w:val="0"/>
          <w:bCs w:val="0"/>
          <w:color w:val="auto"/>
          <w:szCs w:val="32"/>
          <w:highlight w:val="none"/>
        </w:rPr>
        <w:t>涵管导流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”</w:t>
      </w:r>
      <w:r>
        <w:rPr>
          <w:rFonts w:hint="eastAsia"/>
          <w:b w:val="0"/>
          <w:bCs w:val="0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洞鹿乡段分洪隧洞进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eastAsia"/>
          <w:b w:val="0"/>
          <w:bCs w:val="0"/>
          <w:color w:val="auto"/>
          <w:szCs w:val="32"/>
          <w:highlight w:val="none"/>
        </w:rPr>
        <w:t>出口导流时段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均选用</w:t>
      </w:r>
      <w:r>
        <w:rPr>
          <w:rFonts w:hint="eastAsia"/>
          <w:b w:val="0"/>
          <w:bCs w:val="0"/>
          <w:color w:val="auto"/>
          <w:szCs w:val="32"/>
          <w:highlight w:val="none"/>
        </w:rPr>
        <w:t>11月～次年3月，流量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分别</w:t>
      </w:r>
      <w:r>
        <w:rPr>
          <w:rFonts w:hint="eastAsia"/>
          <w:b w:val="0"/>
          <w:bCs w:val="0"/>
          <w:color w:val="auto"/>
          <w:szCs w:val="32"/>
          <w:highlight w:val="none"/>
        </w:rPr>
        <w:t>为0.51m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eastAsia"/>
          <w:b w:val="0"/>
          <w:bCs w:val="0"/>
          <w:color w:val="auto"/>
          <w:szCs w:val="32"/>
          <w:highlight w:val="none"/>
        </w:rPr>
        <w:t>1.69m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导流方式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分别</w:t>
      </w:r>
      <w:r>
        <w:rPr>
          <w:rFonts w:hint="eastAsia"/>
          <w:b w:val="0"/>
          <w:bCs w:val="0"/>
          <w:szCs w:val="32"/>
          <w:highlight w:val="none"/>
        </w:rPr>
        <w:t>选定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“</w:t>
      </w:r>
      <w:r>
        <w:rPr>
          <w:rFonts w:hint="eastAsia"/>
          <w:b w:val="0"/>
          <w:bCs w:val="0"/>
          <w:color w:val="auto"/>
          <w:szCs w:val="32"/>
          <w:highlight w:val="none"/>
        </w:rPr>
        <w:t>围堰一次拦断河床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+</w:t>
      </w:r>
      <w:r>
        <w:rPr>
          <w:rFonts w:hint="eastAsia"/>
          <w:b w:val="0"/>
          <w:bCs w:val="0"/>
          <w:color w:val="auto"/>
          <w:szCs w:val="32"/>
          <w:highlight w:val="none"/>
        </w:rPr>
        <w:t>涵管泄流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”和“</w:t>
      </w:r>
      <w:r>
        <w:rPr>
          <w:rFonts w:hint="eastAsia"/>
          <w:b w:val="0"/>
          <w:bCs w:val="0"/>
          <w:color w:val="auto"/>
          <w:szCs w:val="32"/>
          <w:highlight w:val="none"/>
        </w:rPr>
        <w:t>分期围堰挡水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+</w:t>
      </w:r>
      <w:r>
        <w:rPr>
          <w:rFonts w:hint="eastAsia"/>
          <w:b w:val="0"/>
          <w:bCs w:val="0"/>
          <w:color w:val="auto"/>
          <w:szCs w:val="32"/>
          <w:highlight w:val="none"/>
        </w:rPr>
        <w:t>束窄河床过流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”；</w:t>
      </w:r>
      <w:r>
        <w:rPr>
          <w:rFonts w:hint="eastAsia"/>
          <w:b w:val="0"/>
          <w:bCs w:val="0"/>
          <w:color w:val="auto"/>
          <w:szCs w:val="32"/>
          <w:highlight w:val="none"/>
        </w:rPr>
        <w:t>麻树河清淤及扩挖段导流时段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选用</w:t>
      </w:r>
      <w:r>
        <w:rPr>
          <w:rFonts w:hint="eastAsia"/>
          <w:b w:val="0"/>
          <w:bCs w:val="0"/>
          <w:color w:val="auto"/>
          <w:szCs w:val="32"/>
          <w:highlight w:val="none"/>
        </w:rPr>
        <w:t>12月～次年2月，相应流量为0.3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/s，导流方式</w:t>
      </w:r>
      <w:r>
        <w:rPr>
          <w:rFonts w:hint="eastAsia"/>
          <w:b w:val="0"/>
          <w:bCs w:val="0"/>
          <w:szCs w:val="32"/>
          <w:highlight w:val="none"/>
        </w:rPr>
        <w:t>选定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“</w:t>
      </w:r>
      <w:r>
        <w:rPr>
          <w:rFonts w:hint="eastAsia"/>
          <w:b w:val="0"/>
          <w:bCs w:val="0"/>
          <w:color w:val="auto"/>
          <w:szCs w:val="32"/>
          <w:highlight w:val="none"/>
        </w:rPr>
        <w:t>岸边围堰挡水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+</w:t>
      </w:r>
      <w:r>
        <w:rPr>
          <w:rFonts w:hint="eastAsia"/>
          <w:b w:val="0"/>
          <w:bCs w:val="0"/>
          <w:color w:val="auto"/>
          <w:szCs w:val="32"/>
          <w:highlight w:val="none"/>
        </w:rPr>
        <w:t>束窄河床过流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”</w:t>
      </w:r>
      <w:r>
        <w:rPr>
          <w:rFonts w:hint="eastAsia"/>
          <w:b w:val="0"/>
          <w:bCs w:val="0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桑坪镇段导流时段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选用</w:t>
      </w:r>
      <w:r>
        <w:rPr>
          <w:rFonts w:hint="eastAsia"/>
          <w:b w:val="0"/>
          <w:bCs w:val="0"/>
          <w:color w:val="auto"/>
          <w:szCs w:val="32"/>
          <w:highlight w:val="none"/>
        </w:rPr>
        <w:t>12月～次年2月，相应导流流量为8.59m</w:t>
      </w:r>
      <w:r>
        <w:rPr>
          <w:rFonts w:hint="eastAsia"/>
          <w:b w:val="0"/>
          <w:bCs w:val="0"/>
          <w:color w:val="auto"/>
          <w:szCs w:val="32"/>
          <w:highlight w:val="none"/>
          <w:vertAlign w:val="superscript"/>
        </w:rPr>
        <w:t>3</w:t>
      </w:r>
      <w:r>
        <w:rPr>
          <w:rFonts w:hint="eastAsia"/>
          <w:b w:val="0"/>
          <w:bCs w:val="0"/>
          <w:color w:val="auto"/>
          <w:szCs w:val="32"/>
          <w:highlight w:val="none"/>
        </w:rPr>
        <w:t>/s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导流方式</w:t>
      </w:r>
      <w:r>
        <w:rPr>
          <w:rFonts w:hint="eastAsia"/>
          <w:b w:val="0"/>
          <w:bCs w:val="0"/>
          <w:szCs w:val="32"/>
          <w:highlight w:val="none"/>
        </w:rPr>
        <w:t>选定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“</w:t>
      </w:r>
      <w:r>
        <w:rPr>
          <w:rFonts w:hint="eastAsia"/>
          <w:b w:val="0"/>
          <w:bCs w:val="0"/>
          <w:color w:val="auto"/>
          <w:szCs w:val="32"/>
          <w:highlight w:val="none"/>
        </w:rPr>
        <w:t>岸边围堰挡水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+</w:t>
      </w:r>
      <w:r>
        <w:rPr>
          <w:rFonts w:hint="eastAsia"/>
          <w:b w:val="0"/>
          <w:bCs w:val="0"/>
          <w:color w:val="auto"/>
          <w:szCs w:val="32"/>
          <w:highlight w:val="none"/>
        </w:rPr>
        <w:t>束窄河床过流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”</w:t>
      </w:r>
      <w:r>
        <w:rPr>
          <w:rFonts w:hint="eastAsia"/>
          <w:b w:val="0"/>
          <w:bCs w:val="0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2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Cs w:val="32"/>
          <w:highlight w:val="none"/>
        </w:rPr>
        <w:t>基本同意导流建筑物设计。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（四）主体工程施工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主体工程的施工程序、施工方法、估列的主要施工机械设备基本合适。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（五）施工交通运输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基本同意对外交通利用现有道路。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基本同意场内施工交通布置。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（六）施工工厂设施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基本同意施工工厂设施布置、生产规模、主要机械设备选型。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（七）施工总布置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基本同意施工总布置的规划原则和施工分区。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基本同意土石方平衡及弃渣场规划。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基本同意施工占地。三个工程区段施工临时占地共计101.4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</w:rPr>
        <w:t>亩，其中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：</w:t>
      </w:r>
      <w:r>
        <w:rPr>
          <w:rFonts w:hint="eastAsia"/>
          <w:b w:val="0"/>
          <w:bCs w:val="0"/>
          <w:color w:val="auto"/>
          <w:szCs w:val="32"/>
          <w:highlight w:val="none"/>
        </w:rPr>
        <w:t>江口镇工程区段14.86亩，洞鹿乡工程区段67.63亩，桑坪镇工程区段18.91亩。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（八）施工总进度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基本同意工程施工总工期10个月，其中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：</w:t>
      </w:r>
      <w:r>
        <w:rPr>
          <w:rFonts w:hint="eastAsia"/>
          <w:b w:val="0"/>
          <w:bCs w:val="0"/>
          <w:color w:val="auto"/>
          <w:szCs w:val="32"/>
          <w:highlight w:val="none"/>
        </w:rPr>
        <w:t>江口镇工区7个月，洞鹿乡工区10个月，桑坪镇工区9个月。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highlight w:val="none"/>
        </w:rPr>
        <w:t>（九）主要技术供应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基本同意主要技术供应。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六、建设征地与移民安置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default" w:eastAsia="方正仿宋_GBK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（一）永久和临时征地的范围和面积确定基本合理，实物调查和安置方案基本可行。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永久征收土地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25.96亩，其中：耕地3.14亩，林地20.08亩，住宅用地0.95亩，交通运输用地0.35亩，水域及水利设施用地1.44亩。临时征用土地101.40亩，其中：耕地45.69亩，林地42.73亩，住宅用地1.09亩，农村道路0.53亩，交通运输用地0.93亩，水域及水利设施用地10.43亩。设计10kV电力线路0.50km、通信线路0.20k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default" w:eastAsia="方正仿宋_GBK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（二）根据云阳县人民政府印发的《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云阳县</w:t>
      </w:r>
      <w:r>
        <w:rPr>
          <w:rFonts w:hint="eastAsia"/>
          <w:b w:val="0"/>
          <w:bCs w:val="0"/>
          <w:color w:val="auto"/>
          <w:szCs w:val="32"/>
          <w:highlight w:val="none"/>
        </w:rPr>
        <w:t>集体土地征收补偿安置实施办法》（云阳府发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〔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2021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〕</w:t>
      </w:r>
      <w:r>
        <w:rPr>
          <w:rFonts w:hint="eastAsia"/>
          <w:b w:val="0"/>
          <w:bCs w:val="0"/>
          <w:color w:val="auto"/>
          <w:szCs w:val="32"/>
          <w:highlight w:val="none"/>
        </w:rPr>
        <w:t>35号）以及相关取费标准计算的移民安置费用基本合理。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工程建设征地与移民安置补偿投资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934.26万元，其中：农村移民安置补偿费460.49万元，专业项目39.00万元，其他费用60.32万元，基本预备费54.42万元，有关税费320.03万元。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七、环境保护设计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（一）基本同意概述内容。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（二）基本同意水环境保护措施内容。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（三）基本同意生态保护措施内容。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（四）基本同意大气及声环境保护措施内容。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（五）基本同意固体废弃物处置内容。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（六）基本同意环境管理和环境监测内容。</w:t>
      </w:r>
    </w:p>
    <w:p>
      <w:pPr>
        <w:spacing w:line="594" w:lineRule="exact"/>
        <w:ind w:right="-480" w:rightChars="-150" w:firstLine="640" w:firstLineChars="200"/>
        <w:rPr>
          <w:rFonts w:hint="eastAsia" w:ascii="Times New Roman" w:eastAsia="方正仿宋_GBK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（七）基本同意环境保护投资。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eastAsia="方正仿宋_GBK"/>
          <w:b w:val="0"/>
          <w:bCs w:val="0"/>
          <w:sz w:val="32"/>
          <w:szCs w:val="32"/>
        </w:rPr>
        <w:t>下阶段根据专题批复进一步完善环境保护设计。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八、水土保持设计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（一）基本同意概述内容。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（二）基本同意水土流失防治范围及措施布局。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（三）基本同意弃渣场及其防护工程设计。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（四）基本同意表土保护利用与土地整治工程设计。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（五）基本同意植被恢复与建设工程设计。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（六）基本同意临时防护与其他工程设计。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（七）基本同意水土保持工程施工组织设计。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（八）基本同意水土保持监测与管理。</w:t>
      </w:r>
    </w:p>
    <w:p>
      <w:pPr>
        <w:spacing w:line="594" w:lineRule="exact"/>
        <w:ind w:right="-480" w:rightChars="-150" w:firstLine="640" w:firstLineChars="200"/>
        <w:rPr>
          <w:rFonts w:hint="eastAsia" w:ascii="Times New Roman" w:eastAsia="方正仿宋_GBK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（九）基本同意水土保持投资。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eastAsia="方正仿宋_GBK"/>
          <w:b w:val="0"/>
          <w:bCs w:val="0"/>
          <w:sz w:val="32"/>
          <w:szCs w:val="32"/>
        </w:rPr>
        <w:t>下阶段根据专题批复进一步完善水土保持设计。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九、劳动安全与工业卫生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基本同意危险与有害因素分析、劳动安全措施、工业卫生措施和安全卫生措施。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十、节能设计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基本同意节能设计依据、能耗分析、节能设计及节能效果评价。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十一、工程管理设计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基本同意设计依据、工程管理体制、工程运行管理、工程管理范围和保护范围、管理设施与设备设计。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十二、工程信息化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基本同意工程信息化编制内容。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十三、设计概算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（一）工程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设计</w:t>
      </w:r>
      <w:r>
        <w:rPr>
          <w:rFonts w:hint="eastAsia"/>
          <w:b w:val="0"/>
          <w:bCs w:val="0"/>
          <w:color w:val="auto"/>
          <w:szCs w:val="32"/>
          <w:highlight w:val="none"/>
        </w:rPr>
        <w:t>概算编制采用重庆市水利局、重庆市发展和改革委员会发布的2021年版《重庆市水利工程设计概（估）算编制规定》（渝水建〔2021〕7号）、《重庆市水利建筑工程概算定额》、《重庆市水利工程机械台时费定额》（渝水建〔2021〕8号）。编制规定和配套定额、文件符合现行重庆市水利行业投资编制规定，编制深度基本达到本阶段的设计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（二）基本同意人工工资、主要材料价格、机械台时费等基础价格。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（三）基本同意建筑安装工程单价编制和费用计算。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（四）根据编制规定及行业政策对独立费用进行了复核计算。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（五）经审查，按2024年10月价格水平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工程静态总投资5205.42万元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，其中：工程部分投资3955.6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万元，专项部分投资1249.82万元</w:t>
      </w:r>
      <w:r>
        <w:rPr>
          <w:rFonts w:hint="eastAsia"/>
          <w:b w:val="0"/>
          <w:bCs w:val="0"/>
          <w:color w:val="auto"/>
          <w:szCs w:val="32"/>
          <w:highlight w:val="none"/>
        </w:rPr>
        <w:t>。较可研批复工程静态总投资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5337</w:t>
      </w:r>
      <w:r>
        <w:rPr>
          <w:rFonts w:hint="eastAsia"/>
          <w:b w:val="0"/>
          <w:bCs w:val="0"/>
          <w:color w:val="auto"/>
          <w:szCs w:val="32"/>
          <w:highlight w:val="none"/>
        </w:rPr>
        <w:t>万元减少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132</w:t>
      </w:r>
      <w:r>
        <w:rPr>
          <w:rFonts w:hint="eastAsia"/>
          <w:b w:val="0"/>
          <w:bCs w:val="0"/>
          <w:color w:val="auto"/>
          <w:szCs w:val="32"/>
          <w:highlight w:val="none"/>
        </w:rPr>
        <w:t>万元，减幅</w:t>
      </w:r>
      <w:r>
        <w:rPr>
          <w:rFonts w:hint="eastAsia"/>
          <w:b w:val="0"/>
          <w:bCs w:val="0"/>
          <w:color w:val="auto"/>
          <w:szCs w:val="32"/>
          <w:highlight w:val="none"/>
          <w:lang w:val="en-US" w:eastAsia="zh-CN"/>
        </w:rPr>
        <w:t>2.5%</w:t>
      </w:r>
      <w:r>
        <w:rPr>
          <w:rFonts w:hint="eastAsia"/>
          <w:b w:val="0"/>
          <w:bCs w:val="0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jc w:val="left"/>
        <w:rPr>
          <w:rFonts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32"/>
          <w:highlight w:val="none"/>
        </w:rPr>
        <w:t>、经济评价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rPr>
          <w:rFonts w:hint="eastAsia"/>
          <w:b w:val="0"/>
          <w:bCs w:val="0"/>
          <w:color w:val="auto"/>
          <w:szCs w:val="32"/>
          <w:highlight w:val="none"/>
        </w:rPr>
      </w:pPr>
      <w:r>
        <w:rPr>
          <w:rFonts w:hint="eastAsia"/>
          <w:b w:val="0"/>
          <w:bCs w:val="0"/>
          <w:color w:val="auto"/>
          <w:szCs w:val="32"/>
          <w:highlight w:val="none"/>
        </w:rPr>
        <w:t>基本同意国民经济评价采用的方法和结论，经计算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经济内部收益率大于6%。本项目是以场镇、集中居民点防洪为主，兼有岸坡防护、减少水土流失、改善河道生态环境等综合任务的河道治理工程</w:t>
      </w:r>
      <w:r>
        <w:rPr>
          <w:rFonts w:hint="eastAsia"/>
          <w:b w:val="0"/>
          <w:bCs w:val="0"/>
          <w:color w:val="auto"/>
          <w:szCs w:val="32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32"/>
          <w:highlight w:val="none"/>
        </w:rPr>
        <w:t>具有一定的公益性效益。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0" w:firstLineChars="0"/>
        <w:rPr>
          <w:b w:val="0"/>
          <w:bCs w:val="0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ind w:left="1600" w:leftChars="200" w:hanging="960" w:hangingChars="300"/>
        <w:rPr>
          <w:b w:val="0"/>
          <w:bCs w:val="0"/>
          <w:color w:val="auto"/>
          <w:highlight w:val="none"/>
        </w:rPr>
      </w:pPr>
      <w:r>
        <w:rPr>
          <w:rFonts w:hint="eastAsia" w:cs="方正仿宋_GBK"/>
          <w:b w:val="0"/>
          <w:bCs w:val="0"/>
          <w:color w:val="auto"/>
          <w:szCs w:val="32"/>
          <w:highlight w:val="none"/>
        </w:rPr>
        <w:t>附件：云阳县江口片、红狮片河道治理工程初步设计报告专家评审会专家名单</w:t>
      </w: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after="0" w:line="240" w:lineRule="auto"/>
        <w:ind w:firstLine="0" w:firstLineChars="0"/>
        <w:jc w:val="right"/>
        <w:rPr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专家组组长：</w:t>
      </w:r>
      <w:r>
        <w:rPr>
          <w:b w:val="0"/>
          <w:bCs w:val="0"/>
        </w:rPr>
        <w:drawing>
          <wp:inline distT="0" distB="0" distL="114300" distR="114300">
            <wp:extent cx="1028700" cy="561975"/>
            <wp:effectExtent l="0" t="0" r="0" b="0"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12"/>
                    <a:srcRect l="34460" t="52464" r="46056" b="2675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color w:val="auto"/>
          <w:highlight w:val="none"/>
        </w:rPr>
        <w:t xml:space="preserve">           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94" w:lineRule="exact"/>
        <w:ind w:firstLine="0" w:firstLineChars="0"/>
        <w:jc w:val="right"/>
        <w:rPr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2024年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11</w:t>
      </w:r>
      <w:r>
        <w:rPr>
          <w:rFonts w:hint="eastAsia"/>
          <w:b w:val="0"/>
          <w:bCs w:val="0"/>
          <w:color w:val="auto"/>
          <w:highlight w:val="none"/>
        </w:rPr>
        <w:t>月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/>
          <w:b w:val="0"/>
          <w:bCs w:val="0"/>
          <w:color w:val="auto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94" w:lineRule="exact"/>
        <w:ind w:firstLine="0" w:firstLineChars="0"/>
        <w:jc w:val="left"/>
        <w:rPr>
          <w:b w:val="0"/>
          <w:bCs w:val="0"/>
          <w:color w:val="auto"/>
          <w:highlight w:val="none"/>
        </w:rPr>
      </w:pPr>
      <w:r>
        <w:rPr>
          <w:b w:val="0"/>
          <w:bCs w:val="0"/>
          <w:color w:val="auto"/>
          <w:highlight w:val="none"/>
        </w:rPr>
        <w:br w:type="page"/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94" w:lineRule="exact"/>
        <w:ind w:firstLine="0" w:firstLineChars="0"/>
        <w:rPr>
          <w:b w:val="0"/>
          <w:bCs w:val="0"/>
          <w:color w:val="auto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Cs w:val="22"/>
          <w:highlight w:val="none"/>
        </w:rPr>
        <w:t>附件</w:t>
      </w:r>
    </w:p>
    <w:tbl>
      <w:tblPr>
        <w:tblStyle w:val="9"/>
        <w:tblW w:w="9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329"/>
        <w:gridCol w:w="1187"/>
        <w:gridCol w:w="2727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highlight w:val="none"/>
              </w:rPr>
              <w:t>云阳县江口片、红狮片河道治理工程初步设计报告专家评审会专家名单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2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94" w:lineRule="exact"/>
              <w:ind w:firstLine="482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时间：2024年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地点：创世纪宾馆求贤厅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刘良军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广东珠荣工程设计有限公司重庆分公司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正高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全面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詹正福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广东珠荣工程设计有限公司重庆分公司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正高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水文、规划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组员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张建祥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广东珠荣工程设计有限公司重庆分公司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正高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工程地质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组员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王术学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广东珠荣工程设计有限公司重庆分公司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正高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水工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组员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罗元发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重庆江源工程勘察设计有限公司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高工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施工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组员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刘本延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云阳县水利局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高工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征地移民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组员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张华君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招商局重庆交科院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高工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水保、环保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组员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岳余敏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广东珠荣工程设计有限公司重庆分公司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正高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造价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组员</w:t>
            </w:r>
          </w:p>
        </w:tc>
      </w:tr>
    </w:tbl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94" w:lineRule="exact"/>
        <w:ind w:firstLine="0" w:firstLineChars="0"/>
        <w:rPr>
          <w:b w:val="0"/>
          <w:bCs w:val="0"/>
          <w:color w:val="auto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NWNvf2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revisionView w:markup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dkYWEyZWI3MWNkMWVmMjg1YjM3NTA4YjY2Y2QifQ=="/>
  </w:docVars>
  <w:rsids>
    <w:rsidRoot w:val="12732AD4"/>
    <w:rsid w:val="00001A32"/>
    <w:rsid w:val="00015FA9"/>
    <w:rsid w:val="00045136"/>
    <w:rsid w:val="000F39B2"/>
    <w:rsid w:val="00142582"/>
    <w:rsid w:val="00162357"/>
    <w:rsid w:val="00186D71"/>
    <w:rsid w:val="001959D2"/>
    <w:rsid w:val="00197042"/>
    <w:rsid w:val="001B7F47"/>
    <w:rsid w:val="0022207B"/>
    <w:rsid w:val="002246CB"/>
    <w:rsid w:val="00254A56"/>
    <w:rsid w:val="00297AE5"/>
    <w:rsid w:val="002A7417"/>
    <w:rsid w:val="002B001C"/>
    <w:rsid w:val="002B7EE6"/>
    <w:rsid w:val="002C3618"/>
    <w:rsid w:val="00301EBB"/>
    <w:rsid w:val="00316EE9"/>
    <w:rsid w:val="00327C27"/>
    <w:rsid w:val="003350DE"/>
    <w:rsid w:val="003772F3"/>
    <w:rsid w:val="003B75FD"/>
    <w:rsid w:val="003D6E2E"/>
    <w:rsid w:val="003F13F9"/>
    <w:rsid w:val="00451FDE"/>
    <w:rsid w:val="004B7B3F"/>
    <w:rsid w:val="004F61CE"/>
    <w:rsid w:val="0051521F"/>
    <w:rsid w:val="00517B45"/>
    <w:rsid w:val="0058316C"/>
    <w:rsid w:val="00595C82"/>
    <w:rsid w:val="006212AA"/>
    <w:rsid w:val="00622FFD"/>
    <w:rsid w:val="00692508"/>
    <w:rsid w:val="0069382E"/>
    <w:rsid w:val="006A11EB"/>
    <w:rsid w:val="006B7350"/>
    <w:rsid w:val="006E19EC"/>
    <w:rsid w:val="006E4C99"/>
    <w:rsid w:val="00740103"/>
    <w:rsid w:val="00745031"/>
    <w:rsid w:val="007707B8"/>
    <w:rsid w:val="00771B46"/>
    <w:rsid w:val="007839AE"/>
    <w:rsid w:val="00804713"/>
    <w:rsid w:val="00825212"/>
    <w:rsid w:val="00856195"/>
    <w:rsid w:val="00891185"/>
    <w:rsid w:val="0092097A"/>
    <w:rsid w:val="00932FDD"/>
    <w:rsid w:val="009865E0"/>
    <w:rsid w:val="009F1F26"/>
    <w:rsid w:val="00A177E5"/>
    <w:rsid w:val="00A35771"/>
    <w:rsid w:val="00A7478A"/>
    <w:rsid w:val="00A9346F"/>
    <w:rsid w:val="00AD0112"/>
    <w:rsid w:val="00B10420"/>
    <w:rsid w:val="00B2147B"/>
    <w:rsid w:val="00B21841"/>
    <w:rsid w:val="00B40D3F"/>
    <w:rsid w:val="00B425FC"/>
    <w:rsid w:val="00B904DD"/>
    <w:rsid w:val="00BA162F"/>
    <w:rsid w:val="00C43810"/>
    <w:rsid w:val="00C726E5"/>
    <w:rsid w:val="00C756F8"/>
    <w:rsid w:val="00CA1867"/>
    <w:rsid w:val="00CB77BE"/>
    <w:rsid w:val="00D05497"/>
    <w:rsid w:val="00D07C65"/>
    <w:rsid w:val="00D34257"/>
    <w:rsid w:val="00D6554A"/>
    <w:rsid w:val="00D722AF"/>
    <w:rsid w:val="00DB77A8"/>
    <w:rsid w:val="00DC498D"/>
    <w:rsid w:val="00DF4F70"/>
    <w:rsid w:val="00DF57C3"/>
    <w:rsid w:val="00E00E14"/>
    <w:rsid w:val="00E34441"/>
    <w:rsid w:val="00E6200C"/>
    <w:rsid w:val="00F54310"/>
    <w:rsid w:val="00F560AD"/>
    <w:rsid w:val="00F6703D"/>
    <w:rsid w:val="00FD7530"/>
    <w:rsid w:val="04E16F4D"/>
    <w:rsid w:val="054C73C1"/>
    <w:rsid w:val="081D649F"/>
    <w:rsid w:val="086F098F"/>
    <w:rsid w:val="08EA2888"/>
    <w:rsid w:val="0A5B6057"/>
    <w:rsid w:val="0D584ACF"/>
    <w:rsid w:val="0DBE78CB"/>
    <w:rsid w:val="0E0F1632"/>
    <w:rsid w:val="0F173C75"/>
    <w:rsid w:val="0FF5C125"/>
    <w:rsid w:val="117F91B7"/>
    <w:rsid w:val="12732AD4"/>
    <w:rsid w:val="16AD8A47"/>
    <w:rsid w:val="16EA49EA"/>
    <w:rsid w:val="177B5D0D"/>
    <w:rsid w:val="18BF3C55"/>
    <w:rsid w:val="18D716A1"/>
    <w:rsid w:val="19A60971"/>
    <w:rsid w:val="19EEB7EB"/>
    <w:rsid w:val="1BB59C42"/>
    <w:rsid w:val="1BF96221"/>
    <w:rsid w:val="1D9E652E"/>
    <w:rsid w:val="1DBB4139"/>
    <w:rsid w:val="1FBF2D7F"/>
    <w:rsid w:val="1FDB4575"/>
    <w:rsid w:val="1FFBFC12"/>
    <w:rsid w:val="1FFDD9A5"/>
    <w:rsid w:val="1FFF6B4E"/>
    <w:rsid w:val="213056EF"/>
    <w:rsid w:val="2277C3EC"/>
    <w:rsid w:val="22FEEB6F"/>
    <w:rsid w:val="26C2328E"/>
    <w:rsid w:val="277AF5A3"/>
    <w:rsid w:val="27FF1F12"/>
    <w:rsid w:val="29FB894F"/>
    <w:rsid w:val="2A3E4E31"/>
    <w:rsid w:val="2B3F011B"/>
    <w:rsid w:val="2CA46F92"/>
    <w:rsid w:val="2CB52F4D"/>
    <w:rsid w:val="2CCF2344"/>
    <w:rsid w:val="2D51D972"/>
    <w:rsid w:val="2D658599"/>
    <w:rsid w:val="2DEDCFD4"/>
    <w:rsid w:val="2DFF71C7"/>
    <w:rsid w:val="2DFFFC0F"/>
    <w:rsid w:val="2E6064AA"/>
    <w:rsid w:val="2E6FFDD0"/>
    <w:rsid w:val="2E894691"/>
    <w:rsid w:val="2EBA8438"/>
    <w:rsid w:val="2F27BC33"/>
    <w:rsid w:val="2F77E79B"/>
    <w:rsid w:val="2F8F4146"/>
    <w:rsid w:val="2FBB85C1"/>
    <w:rsid w:val="2FBD534F"/>
    <w:rsid w:val="2FFB22B0"/>
    <w:rsid w:val="33615BDC"/>
    <w:rsid w:val="35433E1B"/>
    <w:rsid w:val="36BF1CCD"/>
    <w:rsid w:val="36FD4EE4"/>
    <w:rsid w:val="37CBA551"/>
    <w:rsid w:val="37EFCD92"/>
    <w:rsid w:val="38353194"/>
    <w:rsid w:val="385F213D"/>
    <w:rsid w:val="39EF9282"/>
    <w:rsid w:val="3AF78FBB"/>
    <w:rsid w:val="3B1EA527"/>
    <w:rsid w:val="3B6E57E7"/>
    <w:rsid w:val="3BCF1F2E"/>
    <w:rsid w:val="3CD72A6B"/>
    <w:rsid w:val="3CFF321B"/>
    <w:rsid w:val="3D661F34"/>
    <w:rsid w:val="3D7BCD66"/>
    <w:rsid w:val="3DB9CAE0"/>
    <w:rsid w:val="3DCF682F"/>
    <w:rsid w:val="3DF3BE02"/>
    <w:rsid w:val="3E7F20FF"/>
    <w:rsid w:val="3E87139B"/>
    <w:rsid w:val="3EDF0053"/>
    <w:rsid w:val="3EFFB00D"/>
    <w:rsid w:val="3EFFC1BB"/>
    <w:rsid w:val="3F361D7F"/>
    <w:rsid w:val="3F3FBC71"/>
    <w:rsid w:val="3F93CC1E"/>
    <w:rsid w:val="3FDECCBD"/>
    <w:rsid w:val="3FEE10AA"/>
    <w:rsid w:val="3FFE74BF"/>
    <w:rsid w:val="3FFFB971"/>
    <w:rsid w:val="41DF2AEE"/>
    <w:rsid w:val="42CC235C"/>
    <w:rsid w:val="4473751E"/>
    <w:rsid w:val="449040C8"/>
    <w:rsid w:val="4497145E"/>
    <w:rsid w:val="45C83899"/>
    <w:rsid w:val="471FE619"/>
    <w:rsid w:val="47DAFBE5"/>
    <w:rsid w:val="47EDA40C"/>
    <w:rsid w:val="489F1A85"/>
    <w:rsid w:val="49EB9622"/>
    <w:rsid w:val="4B7FFCE5"/>
    <w:rsid w:val="4BF47196"/>
    <w:rsid w:val="4C2C2DD4"/>
    <w:rsid w:val="4CAA1C3E"/>
    <w:rsid w:val="4CE23492"/>
    <w:rsid w:val="4DF7827A"/>
    <w:rsid w:val="4E897B44"/>
    <w:rsid w:val="4F660951"/>
    <w:rsid w:val="4FA7451F"/>
    <w:rsid w:val="4FF76C73"/>
    <w:rsid w:val="4FFF9791"/>
    <w:rsid w:val="51AFC3A9"/>
    <w:rsid w:val="51FED7AB"/>
    <w:rsid w:val="557F0A19"/>
    <w:rsid w:val="57111A94"/>
    <w:rsid w:val="57D7BE80"/>
    <w:rsid w:val="57FD08DF"/>
    <w:rsid w:val="57FFBF2D"/>
    <w:rsid w:val="584CB10B"/>
    <w:rsid w:val="587A6C75"/>
    <w:rsid w:val="59E4AFF0"/>
    <w:rsid w:val="59FD9904"/>
    <w:rsid w:val="5A7BC541"/>
    <w:rsid w:val="5A8B33BB"/>
    <w:rsid w:val="5A9D3918"/>
    <w:rsid w:val="5AC74124"/>
    <w:rsid w:val="5B77E169"/>
    <w:rsid w:val="5BBF5316"/>
    <w:rsid w:val="5BD462C2"/>
    <w:rsid w:val="5BD746CA"/>
    <w:rsid w:val="5BF7F16F"/>
    <w:rsid w:val="5C7FF261"/>
    <w:rsid w:val="5CAF9752"/>
    <w:rsid w:val="5D8FC306"/>
    <w:rsid w:val="5DBD868D"/>
    <w:rsid w:val="5DDB4177"/>
    <w:rsid w:val="5EDEB3E7"/>
    <w:rsid w:val="5EEC3BA4"/>
    <w:rsid w:val="5EECCA29"/>
    <w:rsid w:val="5EFA7CCD"/>
    <w:rsid w:val="5EFB1A98"/>
    <w:rsid w:val="5F1C5E5F"/>
    <w:rsid w:val="5F376309"/>
    <w:rsid w:val="5F3C1E61"/>
    <w:rsid w:val="5F3E76DC"/>
    <w:rsid w:val="5F4DF09C"/>
    <w:rsid w:val="5F4E2F8A"/>
    <w:rsid w:val="5F5F9E22"/>
    <w:rsid w:val="5FB6CC3D"/>
    <w:rsid w:val="5FD6ED29"/>
    <w:rsid w:val="5FD76F83"/>
    <w:rsid w:val="5FEF8FAA"/>
    <w:rsid w:val="5FF3BDF5"/>
    <w:rsid w:val="5FF793CB"/>
    <w:rsid w:val="5FF9D43F"/>
    <w:rsid w:val="5FFC1DA8"/>
    <w:rsid w:val="5FFE3A32"/>
    <w:rsid w:val="5FFF2863"/>
    <w:rsid w:val="5FFFD0FB"/>
    <w:rsid w:val="616B1851"/>
    <w:rsid w:val="62922511"/>
    <w:rsid w:val="63E3668D"/>
    <w:rsid w:val="63EFF030"/>
    <w:rsid w:val="63FFE7D9"/>
    <w:rsid w:val="65FD261F"/>
    <w:rsid w:val="67FFA12C"/>
    <w:rsid w:val="67FFBA12"/>
    <w:rsid w:val="687EF7E1"/>
    <w:rsid w:val="68FBD1B2"/>
    <w:rsid w:val="69EC5C36"/>
    <w:rsid w:val="69F0323B"/>
    <w:rsid w:val="6A4D65A4"/>
    <w:rsid w:val="6AFBDB1F"/>
    <w:rsid w:val="6AFF37B7"/>
    <w:rsid w:val="6B7F5BCA"/>
    <w:rsid w:val="6BB55CC4"/>
    <w:rsid w:val="6C661592"/>
    <w:rsid w:val="6CC7C01A"/>
    <w:rsid w:val="6D771830"/>
    <w:rsid w:val="6D9B15AA"/>
    <w:rsid w:val="6E7562CF"/>
    <w:rsid w:val="6E7F2826"/>
    <w:rsid w:val="6EBF011C"/>
    <w:rsid w:val="6EDFEC68"/>
    <w:rsid w:val="6EEA5BCC"/>
    <w:rsid w:val="6EEAABC1"/>
    <w:rsid w:val="6EEDC270"/>
    <w:rsid w:val="6EFFF24E"/>
    <w:rsid w:val="6F4E6F48"/>
    <w:rsid w:val="6F5F7D01"/>
    <w:rsid w:val="6F6D92C1"/>
    <w:rsid w:val="6F7D719C"/>
    <w:rsid w:val="6F8D0E03"/>
    <w:rsid w:val="6FA3DBA6"/>
    <w:rsid w:val="6FBB27F8"/>
    <w:rsid w:val="6FD607DD"/>
    <w:rsid w:val="6FDC1A9C"/>
    <w:rsid w:val="6FF688FE"/>
    <w:rsid w:val="6FF6E553"/>
    <w:rsid w:val="6FFB6234"/>
    <w:rsid w:val="6FFBE560"/>
    <w:rsid w:val="6FFEFB7A"/>
    <w:rsid w:val="6FFF438D"/>
    <w:rsid w:val="6FFF7B7C"/>
    <w:rsid w:val="6FFFD803"/>
    <w:rsid w:val="71378084"/>
    <w:rsid w:val="71D945B4"/>
    <w:rsid w:val="71E7B044"/>
    <w:rsid w:val="730F700F"/>
    <w:rsid w:val="73F6E823"/>
    <w:rsid w:val="73FE8577"/>
    <w:rsid w:val="73FF019E"/>
    <w:rsid w:val="74FD30F1"/>
    <w:rsid w:val="755EEB1A"/>
    <w:rsid w:val="757DE146"/>
    <w:rsid w:val="75E11C8A"/>
    <w:rsid w:val="75E13A25"/>
    <w:rsid w:val="75F755E7"/>
    <w:rsid w:val="75FB8377"/>
    <w:rsid w:val="75FF9A52"/>
    <w:rsid w:val="764B49D8"/>
    <w:rsid w:val="76671B0F"/>
    <w:rsid w:val="76EB569F"/>
    <w:rsid w:val="774CE328"/>
    <w:rsid w:val="776341B6"/>
    <w:rsid w:val="7777DF26"/>
    <w:rsid w:val="77781576"/>
    <w:rsid w:val="77975836"/>
    <w:rsid w:val="77BC0139"/>
    <w:rsid w:val="77BDFAC2"/>
    <w:rsid w:val="77BF6698"/>
    <w:rsid w:val="77CF69F6"/>
    <w:rsid w:val="77DE9898"/>
    <w:rsid w:val="77DFF6FF"/>
    <w:rsid w:val="77EFC9F6"/>
    <w:rsid w:val="77F70049"/>
    <w:rsid w:val="77FEAEF8"/>
    <w:rsid w:val="77FEF04D"/>
    <w:rsid w:val="77FFB10E"/>
    <w:rsid w:val="77FFCE5F"/>
    <w:rsid w:val="787F48EB"/>
    <w:rsid w:val="78CF7AF1"/>
    <w:rsid w:val="793E8BE4"/>
    <w:rsid w:val="79580979"/>
    <w:rsid w:val="795F10FA"/>
    <w:rsid w:val="795F2293"/>
    <w:rsid w:val="796790CF"/>
    <w:rsid w:val="796AC446"/>
    <w:rsid w:val="79BE30DF"/>
    <w:rsid w:val="79DA4F85"/>
    <w:rsid w:val="79F775A5"/>
    <w:rsid w:val="79FBC5F4"/>
    <w:rsid w:val="79FC8049"/>
    <w:rsid w:val="7A2F307F"/>
    <w:rsid w:val="7A77FC7D"/>
    <w:rsid w:val="7A9F03C5"/>
    <w:rsid w:val="7AD262C9"/>
    <w:rsid w:val="7ADE870F"/>
    <w:rsid w:val="7AEC944A"/>
    <w:rsid w:val="7B284B90"/>
    <w:rsid w:val="7B375162"/>
    <w:rsid w:val="7B7D3F40"/>
    <w:rsid w:val="7B7F1E88"/>
    <w:rsid w:val="7B7F906B"/>
    <w:rsid w:val="7B8F8F46"/>
    <w:rsid w:val="7BBA2DD2"/>
    <w:rsid w:val="7BD58D55"/>
    <w:rsid w:val="7BDA8DBB"/>
    <w:rsid w:val="7BEABCBC"/>
    <w:rsid w:val="7BED9F16"/>
    <w:rsid w:val="7BEDC271"/>
    <w:rsid w:val="7BEF800E"/>
    <w:rsid w:val="7BEF9923"/>
    <w:rsid w:val="7BEF9976"/>
    <w:rsid w:val="7BF6A298"/>
    <w:rsid w:val="7BFD7593"/>
    <w:rsid w:val="7BFE466D"/>
    <w:rsid w:val="7BFEAC67"/>
    <w:rsid w:val="7C090D60"/>
    <w:rsid w:val="7C7D0BA6"/>
    <w:rsid w:val="7CFA996E"/>
    <w:rsid w:val="7CFBE008"/>
    <w:rsid w:val="7D2DEE4D"/>
    <w:rsid w:val="7D5FBE89"/>
    <w:rsid w:val="7D773C01"/>
    <w:rsid w:val="7D7776E0"/>
    <w:rsid w:val="7D7FF04C"/>
    <w:rsid w:val="7D9A833B"/>
    <w:rsid w:val="7DA7A830"/>
    <w:rsid w:val="7DDB34A9"/>
    <w:rsid w:val="7DEB3091"/>
    <w:rsid w:val="7DF4407D"/>
    <w:rsid w:val="7DF5E978"/>
    <w:rsid w:val="7DF7D8CD"/>
    <w:rsid w:val="7DFB9273"/>
    <w:rsid w:val="7DFCAE2B"/>
    <w:rsid w:val="7DFF039A"/>
    <w:rsid w:val="7E7E80F5"/>
    <w:rsid w:val="7E7FAA27"/>
    <w:rsid w:val="7EDFB79A"/>
    <w:rsid w:val="7EF42CFA"/>
    <w:rsid w:val="7EFB28F8"/>
    <w:rsid w:val="7EFDE267"/>
    <w:rsid w:val="7F2FB399"/>
    <w:rsid w:val="7F2FFA26"/>
    <w:rsid w:val="7F37047F"/>
    <w:rsid w:val="7F3E4F30"/>
    <w:rsid w:val="7F530342"/>
    <w:rsid w:val="7F6EE3FF"/>
    <w:rsid w:val="7F6EEC20"/>
    <w:rsid w:val="7F6F5284"/>
    <w:rsid w:val="7F7B3D82"/>
    <w:rsid w:val="7F7D58EC"/>
    <w:rsid w:val="7F7F2250"/>
    <w:rsid w:val="7FA9C26F"/>
    <w:rsid w:val="7FA9DF13"/>
    <w:rsid w:val="7FB13EA8"/>
    <w:rsid w:val="7FB29AD0"/>
    <w:rsid w:val="7FB62D49"/>
    <w:rsid w:val="7FB6B2BA"/>
    <w:rsid w:val="7FBBC89B"/>
    <w:rsid w:val="7FCF1F29"/>
    <w:rsid w:val="7FD39B64"/>
    <w:rsid w:val="7FDC5D55"/>
    <w:rsid w:val="7FDD51C6"/>
    <w:rsid w:val="7FDEA8E0"/>
    <w:rsid w:val="7FDF2BB0"/>
    <w:rsid w:val="7FDF5FA0"/>
    <w:rsid w:val="7FDF9228"/>
    <w:rsid w:val="7FDFCA01"/>
    <w:rsid w:val="7FF44F4A"/>
    <w:rsid w:val="7FF51F26"/>
    <w:rsid w:val="7FF64965"/>
    <w:rsid w:val="7FF70D7A"/>
    <w:rsid w:val="7FFCB526"/>
    <w:rsid w:val="7FFD2CB5"/>
    <w:rsid w:val="7FFDBF18"/>
    <w:rsid w:val="7FFF1874"/>
    <w:rsid w:val="7FFF259D"/>
    <w:rsid w:val="7FFF9B65"/>
    <w:rsid w:val="7FFFADB7"/>
    <w:rsid w:val="7FFFEE0C"/>
    <w:rsid w:val="86D38704"/>
    <w:rsid w:val="8EEF8443"/>
    <w:rsid w:val="8FFF359C"/>
    <w:rsid w:val="95D8FFF2"/>
    <w:rsid w:val="95FFEF00"/>
    <w:rsid w:val="96FE48EE"/>
    <w:rsid w:val="978FB388"/>
    <w:rsid w:val="9BDF3AB5"/>
    <w:rsid w:val="9BFA28FD"/>
    <w:rsid w:val="9D4B5CFF"/>
    <w:rsid w:val="9EDFE7BA"/>
    <w:rsid w:val="9FE4BF13"/>
    <w:rsid w:val="9FF7C7AC"/>
    <w:rsid w:val="A77E0AA7"/>
    <w:rsid w:val="A7FFAE6B"/>
    <w:rsid w:val="AB9FA0A9"/>
    <w:rsid w:val="ABA68A36"/>
    <w:rsid w:val="ABFDD753"/>
    <w:rsid w:val="ACF696CB"/>
    <w:rsid w:val="AD2F711D"/>
    <w:rsid w:val="AD71C201"/>
    <w:rsid w:val="ADA78EAD"/>
    <w:rsid w:val="ADDD177C"/>
    <w:rsid w:val="ADFFDD04"/>
    <w:rsid w:val="AE8B6DEA"/>
    <w:rsid w:val="AF7EDED2"/>
    <w:rsid w:val="AFBDD0F1"/>
    <w:rsid w:val="AFF6F41E"/>
    <w:rsid w:val="AFF7DE57"/>
    <w:rsid w:val="B37FEF75"/>
    <w:rsid w:val="B6912A5B"/>
    <w:rsid w:val="B6FF761B"/>
    <w:rsid w:val="B7F9842F"/>
    <w:rsid w:val="B7FA9207"/>
    <w:rsid w:val="B7FFB148"/>
    <w:rsid w:val="BB6E9FC1"/>
    <w:rsid w:val="BBFE17AD"/>
    <w:rsid w:val="BBFFE78B"/>
    <w:rsid w:val="BCAFCCA0"/>
    <w:rsid w:val="BCFD1EF4"/>
    <w:rsid w:val="BCFD5DAB"/>
    <w:rsid w:val="BD538D86"/>
    <w:rsid w:val="BD6E348A"/>
    <w:rsid w:val="BD741BDC"/>
    <w:rsid w:val="BDFE10C1"/>
    <w:rsid w:val="BDFEFA05"/>
    <w:rsid w:val="BDFF3C06"/>
    <w:rsid w:val="BDFF79C7"/>
    <w:rsid w:val="BE3FC749"/>
    <w:rsid w:val="BE7B65BC"/>
    <w:rsid w:val="BEEF068C"/>
    <w:rsid w:val="BEEF1450"/>
    <w:rsid w:val="BEEF2B72"/>
    <w:rsid w:val="BF5E68F4"/>
    <w:rsid w:val="BF6DAADD"/>
    <w:rsid w:val="BFBF9059"/>
    <w:rsid w:val="BFCF83FE"/>
    <w:rsid w:val="BFDF2CF0"/>
    <w:rsid w:val="BFDFDD60"/>
    <w:rsid w:val="BFE7ABFE"/>
    <w:rsid w:val="BFE7E0FC"/>
    <w:rsid w:val="BFFB5ACD"/>
    <w:rsid w:val="BFFF6BA9"/>
    <w:rsid w:val="C5EAE238"/>
    <w:rsid w:val="C7CF3125"/>
    <w:rsid w:val="C7EBBBAD"/>
    <w:rsid w:val="CBAC3033"/>
    <w:rsid w:val="CEFD5FC0"/>
    <w:rsid w:val="CF7BFFAB"/>
    <w:rsid w:val="CFBF3CA2"/>
    <w:rsid w:val="CFEF2B1C"/>
    <w:rsid w:val="CFFF8A5A"/>
    <w:rsid w:val="D4C3E1CA"/>
    <w:rsid w:val="D4DD3482"/>
    <w:rsid w:val="D53F477F"/>
    <w:rsid w:val="D7EFA646"/>
    <w:rsid w:val="D7FE4A7A"/>
    <w:rsid w:val="D9BDF3EF"/>
    <w:rsid w:val="D9FD865B"/>
    <w:rsid w:val="DADD36C6"/>
    <w:rsid w:val="DAF73255"/>
    <w:rsid w:val="DB774E38"/>
    <w:rsid w:val="DBBF3DD0"/>
    <w:rsid w:val="DBE555CA"/>
    <w:rsid w:val="DBFFB0AC"/>
    <w:rsid w:val="DDDF947A"/>
    <w:rsid w:val="DDEE6E6E"/>
    <w:rsid w:val="DDEF60B7"/>
    <w:rsid w:val="DDF79AEE"/>
    <w:rsid w:val="DE6EE1A3"/>
    <w:rsid w:val="DE7F436A"/>
    <w:rsid w:val="DEFF0F50"/>
    <w:rsid w:val="DEFF935B"/>
    <w:rsid w:val="DF6C4677"/>
    <w:rsid w:val="DF7C49F0"/>
    <w:rsid w:val="DF7F7828"/>
    <w:rsid w:val="DFBCD0D4"/>
    <w:rsid w:val="DFC08619"/>
    <w:rsid w:val="DFDE276B"/>
    <w:rsid w:val="DFDF50C6"/>
    <w:rsid w:val="DFE63B4D"/>
    <w:rsid w:val="DFF7E9E8"/>
    <w:rsid w:val="DFFA9AF8"/>
    <w:rsid w:val="DFFB5DFC"/>
    <w:rsid w:val="DFFF88BA"/>
    <w:rsid w:val="DFFFF6C4"/>
    <w:rsid w:val="E2FC7EF4"/>
    <w:rsid w:val="E5FFA45E"/>
    <w:rsid w:val="E6FD564B"/>
    <w:rsid w:val="E7FF2036"/>
    <w:rsid w:val="E9F71EFB"/>
    <w:rsid w:val="EAAF8EEC"/>
    <w:rsid w:val="EAF6E9C7"/>
    <w:rsid w:val="EBCA800F"/>
    <w:rsid w:val="EBEB6DB6"/>
    <w:rsid w:val="EBF526B5"/>
    <w:rsid w:val="EBFF22BB"/>
    <w:rsid w:val="EDAF8B08"/>
    <w:rsid w:val="EDF76E40"/>
    <w:rsid w:val="EE1F2669"/>
    <w:rsid w:val="EE6D9926"/>
    <w:rsid w:val="EEEFF67B"/>
    <w:rsid w:val="EEF21135"/>
    <w:rsid w:val="EEFF6EEA"/>
    <w:rsid w:val="EF6F9D64"/>
    <w:rsid w:val="EFB707C1"/>
    <w:rsid w:val="EFB92B6A"/>
    <w:rsid w:val="EFCF7C8F"/>
    <w:rsid w:val="EFF5FBAD"/>
    <w:rsid w:val="EFF7197D"/>
    <w:rsid w:val="EFFF58F7"/>
    <w:rsid w:val="F16FC144"/>
    <w:rsid w:val="F19FA5DE"/>
    <w:rsid w:val="F1BBB4FE"/>
    <w:rsid w:val="F2E67E38"/>
    <w:rsid w:val="F2FFA00D"/>
    <w:rsid w:val="F34FE361"/>
    <w:rsid w:val="F3AF085D"/>
    <w:rsid w:val="F3E6D427"/>
    <w:rsid w:val="F3EE60FB"/>
    <w:rsid w:val="F3FF2C07"/>
    <w:rsid w:val="F4FBBC2B"/>
    <w:rsid w:val="F52E1885"/>
    <w:rsid w:val="F5778362"/>
    <w:rsid w:val="F5831669"/>
    <w:rsid w:val="F5EBC7B2"/>
    <w:rsid w:val="F62C8BA2"/>
    <w:rsid w:val="F6D90DF8"/>
    <w:rsid w:val="F6EB6B46"/>
    <w:rsid w:val="F6F30365"/>
    <w:rsid w:val="F73BD14A"/>
    <w:rsid w:val="F765532C"/>
    <w:rsid w:val="F76FE02C"/>
    <w:rsid w:val="F77BC463"/>
    <w:rsid w:val="F7F33519"/>
    <w:rsid w:val="F7F7F925"/>
    <w:rsid w:val="F7F920C8"/>
    <w:rsid w:val="F7FC9A42"/>
    <w:rsid w:val="F7FF8FBC"/>
    <w:rsid w:val="F8FB0C53"/>
    <w:rsid w:val="F8FE70F9"/>
    <w:rsid w:val="F93FBA7B"/>
    <w:rsid w:val="F9BFA6B7"/>
    <w:rsid w:val="F9FF1960"/>
    <w:rsid w:val="F9FF6200"/>
    <w:rsid w:val="FA7C8369"/>
    <w:rsid w:val="FAFDDB73"/>
    <w:rsid w:val="FB4EF9F5"/>
    <w:rsid w:val="FB6929E7"/>
    <w:rsid w:val="FB6E9D03"/>
    <w:rsid w:val="FB6F55B2"/>
    <w:rsid w:val="FBB3A0DC"/>
    <w:rsid w:val="FBBE90B0"/>
    <w:rsid w:val="FBF64E98"/>
    <w:rsid w:val="FBFD3222"/>
    <w:rsid w:val="FBFD5A68"/>
    <w:rsid w:val="FBFD7F79"/>
    <w:rsid w:val="FBFDB028"/>
    <w:rsid w:val="FBFE66CD"/>
    <w:rsid w:val="FBFF091E"/>
    <w:rsid w:val="FBFFBCD2"/>
    <w:rsid w:val="FC7F5D27"/>
    <w:rsid w:val="FCBFDDB5"/>
    <w:rsid w:val="FCDD5081"/>
    <w:rsid w:val="FCFC102F"/>
    <w:rsid w:val="FCFF7FBE"/>
    <w:rsid w:val="FD3FE098"/>
    <w:rsid w:val="FD6FD856"/>
    <w:rsid w:val="FDCF869B"/>
    <w:rsid w:val="FDE65755"/>
    <w:rsid w:val="FDE7084A"/>
    <w:rsid w:val="FDF325C1"/>
    <w:rsid w:val="FDF8A102"/>
    <w:rsid w:val="FDFF62D4"/>
    <w:rsid w:val="FE7352FB"/>
    <w:rsid w:val="FE93C03B"/>
    <w:rsid w:val="FEB92E5D"/>
    <w:rsid w:val="FEBF9B51"/>
    <w:rsid w:val="FECFE71F"/>
    <w:rsid w:val="FEDB09F3"/>
    <w:rsid w:val="FEDF6732"/>
    <w:rsid w:val="FEF7DA74"/>
    <w:rsid w:val="FEFF2A9A"/>
    <w:rsid w:val="FF0667C6"/>
    <w:rsid w:val="FF579D9D"/>
    <w:rsid w:val="FF6EA835"/>
    <w:rsid w:val="FF6F106A"/>
    <w:rsid w:val="FF71ABEA"/>
    <w:rsid w:val="FF7645E4"/>
    <w:rsid w:val="FF7B87DB"/>
    <w:rsid w:val="FF7F0D7D"/>
    <w:rsid w:val="FF955200"/>
    <w:rsid w:val="FF987A3C"/>
    <w:rsid w:val="FF995500"/>
    <w:rsid w:val="FFA34B0C"/>
    <w:rsid w:val="FFA7778F"/>
    <w:rsid w:val="FFAD26FC"/>
    <w:rsid w:val="FFBB58BA"/>
    <w:rsid w:val="FFBE7776"/>
    <w:rsid w:val="FFBF5589"/>
    <w:rsid w:val="FFC429AF"/>
    <w:rsid w:val="FFCC5A11"/>
    <w:rsid w:val="FFD72E34"/>
    <w:rsid w:val="FFDD4265"/>
    <w:rsid w:val="FFDE964E"/>
    <w:rsid w:val="FFE9AB70"/>
    <w:rsid w:val="FFEBA6A9"/>
    <w:rsid w:val="FFEF2210"/>
    <w:rsid w:val="FFEF50C5"/>
    <w:rsid w:val="FFF71E8A"/>
    <w:rsid w:val="FFF7D9A1"/>
    <w:rsid w:val="FFFEDDF7"/>
    <w:rsid w:val="FFFF0094"/>
    <w:rsid w:val="FFFF8B4D"/>
    <w:rsid w:val="FFFFB66C"/>
    <w:rsid w:val="FFFFC875"/>
    <w:rsid w:val="FFFFE73B"/>
    <w:rsid w:val="FFFFF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ascii="Calibri" w:hAnsi="Calibri" w:eastAsia="仿宋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40" w:line="276" w:lineRule="auto"/>
    </w:pPr>
  </w:style>
  <w:style w:type="paragraph" w:styleId="4">
    <w:name w:val="Balloon Text"/>
    <w:basedOn w:val="1"/>
    <w:link w:val="2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11">
    <w:name w:val="报告正文"/>
    <w:basedOn w:val="1"/>
    <w:qFormat/>
    <w:uiPriority w:val="0"/>
    <w:pPr>
      <w:spacing w:line="240" w:lineRule="auto"/>
      <w:ind w:firstLine="560"/>
    </w:pPr>
    <w:rPr>
      <w:rFonts w:ascii="宋体" w:hAnsi="宋体" w:eastAsia="宋体"/>
      <w:sz w:val="28"/>
      <w:szCs w:val="28"/>
    </w:rPr>
  </w:style>
  <w:style w:type="paragraph" w:styleId="12">
    <w:name w:val="List Paragraph"/>
    <w:basedOn w:val="1"/>
    <w:qFormat/>
    <w:uiPriority w:val="1"/>
    <w:pPr>
      <w:ind w:left="1297" w:hanging="601"/>
    </w:pPr>
  </w:style>
  <w:style w:type="paragraph" w:customStyle="1" w:styleId="13">
    <w:name w:val="Q"/>
    <w:basedOn w:val="1"/>
    <w:link w:val="16"/>
    <w:qFormat/>
    <w:uiPriority w:val="0"/>
    <w:pPr>
      <w:spacing w:line="520" w:lineRule="exact"/>
      <w:ind w:firstLine="200"/>
    </w:pPr>
    <w:rPr>
      <w:rFonts w:cs="宋体"/>
      <w:b/>
      <w:bCs/>
      <w:spacing w:val="10"/>
      <w:sz w:val="28"/>
      <w:szCs w:val="28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6">
    <w:name w:val="Q Char"/>
    <w:link w:val="13"/>
    <w:qFormat/>
    <w:uiPriority w:val="0"/>
    <w:rPr>
      <w:rFonts w:ascii="Times New Roman" w:hAnsi="Times New Roman" w:eastAsia="方正仿宋_GBK" w:cs="宋体"/>
      <w:b/>
      <w:bCs/>
      <w:spacing w:val="10"/>
      <w:kern w:val="2"/>
      <w:sz w:val="28"/>
      <w:szCs w:val="28"/>
    </w:rPr>
  </w:style>
  <w:style w:type="character" w:customStyle="1" w:styleId="17">
    <w:name w:val="font6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8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9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3">
    <w:name w:val="批注框文本 Char"/>
    <w:basedOn w:val="10"/>
    <w:link w:val="4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26</Pages>
  <Words>9956</Words>
  <Characters>11751</Characters>
  <Lines>88</Lines>
  <Paragraphs>24</Paragraphs>
  <TotalTime>16</TotalTime>
  <ScaleCrop>false</ScaleCrop>
  <LinksUpToDate>false</LinksUpToDate>
  <CharactersWithSpaces>11773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2023-01-23T22:45:00Z</dcterms:created>
  <dc:creator>陈义</dc:creator>
  <cp:lastModifiedBy>秦怡</cp:lastModifiedBy>
  <cp:lastPrinted>2024-04-11T02:24:00Z</cp:lastPrinted>
  <dcterms:modified xsi:type="dcterms:W3CDTF">2024-11-21T17:35:54Z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38277A0D50D7408D814F19AE23AE254B</vt:lpwstr>
  </property>
</Properties>
</file>