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94" w:lineRule="exact"/>
        <w:ind w:left="0" w:leftChars="0" w:firstLine="0" w:firstLineChars="0"/>
        <w:jc w:val="center"/>
        <w:textAlignment w:val="auto"/>
        <w:rPr>
          <w:rFonts w:hint="default" w:ascii="Times New Roman" w:hAnsi="Times New Roman"/>
          <w:color w:val="000000"/>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重庆市水利局</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hint="eastAsia" w:eastAsia="方正小标宋_GBK" w:cs="方正小标宋_GBK"/>
          <w:b w:val="0"/>
          <w:color w:val="000000"/>
          <w:sz w:val="44"/>
          <w:szCs w:val="44"/>
          <w:lang w:eastAsia="zh-CN"/>
        </w:rPr>
      </w:pPr>
      <w:r>
        <w:rPr>
          <w:rFonts w:ascii="Times New Roman" w:hAnsi="Times New Roman" w:eastAsia="方正小标宋_GBK"/>
          <w:color w:val="000000"/>
          <w:sz w:val="44"/>
          <w:szCs w:val="44"/>
        </w:rPr>
        <w:t>关于</w:t>
      </w:r>
      <w:r>
        <w:rPr>
          <w:rFonts w:hint="eastAsia" w:eastAsia="方正小标宋_GBK" w:cs="方正小标宋_GBK"/>
          <w:b w:val="0"/>
          <w:color w:val="000000"/>
          <w:sz w:val="44"/>
          <w:szCs w:val="44"/>
          <w:lang w:eastAsia="zh-CN"/>
        </w:rPr>
        <w:t>哈密—重庆特高压直流受端</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hint="eastAsia" w:eastAsia="方正小标宋_GBK" w:cs="方正小标宋_GBK"/>
          <w:b w:val="0"/>
          <w:color w:val="000000"/>
          <w:sz w:val="44"/>
          <w:szCs w:val="44"/>
          <w:lang w:eastAsia="zh-CN"/>
        </w:rPr>
      </w:pPr>
      <w:r>
        <w:rPr>
          <w:rFonts w:hint="eastAsia" w:eastAsia="方正小标宋_GBK" w:cs="方正小标宋_GBK"/>
          <w:b w:val="0"/>
          <w:color w:val="000000"/>
          <w:sz w:val="44"/>
          <w:szCs w:val="44"/>
          <w:lang w:eastAsia="zh-CN"/>
        </w:rPr>
        <w:t>500千伏配套送出工程（二期）项目</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r>
        <w:rPr>
          <w:rFonts w:hint="eastAsia" w:ascii="Times New Roman" w:hAnsi="Times New Roman" w:eastAsia="方正小标宋_GBK" w:cs="方正小标宋_GBK"/>
          <w:b w:val="0"/>
          <w:color w:val="000000"/>
          <w:sz w:val="44"/>
          <w:szCs w:val="44"/>
          <w:lang w:eastAsia="zh-CN"/>
        </w:rPr>
        <w:t>水土保持方案</w:t>
      </w:r>
      <w:r>
        <w:rPr>
          <w:rFonts w:ascii="Times New Roman" w:hAnsi="Times New Roman" w:eastAsia="方正小标宋_GBK"/>
          <w:color w:val="000000"/>
          <w:sz w:val="44"/>
          <w:szCs w:val="44"/>
        </w:rPr>
        <w:t>准予行政许可的决定</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both"/>
        <w:textAlignment w:val="auto"/>
        <w:rPr>
          <w:rFonts w:ascii="Times New Roman" w:hAnsi="Times New Roman" w:eastAsia="方正仿宋_GBK"/>
          <w:color w:val="auto"/>
          <w:sz w:val="32"/>
          <w:szCs w:val="32"/>
        </w:rPr>
      </w:pPr>
      <w:r>
        <w:rPr>
          <w:rFonts w:hint="eastAsia" w:eastAsia="方正仿宋_GBK" w:cs="Times New Roman"/>
          <w:b w:val="0"/>
          <w:color w:val="auto"/>
          <w:sz w:val="32"/>
          <w:szCs w:val="32"/>
          <w:lang w:eastAsia="zh-CN"/>
        </w:rPr>
        <w:t>国网重庆市电力公司建设分公司</w:t>
      </w:r>
      <w:r>
        <w:rPr>
          <w:rFonts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你</w:t>
      </w:r>
      <w:r>
        <w:rPr>
          <w:rFonts w:hint="eastAsia" w:ascii="Times New Roman" w:hAnsi="Times New Roman" w:eastAsia="方正仿宋_GBK" w:cs="Times New Roman"/>
          <w:color w:val="auto"/>
          <w:sz w:val="32"/>
          <w:szCs w:val="32"/>
          <w:lang w:eastAsia="zh-CN"/>
        </w:rPr>
        <w:t>司</w:t>
      </w:r>
      <w:r>
        <w:rPr>
          <w:rFonts w:hint="default" w:ascii="Times New Roman" w:hAnsi="Times New Roman" w:eastAsia="方正仿宋_GBK" w:cs="Times New Roman"/>
          <w:color w:val="auto"/>
          <w:sz w:val="32"/>
          <w:szCs w:val="32"/>
          <w:lang w:eastAsia="zh-CN"/>
        </w:rPr>
        <w:t>提交的</w:t>
      </w:r>
      <w:r>
        <w:rPr>
          <w:rFonts w:hint="eastAsia" w:ascii="Times New Roman" w:hAnsi="Times New Roman" w:eastAsia="方正仿宋_GBK" w:cs="Times New Roman"/>
          <w:color w:val="auto"/>
          <w:sz w:val="32"/>
          <w:szCs w:val="32"/>
          <w:lang w:eastAsia="zh-CN"/>
        </w:rPr>
        <w:t>哈密—重庆特高压直流受端500千伏配套送出工程（二期）项目水土保持方案</w:t>
      </w:r>
      <w:r>
        <w:rPr>
          <w:rFonts w:hint="default" w:ascii="Times New Roman" w:hAnsi="Times New Roman" w:eastAsia="方正仿宋_GBK" w:cs="Times New Roman"/>
          <w:color w:val="auto"/>
          <w:sz w:val="32"/>
          <w:szCs w:val="32"/>
          <w:lang w:eastAsia="zh-CN"/>
        </w:rPr>
        <w:t>审批申请（项目代码：</w:t>
      </w:r>
      <w:r>
        <w:rPr>
          <w:rFonts w:hint="default" w:ascii="Times New Roman" w:hAnsi="Times New Roman" w:eastAsia="方正仿宋_GBK" w:cs="Times New Roman"/>
          <w:color w:val="auto"/>
          <w:sz w:val="32"/>
          <w:szCs w:val="32"/>
          <w:lang w:val="en-US" w:eastAsia="zh-CN"/>
        </w:rPr>
        <w:t>2308-500000-04-01-556180</w:t>
      </w:r>
      <w:r>
        <w:rPr>
          <w:rFonts w:hint="default" w:ascii="Times New Roman" w:hAnsi="Times New Roman" w:eastAsia="方正仿宋_GBK" w:cs="Times New Roman"/>
          <w:color w:val="auto"/>
          <w:sz w:val="32"/>
          <w:szCs w:val="32"/>
          <w:lang w:eastAsia="zh-CN"/>
        </w:rPr>
        <w:t>）和《</w:t>
      </w:r>
      <w:r>
        <w:rPr>
          <w:rFonts w:hint="eastAsia" w:ascii="Times New Roman" w:hAnsi="Times New Roman" w:eastAsia="方正仿宋_GBK" w:cs="Times New Roman"/>
          <w:color w:val="auto"/>
          <w:sz w:val="32"/>
          <w:szCs w:val="32"/>
          <w:lang w:eastAsia="zh-CN"/>
        </w:rPr>
        <w:t>哈密—重庆特高压直流受端500千伏配套送出工程（二期）项目水土保持方案</w:t>
      </w:r>
      <w:r>
        <w:rPr>
          <w:rFonts w:hint="default" w:ascii="Times New Roman" w:hAnsi="Times New Roman" w:eastAsia="方正仿宋_GBK" w:cs="Times New Roman"/>
          <w:color w:val="auto"/>
          <w:sz w:val="32"/>
          <w:szCs w:val="32"/>
          <w:lang w:eastAsia="zh-CN"/>
        </w:rPr>
        <w:t>报告书》收悉。经审查，该申请符合法定条件，根据《中华人民共和国行政许可法》第三十八条第一款、《水行政许可实施办法》第三十二条第一项规定，决定准予行政许可。</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一</w:t>
      </w:r>
      <w:r>
        <w:rPr>
          <w:rFonts w:ascii="Times New Roman" w:hAnsi="Times New Roman" w:eastAsia="方正黑体_GBK"/>
          <w:color w:val="auto"/>
          <w:sz w:val="32"/>
          <w:szCs w:val="32"/>
        </w:rPr>
        <w:t>、水土保持方案总体意见</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（一）</w:t>
      </w:r>
      <w:r>
        <w:rPr>
          <w:rFonts w:hint="eastAsia" w:ascii="Times New Roman" w:hAnsi="Times New Roman" w:eastAsia="方正仿宋_GBK" w:cs="Times New Roman"/>
          <w:color w:val="auto"/>
          <w:sz w:val="32"/>
          <w:szCs w:val="32"/>
        </w:rPr>
        <w:t>方案编制依据的法律法规、部委规章、规范性文件、规范标准和技术文件及采用的资料基本正确。</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w:t>
      </w:r>
      <w:r>
        <w:rPr>
          <w:rFonts w:hint="eastAsia" w:eastAsia="方正仿宋_GBK" w:cs="Times New Roman"/>
          <w:color w:val="auto"/>
          <w:sz w:val="32"/>
          <w:szCs w:val="32"/>
          <w:lang w:val="en-US" w:eastAsia="zh-CN"/>
        </w:rPr>
        <w:t>6</w:t>
      </w:r>
      <w:r>
        <w:rPr>
          <w:rFonts w:hint="eastAsia" w:ascii="Times New Roman" w:hAnsi="Times New Roman" w:eastAsia="方正仿宋_GBK" w:cs="Times New Roman"/>
          <w:color w:val="auto"/>
          <w:sz w:val="32"/>
          <w:szCs w:val="32"/>
        </w:rPr>
        <w:t>年。</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（三）同意水土流失防治责任范围界定，水土流失防治责任范围面积为84.56hm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vertAlign w:val="baseline"/>
          <w:lang w:eastAsia="zh-CN"/>
        </w:rPr>
        <w:t>，其中：璧山区</w:t>
      </w:r>
      <w:r>
        <w:rPr>
          <w:rFonts w:hint="eastAsia" w:ascii="Times New Roman" w:hAnsi="Times New Roman" w:eastAsia="方正仿宋_GBK" w:cs="Times New Roman"/>
          <w:color w:val="auto"/>
          <w:sz w:val="32"/>
          <w:szCs w:val="32"/>
          <w:vertAlign w:val="baseline"/>
          <w:lang w:val="en-US" w:eastAsia="zh-CN"/>
        </w:rPr>
        <w:t>2.85</w:t>
      </w:r>
      <w:r>
        <w:rPr>
          <w:rFonts w:hint="eastAsia" w:ascii="Times New Roman" w:hAnsi="Times New Roman" w:eastAsia="方正仿宋_GBK" w:cs="Times New Roman"/>
          <w:color w:val="auto"/>
          <w:sz w:val="32"/>
          <w:szCs w:val="32"/>
        </w:rPr>
        <w:t>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vertAlign w:val="baseline"/>
          <w:lang w:eastAsia="zh-CN"/>
        </w:rPr>
        <w:t>、铜梁区</w:t>
      </w:r>
      <w:r>
        <w:rPr>
          <w:rFonts w:hint="eastAsia" w:ascii="Times New Roman" w:hAnsi="Times New Roman" w:eastAsia="方正仿宋_GBK" w:cs="Times New Roman"/>
          <w:color w:val="auto"/>
          <w:sz w:val="32"/>
          <w:szCs w:val="32"/>
          <w:vertAlign w:val="baseline"/>
          <w:lang w:val="en-US" w:eastAsia="zh-CN"/>
        </w:rPr>
        <w:t>8.58</w:t>
      </w:r>
      <w:r>
        <w:rPr>
          <w:rFonts w:hint="eastAsia" w:ascii="Times New Roman" w:hAnsi="Times New Roman" w:eastAsia="方正仿宋_GBK" w:cs="Times New Roman"/>
          <w:color w:val="auto"/>
          <w:sz w:val="32"/>
          <w:szCs w:val="32"/>
        </w:rPr>
        <w:t>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vertAlign w:val="baseline"/>
          <w:lang w:eastAsia="zh-CN"/>
        </w:rPr>
        <w:t>、合川区</w:t>
      </w:r>
      <w:r>
        <w:rPr>
          <w:rFonts w:hint="eastAsia" w:ascii="Times New Roman" w:hAnsi="Times New Roman" w:eastAsia="方正仿宋_GBK" w:cs="Times New Roman"/>
          <w:color w:val="auto"/>
          <w:sz w:val="32"/>
          <w:szCs w:val="32"/>
          <w:vertAlign w:val="baseline"/>
          <w:lang w:val="en-US" w:eastAsia="zh-CN"/>
        </w:rPr>
        <w:t>40.12</w:t>
      </w:r>
      <w:r>
        <w:rPr>
          <w:rFonts w:hint="eastAsia" w:ascii="Times New Roman" w:hAnsi="Times New Roman" w:eastAsia="方正仿宋_GBK" w:cs="Times New Roman"/>
          <w:color w:val="auto"/>
          <w:sz w:val="32"/>
          <w:szCs w:val="32"/>
        </w:rPr>
        <w:t>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vertAlign w:val="baseline"/>
          <w:lang w:eastAsia="zh-CN"/>
        </w:rPr>
        <w:t>、北碚区</w:t>
      </w:r>
      <w:r>
        <w:rPr>
          <w:rFonts w:hint="eastAsia" w:ascii="Times New Roman" w:hAnsi="Times New Roman" w:eastAsia="方正仿宋_GBK" w:cs="Times New Roman"/>
          <w:color w:val="auto"/>
          <w:sz w:val="32"/>
          <w:szCs w:val="32"/>
          <w:vertAlign w:val="baseline"/>
          <w:lang w:val="en-US" w:eastAsia="zh-CN"/>
        </w:rPr>
        <w:t>8.56</w:t>
      </w:r>
      <w:r>
        <w:rPr>
          <w:rFonts w:hint="eastAsia" w:ascii="Times New Roman" w:hAnsi="Times New Roman" w:eastAsia="方正仿宋_GBK" w:cs="Times New Roman"/>
          <w:color w:val="auto"/>
          <w:sz w:val="32"/>
          <w:szCs w:val="32"/>
        </w:rPr>
        <w:t>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vertAlign w:val="baseline"/>
          <w:lang w:eastAsia="zh-CN"/>
        </w:rPr>
        <w:t>、渝北区</w:t>
      </w:r>
      <w:r>
        <w:rPr>
          <w:rFonts w:hint="eastAsia" w:ascii="Times New Roman" w:hAnsi="Times New Roman" w:eastAsia="方正仿宋_GBK" w:cs="Times New Roman"/>
          <w:color w:val="auto"/>
          <w:sz w:val="32"/>
          <w:szCs w:val="32"/>
          <w:vertAlign w:val="baseline"/>
          <w:lang w:val="en-US" w:eastAsia="zh-CN"/>
        </w:rPr>
        <w:t>22.36</w:t>
      </w:r>
      <w:r>
        <w:rPr>
          <w:rFonts w:hint="eastAsia" w:ascii="Times New Roman" w:hAnsi="Times New Roman" w:eastAsia="方正仿宋_GBK" w:cs="Times New Roman"/>
          <w:color w:val="auto"/>
          <w:sz w:val="32"/>
          <w:szCs w:val="32"/>
        </w:rPr>
        <w:t>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vertAlign w:val="baseline"/>
          <w:lang w:eastAsia="zh-CN"/>
        </w:rPr>
        <w:t>、长寿区</w:t>
      </w:r>
      <w:r>
        <w:rPr>
          <w:rFonts w:hint="eastAsia" w:ascii="Times New Roman" w:hAnsi="Times New Roman" w:eastAsia="方正仿宋_GBK" w:cs="Times New Roman"/>
          <w:color w:val="auto"/>
          <w:sz w:val="32"/>
          <w:szCs w:val="32"/>
          <w:vertAlign w:val="baseline"/>
          <w:lang w:val="en-US" w:eastAsia="zh-CN"/>
        </w:rPr>
        <w:t>0.89</w:t>
      </w:r>
      <w:r>
        <w:rPr>
          <w:rFonts w:hint="eastAsia" w:ascii="Times New Roman" w:hAnsi="Times New Roman" w:eastAsia="方正仿宋_GBK" w:cs="Times New Roman"/>
          <w:color w:val="auto"/>
          <w:sz w:val="32"/>
          <w:szCs w:val="32"/>
        </w:rPr>
        <w:t>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vertAlign w:val="baseline"/>
          <w:lang w:eastAsia="zh-CN"/>
        </w:rPr>
        <w:t>、沙坪坝区</w:t>
      </w:r>
      <w:r>
        <w:rPr>
          <w:rFonts w:hint="eastAsia" w:ascii="Times New Roman" w:hAnsi="Times New Roman" w:eastAsia="方正仿宋_GBK" w:cs="Times New Roman"/>
          <w:color w:val="auto"/>
          <w:sz w:val="32"/>
          <w:szCs w:val="32"/>
          <w:vertAlign w:val="baseline"/>
          <w:lang w:val="en-US" w:eastAsia="zh-CN"/>
        </w:rPr>
        <w:t>0.56</w:t>
      </w:r>
      <w:r>
        <w:rPr>
          <w:rFonts w:hint="eastAsia" w:ascii="Times New Roman" w:hAnsi="Times New Roman" w:eastAsia="方正仿宋_GBK" w:cs="Times New Roman"/>
          <w:color w:val="auto"/>
          <w:sz w:val="32"/>
          <w:szCs w:val="32"/>
        </w:rPr>
        <w:t>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vertAlign w:val="baseline"/>
          <w:lang w:eastAsia="zh-CN"/>
        </w:rPr>
        <w:t>、永川区</w:t>
      </w:r>
      <w:r>
        <w:rPr>
          <w:rFonts w:hint="eastAsia" w:ascii="Times New Roman" w:hAnsi="Times New Roman" w:eastAsia="方正仿宋_GBK" w:cs="Times New Roman"/>
          <w:color w:val="auto"/>
          <w:sz w:val="32"/>
          <w:szCs w:val="32"/>
          <w:vertAlign w:val="baseline"/>
          <w:lang w:val="en-US" w:eastAsia="zh-CN"/>
        </w:rPr>
        <w:t>0.64</w:t>
      </w:r>
      <w:r>
        <w:rPr>
          <w:rFonts w:hint="eastAsia" w:ascii="Times New Roman" w:hAnsi="Times New Roman" w:eastAsia="方正仿宋_GBK" w:cs="Times New Roman"/>
          <w:color w:val="auto"/>
          <w:sz w:val="32"/>
          <w:szCs w:val="32"/>
        </w:rPr>
        <w:t>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FF0000"/>
          <w:sz w:val="32"/>
          <w:szCs w:val="32"/>
        </w:rPr>
      </w:pPr>
      <w:r>
        <w:rPr>
          <w:rFonts w:hint="eastAsia" w:ascii="Times New Roman" w:hAnsi="Times New Roman" w:eastAsia="方正仿宋_GBK" w:cs="Times New Roman"/>
          <w:color w:val="auto"/>
          <w:sz w:val="32"/>
          <w:szCs w:val="32"/>
        </w:rPr>
        <w:t>（四）同意项目水土流失防治标准等级执行西南紫色土区建设类项目一级标准。</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（五）同意水土流失防治目标。其中：水土流失治理度97%，土壤流失控制比1.0，渣土防护率92%，表土保护率92%，林草植被恢复率97%，林草覆盖率25%</w:t>
      </w:r>
      <w:r>
        <w:rPr>
          <w:rFonts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rPr>
        <w:t>（六）基本同意水土流失</w:t>
      </w:r>
      <w:r>
        <w:rPr>
          <w:rFonts w:ascii="Times New Roman" w:hAnsi="Times New Roman" w:eastAsia="方正仿宋_GBK"/>
          <w:bCs/>
          <w:color w:val="auto"/>
          <w:sz w:val="32"/>
          <w:szCs w:val="32"/>
        </w:rPr>
        <w:t>防治分区和分区防治措施体系。</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olor w:val="FF0000"/>
          <w:sz w:val="32"/>
          <w:szCs w:val="32"/>
        </w:rPr>
      </w:pPr>
      <w:r>
        <w:rPr>
          <w:rFonts w:hint="eastAsia" w:ascii="Times New Roman" w:hAnsi="Times New Roman" w:eastAsia="方正仿宋_GBK"/>
          <w:bCs/>
          <w:color w:val="auto"/>
          <w:sz w:val="32"/>
          <w:szCs w:val="32"/>
        </w:rPr>
        <w:t>（七）基本</w:t>
      </w:r>
      <w:r>
        <w:rPr>
          <w:rFonts w:ascii="Times New Roman" w:hAnsi="Times New Roman" w:eastAsia="方正仿宋_GBK"/>
          <w:bCs/>
          <w:color w:val="auto"/>
          <w:sz w:val="32"/>
          <w:szCs w:val="32"/>
        </w:rPr>
        <w:t>同意水土保持监测时段、内容和方法。</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二</w:t>
      </w:r>
      <w:r>
        <w:rPr>
          <w:rFonts w:ascii="Times New Roman" w:hAnsi="Times New Roman" w:eastAsia="方正黑体_GBK"/>
          <w:color w:val="auto"/>
          <w:sz w:val="32"/>
          <w:szCs w:val="32"/>
        </w:rPr>
        <w:t>、水土保持方案投资</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水土保持方案工程静态总投资1267.05万元，其中：主体已列449.02万元，方案新增818.03万元</w:t>
      </w:r>
      <w:r>
        <w:rPr>
          <w:rFonts w:hint="eastAsia" w:ascii="Times New Roman" w:hAnsi="Times New Roman" w:eastAsia="方正仿宋_GBK" w:cs="Times New Roman"/>
          <w:color w:val="auto"/>
          <w:sz w:val="32"/>
          <w:szCs w:val="32"/>
          <w:lang w:eastAsia="zh-CN"/>
        </w:rPr>
        <w:t>（其中：</w:t>
      </w:r>
      <w:r>
        <w:rPr>
          <w:rFonts w:hint="eastAsia" w:ascii="Times New Roman" w:hAnsi="Times New Roman" w:eastAsia="方正仿宋_GBK" w:cs="Times New Roman"/>
          <w:color w:val="auto"/>
          <w:sz w:val="32"/>
          <w:szCs w:val="32"/>
        </w:rPr>
        <w:t>工程措施244.61万元，植物措施0.07万元，监测措施70.55万元，施工临时措施255.79万元，独立费用89.03万元，基本预备费39.60万元，水土保持补偿费118.384万元</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三</w:t>
      </w:r>
      <w:r>
        <w:rPr>
          <w:rFonts w:ascii="Times New Roman" w:hAnsi="Times New Roman" w:eastAsia="方正黑体_GBK"/>
          <w:color w:val="auto"/>
          <w:sz w:val="32"/>
          <w:szCs w:val="32"/>
        </w:rPr>
        <w:t>、工作要求</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（一）根据水土保持法律法规和规范标准，认真做好项目建设过程中水土流失防治工作，切实落实水土保持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三同时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（三）严格控制施工扰动范围，禁止随意占压破坏地貌植被。加强对施工单位的管理，在招投标文件和施工合同中明确施工单位的水土保持责任，强化奖惩制度，规范施工行为。</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依法做好水土保持监测工作，加强水土流失动态监控。在工程建设期间应将水土保持监测季报按规定在网站公开，同时在业主项目部和施工项目部公开，并按规定向我局、所在区县水行政主管部门按时报送监测季报和总结报告。</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（五）按照水土保持监理标准和规范开展水土保持工程施工监理，确保水土保持工程建设质量和进度。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（六）项目开工前向主管税务机关申报缴纳水土保持补偿费。</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both"/>
        <w:textAlignment w:val="auto"/>
        <w:rPr>
          <w:rFonts w:hint="eastAsia" w:ascii="Times New Roman" w:hAnsi="Times New Roman" w:eastAsia="方正仿宋_GBK" w:cs="Times New Roman"/>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rPr>
        <w:t>（七）本项目的地点、规模如发生重大变化，或者水土保持方案实施过程中水土保持措施发生重大变更的，应按</w:t>
      </w:r>
      <w:r>
        <w:rPr>
          <w:rFonts w:hint="eastAsia" w:ascii="Times New Roman" w:hAnsi="Times New Roman" w:eastAsia="方正仿宋_GBK"/>
          <w:snapToGrid w:val="0"/>
          <w:color w:val="auto"/>
          <w:kern w:val="0"/>
          <w:sz w:val="32"/>
          <w:szCs w:val="32"/>
        </w:rPr>
        <w:t>照“</w:t>
      </w:r>
      <w:r>
        <w:rPr>
          <w:rFonts w:hint="eastAsia" w:ascii="Times New Roman" w:hAnsi="Times New Roman" w:eastAsia="方正仿宋_GBK" w:cs="Times New Roman"/>
          <w:snapToGrid w:val="0"/>
          <w:color w:val="auto"/>
          <w:kern w:val="0"/>
          <w:sz w:val="32"/>
          <w:szCs w:val="32"/>
          <w:lang w:eastAsia="zh-CN"/>
        </w:rPr>
        <w:t>水利部第</w:t>
      </w:r>
      <w:r>
        <w:rPr>
          <w:rFonts w:hint="eastAsia" w:ascii="Times New Roman" w:hAnsi="Times New Roman" w:eastAsia="方正仿宋_GBK" w:cs="Times New Roman"/>
          <w:snapToGrid w:val="0"/>
          <w:color w:val="auto"/>
          <w:kern w:val="0"/>
          <w:sz w:val="32"/>
          <w:szCs w:val="32"/>
          <w:lang w:val="en-US" w:eastAsia="zh-CN"/>
        </w:rPr>
        <w:t>53号令</w:t>
      </w:r>
      <w:r>
        <w:rPr>
          <w:rFonts w:hint="eastAsia" w:ascii="Times New Roman" w:hAnsi="Times New Roman" w:eastAsia="方正仿宋_GBK" w:cs="Times New Roman"/>
          <w:snapToGrid w:val="0"/>
          <w:color w:val="auto"/>
          <w:kern w:val="0"/>
          <w:sz w:val="32"/>
          <w:szCs w:val="32"/>
          <w:lang w:eastAsia="zh-CN"/>
        </w:rPr>
        <w:t>”规定办理。确需</w:t>
      </w:r>
      <w:r>
        <w:rPr>
          <w:rFonts w:hint="default" w:ascii="Times New Roman" w:hAnsi="Times New Roman" w:eastAsia="方正仿宋_GBK" w:cs="Times New Roman"/>
          <w:i w:val="0"/>
          <w:caps w:val="0"/>
          <w:snapToGrid w:val="0"/>
          <w:color w:val="auto"/>
          <w:spacing w:val="0"/>
          <w:kern w:val="0"/>
          <w:sz w:val="32"/>
          <w:szCs w:val="32"/>
          <w:shd w:val="clear" w:color="auto" w:fill="auto"/>
        </w:rPr>
        <w:t>在水土保持方案确定的弃渣场以外新设弃渣场的，或者因弃渣量增加导致弃渣场等级提高的，生产建设单位应</w:t>
      </w:r>
      <w:r>
        <w:rPr>
          <w:rFonts w:hint="default" w:ascii="Times New Roman" w:hAnsi="Times New Roman" w:eastAsia="方正仿宋_GBK"/>
          <w:snapToGrid w:val="0"/>
          <w:color w:val="auto"/>
          <w:kern w:val="0"/>
          <w:sz w:val="32"/>
          <w:szCs w:val="32"/>
        </w:rPr>
        <w:t>当开展弃渣减量化、资源化论证，在弃渣前编制水土保持方案补充报告，</w:t>
      </w:r>
      <w:r>
        <w:rPr>
          <w:rFonts w:hint="default" w:ascii="Times New Roman" w:hAnsi="Times New Roman" w:eastAsia="方正仿宋_GBK"/>
          <w:snapToGrid w:val="0"/>
          <w:color w:val="auto"/>
          <w:kern w:val="0"/>
          <w:sz w:val="32"/>
          <w:szCs w:val="32"/>
          <w:lang w:eastAsia="zh-CN"/>
        </w:rPr>
        <w:t>并完成弃渣场变更审批手续</w:t>
      </w:r>
      <w:r>
        <w:rPr>
          <w:rFonts w:hint="eastAsia" w:ascii="Times New Roman" w:hAnsi="Times New Roman" w:eastAsia="方正仿宋_GBK"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（八）严格按照批准的水土保持方案和后续设计落实各项水土保持措施，合理安排施工时序和水土保持措施实施进度，严格控制施工期间水土流失。</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ascii="Times New Roman" w:hAnsi="Times New Roman" w:eastAsia="方正仿宋_GBK"/>
          <w:snapToGrid w:val="0"/>
          <w:color w:val="auto"/>
          <w:kern w:val="0"/>
          <w:sz w:val="32"/>
          <w:szCs w:val="32"/>
        </w:rPr>
      </w:pPr>
      <w:r>
        <w:rPr>
          <w:rFonts w:hint="default" w:ascii="Times New Roman" w:hAnsi="Times New Roman" w:eastAsia="方正仿宋_GBK" w:cs="Times New Roman"/>
          <w:snapToGrid w:val="0"/>
          <w:color w:val="auto"/>
          <w:kern w:val="0"/>
          <w:sz w:val="32"/>
          <w:szCs w:val="32"/>
        </w:rPr>
        <w:t>（九）</w:t>
      </w:r>
      <w:r>
        <w:rPr>
          <w:rFonts w:hint="default" w:ascii="Times New Roman" w:hAnsi="Times New Roman" w:eastAsia="方正仿宋_GBK" w:cs="Times New Roman"/>
          <w:color w:val="auto"/>
          <w:sz w:val="32"/>
          <w:szCs w:val="32"/>
        </w:rPr>
        <w:t>工程完工后、项目投产使用前应及时组织开展水土保持设施自主验收，并在水土保持设施自主验收通过3个月内，向我局报备验收材料（包括</w:t>
      </w:r>
      <w:r>
        <w:rPr>
          <w:rFonts w:hint="default" w:ascii="Times New Roman" w:hAnsi="Times New Roman" w:eastAsia="方正仿宋_GBK" w:cs="Times New Roman"/>
          <w:snapToGrid w:val="0"/>
          <w:color w:val="auto"/>
          <w:kern w:val="0"/>
          <w:sz w:val="32"/>
          <w:szCs w:val="32"/>
        </w:rPr>
        <w:t>水土保持设施验收鉴定书、水土保持设</w:t>
      </w:r>
      <w:r>
        <w:rPr>
          <w:rFonts w:ascii="Times New Roman" w:hAnsi="Times New Roman" w:eastAsia="方正仿宋_GBK"/>
          <w:snapToGrid w:val="0"/>
          <w:color w:val="auto"/>
          <w:kern w:val="0"/>
          <w:sz w:val="32"/>
          <w:szCs w:val="32"/>
        </w:rPr>
        <w:t>施验收报告和水土保持监测总结报告等）。</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ascii="Times New Roman" w:hAnsi="Times New Roman" w:eastAsia="方正仿宋_GBK"/>
          <w:snapToGrid w:val="0"/>
          <w:color w:val="auto"/>
          <w:kern w:val="0"/>
          <w:sz w:val="32"/>
          <w:szCs w:val="32"/>
        </w:rPr>
      </w:pPr>
      <w:r>
        <w:rPr>
          <w:rFonts w:ascii="Times New Roman" w:hAnsi="Times New Roman" w:eastAsia="方正仿宋_GBK"/>
          <w:snapToGrid w:val="0"/>
          <w:color w:val="auto"/>
          <w:kern w:val="0"/>
          <w:sz w:val="32"/>
          <w:szCs w:val="32"/>
        </w:rPr>
        <w:t>（十）本行政许可决定有效期为</w:t>
      </w:r>
      <w:r>
        <w:rPr>
          <w:rFonts w:hint="eastAsia" w:ascii="Times New Roman" w:hAnsi="Times New Roman" w:eastAsia="方正仿宋_GBK"/>
          <w:snapToGrid w:val="0"/>
          <w:color w:val="auto"/>
          <w:kern w:val="0"/>
          <w:sz w:val="32"/>
          <w:szCs w:val="32"/>
          <w:lang w:val="en-US" w:eastAsia="zh-CN"/>
        </w:rPr>
        <w:t>3</w:t>
      </w:r>
      <w:r>
        <w:rPr>
          <w:rFonts w:ascii="Times New Roman" w:hAnsi="Times New Roman" w:eastAsia="方正仿宋_GBK"/>
          <w:snapToGrid w:val="0"/>
          <w:color w:val="auto"/>
          <w:kern w:val="0"/>
          <w:sz w:val="32"/>
          <w:szCs w:val="32"/>
        </w:rPr>
        <w:t>年，</w:t>
      </w:r>
      <w:r>
        <w:rPr>
          <w:rFonts w:hint="eastAsia" w:ascii="Times New Roman" w:hAnsi="Times New Roman" w:eastAsia="方正仿宋_GBK"/>
          <w:snapToGrid w:val="0"/>
          <w:color w:val="auto"/>
          <w:kern w:val="0"/>
          <w:sz w:val="32"/>
          <w:szCs w:val="32"/>
          <w:lang w:eastAsia="zh-CN"/>
        </w:rPr>
        <w:t>水土保持方案</w:t>
      </w:r>
      <w:r>
        <w:rPr>
          <w:rFonts w:ascii="Times New Roman" w:hAnsi="Times New Roman" w:eastAsia="方正仿宋_GBK"/>
          <w:snapToGrid w:val="0"/>
          <w:color w:val="auto"/>
          <w:kern w:val="0"/>
          <w:sz w:val="32"/>
          <w:szCs w:val="32"/>
        </w:rPr>
        <w:t>自</w:t>
      </w:r>
      <w:r>
        <w:rPr>
          <w:rFonts w:hint="eastAsia" w:ascii="Times New Roman" w:hAnsi="Times New Roman" w:eastAsia="方正仿宋_GBK"/>
          <w:snapToGrid w:val="0"/>
          <w:color w:val="auto"/>
          <w:kern w:val="0"/>
          <w:sz w:val="32"/>
          <w:szCs w:val="32"/>
          <w:lang w:val="en-US" w:eastAsia="zh-CN"/>
        </w:rPr>
        <w:t>批准之</w:t>
      </w:r>
      <w:r>
        <w:rPr>
          <w:rFonts w:ascii="Times New Roman" w:hAnsi="Times New Roman" w:eastAsia="方正仿宋_GBK"/>
          <w:snapToGrid w:val="0"/>
          <w:color w:val="auto"/>
          <w:kern w:val="0"/>
          <w:sz w:val="32"/>
          <w:szCs w:val="32"/>
        </w:rPr>
        <w:t>日起</w:t>
      </w:r>
      <w:r>
        <w:rPr>
          <w:rFonts w:hint="eastAsia" w:ascii="Times New Roman" w:hAnsi="Times New Roman" w:eastAsia="方正仿宋_GBK"/>
          <w:snapToGrid w:val="0"/>
          <w:color w:val="auto"/>
          <w:kern w:val="0"/>
          <w:sz w:val="32"/>
          <w:szCs w:val="32"/>
          <w:lang w:eastAsia="zh-CN"/>
        </w:rPr>
        <w:t>满</w:t>
      </w:r>
      <w:r>
        <w:rPr>
          <w:rFonts w:hint="eastAsia" w:ascii="Times New Roman" w:hAnsi="Times New Roman" w:eastAsia="方正仿宋_GBK"/>
          <w:snapToGrid w:val="0"/>
          <w:color w:val="auto"/>
          <w:kern w:val="0"/>
          <w:sz w:val="32"/>
          <w:szCs w:val="32"/>
          <w:lang w:val="en-US" w:eastAsia="zh-CN"/>
        </w:rPr>
        <w:t>3年，生产建设项目方开工建设的，其水土保持方案</w:t>
      </w:r>
      <w:r>
        <w:rPr>
          <w:rFonts w:hint="eastAsia" w:ascii="Times New Roman" w:hAnsi="Times New Roman" w:eastAsia="方正仿宋_GBK" w:cs="方正仿宋_GBK"/>
          <w:b w:val="0"/>
          <w:bCs w:val="0"/>
          <w:snapToGrid w:val="0"/>
          <w:color w:val="auto"/>
          <w:spacing w:val="0"/>
          <w:w w:val="100"/>
          <w:kern w:val="0"/>
          <w:sz w:val="32"/>
          <w:szCs w:val="32"/>
          <w:lang w:val="en-US" w:eastAsia="zh-CN"/>
        </w:rPr>
        <w:t>开工建设前</w:t>
      </w:r>
      <w:r>
        <w:rPr>
          <w:rFonts w:hint="eastAsia" w:ascii="Times New Roman" w:hAnsi="Times New Roman" w:eastAsia="方正仿宋_GBK"/>
          <w:snapToGrid w:val="0"/>
          <w:color w:val="auto"/>
          <w:kern w:val="0"/>
          <w:sz w:val="32"/>
          <w:szCs w:val="32"/>
          <w:lang w:val="en-US" w:eastAsia="zh-CN"/>
        </w:rPr>
        <w:t>报我局重新审核</w:t>
      </w:r>
      <w:r>
        <w:rPr>
          <w:rFonts w:ascii="Times New Roman" w:hAnsi="Times New Roman" w:eastAsia="方正仿宋_GBK"/>
          <w:snapToGrid w:val="0"/>
          <w:color w:val="auto"/>
          <w:kern w:val="0"/>
          <w:sz w:val="32"/>
          <w:szCs w:val="32"/>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1278" w:leftChars="228" w:right="0" w:hanging="640" w:hangingChars="2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附件：1</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bCs/>
          <w:color w:val="auto"/>
          <w:sz w:val="32"/>
          <w:szCs w:val="32"/>
          <w:lang w:eastAsia="zh-CN"/>
        </w:rPr>
        <w:t>哈密—重庆特高压直流受端500千伏配套送出工程（二期）项目</w:t>
      </w:r>
      <w:r>
        <w:rPr>
          <w:rFonts w:hint="eastAsia" w:ascii="Times New Roman" w:hAnsi="Times New Roman" w:eastAsia="方正仿宋_GBK" w:cs="方正仿宋_GBK"/>
          <w:bCs/>
          <w:color w:val="auto"/>
          <w:spacing w:val="-11"/>
          <w:sz w:val="32"/>
          <w:szCs w:val="32"/>
        </w:rPr>
        <w:t>水土保持方案</w:t>
      </w:r>
      <w:r>
        <w:rPr>
          <w:rFonts w:hint="eastAsia" w:ascii="Times New Roman" w:hAnsi="Times New Roman" w:eastAsia="方正仿宋_GBK" w:cs="方正仿宋_GBK"/>
          <w:bCs/>
          <w:snapToGrid w:val="0"/>
          <w:color w:val="auto"/>
          <w:spacing w:val="-11"/>
          <w:kern w:val="0"/>
          <w:sz w:val="32"/>
          <w:szCs w:val="32"/>
        </w:rPr>
        <w:t>特性表</w:t>
      </w:r>
    </w:p>
    <w:p>
      <w:pPr>
        <w:keepNext w:val="0"/>
        <w:keepLines w:val="0"/>
        <w:pageBreakBefore w:val="0"/>
        <w:widowControl w:val="0"/>
        <w:kinsoku/>
        <w:wordWrap/>
        <w:overflowPunct/>
        <w:topLinePunct w:val="0"/>
        <w:autoSpaceDE/>
        <w:autoSpaceDN/>
        <w:bidi w:val="0"/>
        <w:adjustRightInd/>
        <w:snapToGrid w:val="0"/>
        <w:spacing w:line="594" w:lineRule="exact"/>
        <w:ind w:left="1277" w:leftChars="456" w:right="0" w:firstLine="320" w:firstLineChars="1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2</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snapToGrid w:val="0"/>
          <w:color w:val="auto"/>
          <w:kern w:val="0"/>
          <w:sz w:val="32"/>
          <w:szCs w:val="32"/>
          <w:lang w:eastAsia="zh-CN"/>
        </w:rPr>
        <w:t>哈密—重庆特高压直流受端500千伏配套送出工程（二期）项目</w:t>
      </w:r>
      <w:r>
        <w:rPr>
          <w:rFonts w:hint="eastAsia" w:ascii="Times New Roman" w:hAnsi="Times New Roman" w:eastAsia="方正仿宋_GBK" w:cs="方正仿宋_GBK"/>
          <w:snapToGrid w:val="0"/>
          <w:color w:val="auto"/>
          <w:spacing w:val="-6"/>
          <w:kern w:val="0"/>
          <w:sz w:val="32"/>
          <w:szCs w:val="32"/>
        </w:rPr>
        <w:t>水土保持方案报告</w:t>
      </w:r>
      <w:r>
        <w:rPr>
          <w:rFonts w:hint="eastAsia" w:ascii="Times New Roman" w:hAnsi="Times New Roman" w:eastAsia="方正仿宋_GBK" w:cs="方正仿宋_GBK"/>
          <w:snapToGrid w:val="0"/>
          <w:color w:val="auto"/>
          <w:kern w:val="0"/>
          <w:sz w:val="32"/>
          <w:szCs w:val="32"/>
        </w:rPr>
        <w:t>书专家评审意见</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snapToGrid w:val="0"/>
        <w:spacing w:line="594" w:lineRule="exact"/>
        <w:ind w:left="0" w:leftChars="0" w:right="0" w:firstLine="5760" w:firstLineChars="18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重庆市水利局</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5440" w:firstLineChars="17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202</w:t>
      </w:r>
      <w:r>
        <w:rPr>
          <w:rFonts w:hint="eastAsia" w:eastAsia="方正仿宋_GBK"/>
          <w:color w:val="auto"/>
          <w:sz w:val="32"/>
          <w:szCs w:val="32"/>
          <w:lang w:val="en-US" w:eastAsia="zh-CN"/>
        </w:rPr>
        <w:t>4</w:t>
      </w:r>
      <w:r>
        <w:rPr>
          <w:rFonts w:ascii="Times New Roman" w:hAnsi="Times New Roman" w:eastAsia="方正仿宋_GBK"/>
          <w:color w:val="auto"/>
          <w:sz w:val="32"/>
          <w:szCs w:val="32"/>
        </w:rPr>
        <w:t>年</w:t>
      </w:r>
      <w:r>
        <w:rPr>
          <w:rFonts w:hint="eastAsia" w:eastAsia="方正仿宋_GBK"/>
          <w:color w:val="auto"/>
          <w:sz w:val="32"/>
          <w:szCs w:val="32"/>
          <w:lang w:val="en-US" w:eastAsia="zh-CN"/>
        </w:rPr>
        <w:t>6</w:t>
      </w:r>
      <w:r>
        <w:rPr>
          <w:rFonts w:ascii="Times New Roman" w:hAnsi="Times New Roman" w:eastAsia="方正仿宋_GBK"/>
          <w:color w:val="auto"/>
          <w:sz w:val="32"/>
          <w:szCs w:val="32"/>
        </w:rPr>
        <w:t>月</w:t>
      </w:r>
      <w:r>
        <w:rPr>
          <w:rFonts w:hint="eastAsia" w:eastAsia="方正仿宋_GBK"/>
          <w:color w:val="auto"/>
          <w:sz w:val="32"/>
          <w:szCs w:val="32"/>
          <w:lang w:val="en-US" w:eastAsia="zh-CN"/>
        </w:rPr>
        <w:t>26</w:t>
      </w:r>
      <w:r>
        <w:rPr>
          <w:rFonts w:ascii="Times New Roman" w:hAnsi="Times New Roman" w:eastAsia="方正仿宋_GBK"/>
          <w:color w:val="auto"/>
          <w:sz w:val="32"/>
          <w:szCs w:val="32"/>
        </w:rPr>
        <w:t>日</w:t>
      </w:r>
    </w:p>
    <w:p>
      <w:pPr>
        <w:keepNext w:val="0"/>
        <w:keepLines w:val="0"/>
        <w:pageBreakBefore w:val="0"/>
        <w:widowControl w:val="0"/>
        <w:kinsoku/>
        <w:wordWrap/>
        <w:overflowPunct/>
        <w:topLinePunct w:val="0"/>
        <w:autoSpaceDE/>
        <w:autoSpaceDN/>
        <w:bidi w:val="0"/>
        <w:snapToGrid w:val="0"/>
        <w:spacing w:line="594" w:lineRule="exact"/>
        <w:ind w:firstLine="640" w:firstLineChars="200"/>
        <w:jc w:val="left"/>
        <w:textAlignment w:val="auto"/>
        <w:rPr>
          <w:rFonts w:ascii="Times New Roman" w:hAnsi="Times New Roman" w:eastAsia="方正仿宋_GBK" w:cs="Times New Roman"/>
          <w:snapToGrid w:val="0"/>
          <w:color w:val="auto"/>
          <w:kern w:val="0"/>
          <w:sz w:val="32"/>
          <w:szCs w:val="32"/>
        </w:rPr>
      </w:pPr>
      <w:r>
        <w:rPr>
          <w:rFonts w:ascii="Times New Roman" w:hAnsi="Times New Roman" w:eastAsia="方正仿宋_GBK" w:cs="Times New Roman"/>
          <w:snapToGrid w:val="0"/>
          <w:color w:val="auto"/>
          <w:kern w:val="0"/>
          <w:sz w:val="32"/>
          <w:szCs w:val="32"/>
        </w:rPr>
        <w:t>（此件</w:t>
      </w:r>
      <w:r>
        <w:rPr>
          <w:rFonts w:hint="eastAsia" w:ascii="Times New Roman" w:hAnsi="Times New Roman" w:eastAsia="方正仿宋_GBK" w:cs="Times New Roman"/>
          <w:snapToGrid w:val="0"/>
          <w:color w:val="auto"/>
          <w:kern w:val="0"/>
          <w:sz w:val="32"/>
          <w:szCs w:val="32"/>
          <w:lang w:eastAsia="zh-CN"/>
        </w:rPr>
        <w:t>主动</w:t>
      </w:r>
      <w:r>
        <w:rPr>
          <w:rFonts w:ascii="Times New Roman" w:hAnsi="Times New Roman" w:eastAsia="方正仿宋_GBK" w:cs="Times New Roman"/>
          <w:snapToGrid w:val="0"/>
          <w:color w:val="auto"/>
          <w:kern w:val="0"/>
          <w:sz w:val="32"/>
          <w:szCs w:val="32"/>
        </w:rPr>
        <w:t>公开发布）</w:t>
      </w:r>
    </w:p>
    <w:p>
      <w:pPr>
        <w:ind w:firstLine="640" w:firstLineChars="200"/>
        <w:rPr>
          <w:color w:val="auto"/>
        </w:rPr>
      </w:pPr>
      <w:r>
        <w:rPr>
          <w:rFonts w:ascii="Times New Roman" w:hAnsi="Times New Roman" w:eastAsia="方正仿宋_GBK" w:cs="Times New Roman"/>
          <w:snapToGrid w:val="0"/>
          <w:color w:val="auto"/>
          <w:kern w:val="0"/>
          <w:sz w:val="32"/>
          <w:szCs w:val="32"/>
        </w:rPr>
        <w:t>（联系人：张</w:t>
      </w:r>
      <w:r>
        <w:rPr>
          <w:rFonts w:hint="eastAsia" w:ascii="Times New Roman" w:hAnsi="Times New Roman" w:eastAsia="方正仿宋_GBK" w:cs="Times New Roman"/>
          <w:snapToGrid w:val="0"/>
          <w:color w:val="auto"/>
          <w:kern w:val="0"/>
          <w:sz w:val="32"/>
          <w:szCs w:val="32"/>
        </w:rPr>
        <w:t>春才</w:t>
      </w:r>
      <w:r>
        <w:rPr>
          <w:rFonts w:ascii="Times New Roman" w:hAnsi="Times New Roman" w:eastAsia="方正仿宋_GBK" w:cs="Times New Roman"/>
          <w:snapToGrid w:val="0"/>
          <w:color w:val="auto"/>
          <w:kern w:val="0"/>
          <w:sz w:val="32"/>
          <w:szCs w:val="32"/>
        </w:rPr>
        <w:t>；联系电话：023</w:t>
      </w:r>
      <w:r>
        <w:rPr>
          <w:rFonts w:hint="eastAsia" w:eastAsia="方正仿宋_GBK" w:cs="Times New Roman"/>
          <w:snapToGrid w:val="0"/>
          <w:color w:val="auto"/>
          <w:kern w:val="0"/>
          <w:sz w:val="32"/>
          <w:szCs w:val="32"/>
          <w:lang w:eastAsia="zh-CN"/>
        </w:rPr>
        <w:t>—</w:t>
      </w:r>
      <w:r>
        <w:rPr>
          <w:rFonts w:ascii="Times New Roman" w:hAnsi="Times New Roman" w:eastAsia="方正仿宋_GBK" w:cs="Times New Roman"/>
          <w:snapToGrid w:val="0"/>
          <w:color w:val="auto"/>
          <w:kern w:val="0"/>
          <w:sz w:val="32"/>
          <w:szCs w:val="32"/>
        </w:rPr>
        <w:t>88707091）</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黑体_GBK"/>
          <w:b w:val="0"/>
          <w:color w:val="auto"/>
          <w:sz w:val="32"/>
          <w:szCs w:val="32"/>
          <w:lang w:val="en-US" w:eastAsia="zh-CN"/>
        </w:rPr>
      </w:pPr>
      <w:r>
        <w:rPr>
          <w:rFonts w:hint="eastAsia" w:ascii="Times New Roman" w:hAnsi="Times New Roman" w:eastAsia="方正仿宋_GBK" w:cs="方正仿宋"/>
          <w:b w:val="0"/>
          <w:color w:val="FF0000"/>
          <w:sz w:val="32"/>
          <w:szCs w:val="36"/>
        </w:rPr>
        <w:br w:type="page"/>
      </w:r>
      <w:r>
        <w:rPr>
          <w:rFonts w:hint="eastAsia" w:ascii="Times New Roman" w:hAnsi="Times New Roman" w:eastAsia="方正黑体_GBK" w:cs="方正黑体_GBK"/>
          <w:b w:val="0"/>
          <w:color w:val="auto"/>
          <w:sz w:val="32"/>
          <w:szCs w:val="32"/>
        </w:rPr>
        <w:t>附件</w:t>
      </w:r>
      <w:r>
        <w:rPr>
          <w:rFonts w:hint="eastAsia" w:ascii="Times New Roman" w:hAnsi="Times New Roman" w:eastAsia="方正黑体_GBK" w:cs="方正黑体_GBK"/>
          <w:b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eastAsia="方正小标宋_GBK" w:cs="方正小标宋_GBK"/>
          <w:bCs/>
          <w:color w:val="auto"/>
          <w:spacing w:val="0"/>
          <w:w w:val="100"/>
          <w:sz w:val="36"/>
          <w:szCs w:val="36"/>
          <w:lang w:eastAsia="zh-CN"/>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eastAsia="方正小标宋_GBK" w:cs="方正小标宋_GBK"/>
          <w:bCs/>
          <w:color w:val="auto"/>
          <w:spacing w:val="0"/>
          <w:w w:val="100"/>
          <w:sz w:val="36"/>
          <w:szCs w:val="36"/>
          <w:lang w:eastAsia="zh-CN"/>
        </w:rPr>
      </w:pPr>
      <w:r>
        <w:rPr>
          <w:rFonts w:hint="eastAsia" w:eastAsia="方正小标宋_GBK" w:cs="方正小标宋_GBK"/>
          <w:bCs/>
          <w:color w:val="auto"/>
          <w:spacing w:val="0"/>
          <w:w w:val="100"/>
          <w:sz w:val="36"/>
          <w:szCs w:val="36"/>
          <w:lang w:eastAsia="zh-CN"/>
        </w:rPr>
        <w:t>哈密—重庆特高压直流受端500千伏配套送出</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ascii="Times New Roman" w:hAnsi="Times New Roman" w:eastAsia="方正黑体_GBK" w:cs="方正黑体_GBK"/>
          <w:b w:val="0"/>
          <w:color w:val="auto"/>
          <w:sz w:val="32"/>
          <w:szCs w:val="32"/>
        </w:rPr>
      </w:pPr>
      <w:r>
        <w:rPr>
          <w:rFonts w:hint="eastAsia" w:eastAsia="方正小标宋_GBK" w:cs="方正小标宋_GBK"/>
          <w:bCs/>
          <w:color w:val="auto"/>
          <w:spacing w:val="0"/>
          <w:w w:val="100"/>
          <w:sz w:val="36"/>
          <w:szCs w:val="36"/>
          <w:lang w:eastAsia="zh-CN"/>
        </w:rPr>
        <w:t>工程（二期）项目</w:t>
      </w:r>
      <w:r>
        <w:rPr>
          <w:rFonts w:hint="eastAsia" w:ascii="Times New Roman" w:hAnsi="Times New Roman" w:eastAsia="方正小标宋_GBK" w:cs="方正小标宋_GBK"/>
          <w:bCs/>
          <w:color w:val="auto"/>
          <w:spacing w:val="0"/>
          <w:w w:val="100"/>
          <w:sz w:val="36"/>
          <w:szCs w:val="36"/>
        </w:rPr>
        <w:t>水土保持方案</w:t>
      </w:r>
      <w:r>
        <w:rPr>
          <w:rFonts w:hint="eastAsia" w:ascii="Times New Roman" w:hAnsi="Times New Roman" w:eastAsia="方正小标宋_GBK" w:cs="方正小标宋_GBK"/>
          <w:bCs/>
          <w:snapToGrid w:val="0"/>
          <w:color w:val="auto"/>
          <w:spacing w:val="0"/>
          <w:w w:val="100"/>
          <w:kern w:val="0"/>
          <w:sz w:val="36"/>
          <w:szCs w:val="36"/>
        </w:rPr>
        <w:t>特性表</w:t>
      </w:r>
    </w:p>
    <w:tbl>
      <w:tblPr>
        <w:tblStyle w:val="17"/>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7"/>
        <w:gridCol w:w="295"/>
        <w:gridCol w:w="291"/>
        <w:gridCol w:w="453"/>
        <w:gridCol w:w="116"/>
        <w:gridCol w:w="367"/>
        <w:gridCol w:w="282"/>
        <w:gridCol w:w="167"/>
        <w:gridCol w:w="206"/>
        <w:gridCol w:w="914"/>
        <w:gridCol w:w="419"/>
        <w:gridCol w:w="391"/>
        <w:gridCol w:w="127"/>
        <w:gridCol w:w="168"/>
        <w:gridCol w:w="395"/>
        <w:gridCol w:w="156"/>
        <w:gridCol w:w="325"/>
        <w:gridCol w:w="290"/>
        <w:gridCol w:w="313"/>
        <w:gridCol w:w="80"/>
        <w:gridCol w:w="109"/>
        <w:gridCol w:w="103"/>
        <w:gridCol w:w="467"/>
        <w:gridCol w:w="280"/>
        <w:gridCol w:w="666"/>
        <w:gridCol w:w="249"/>
        <w:gridCol w:w="395"/>
        <w:gridCol w:w="7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95" w:type="pct"/>
            <w:gridSpan w:val="4"/>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项目名称</w:t>
            </w:r>
          </w:p>
        </w:tc>
        <w:tc>
          <w:tcPr>
            <w:tcW w:w="1621" w:type="pct"/>
            <w:gridSpan w:val="9"/>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哈密</w:t>
            </w:r>
            <w:r>
              <w:rPr>
                <w:rFonts w:hint="eastAsia" w:eastAsia="仿宋_GB2312"/>
                <w:color w:val="auto"/>
                <w:kern w:val="0"/>
                <w:sz w:val="18"/>
                <w:szCs w:val="18"/>
              </w:rPr>
              <w:t>—</w:t>
            </w:r>
            <w:r>
              <w:rPr>
                <w:rFonts w:eastAsia="仿宋_GB2312"/>
                <w:color w:val="auto"/>
                <w:kern w:val="0"/>
                <w:sz w:val="18"/>
                <w:szCs w:val="18"/>
              </w:rPr>
              <w:t>重庆特高压直流受端500千伏配套送出工程（二期）项目</w:t>
            </w:r>
          </w:p>
        </w:tc>
        <w:tc>
          <w:tcPr>
            <w:tcW w:w="892" w:type="pct"/>
            <w:gridSpan w:val="6"/>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流域管理机构</w:t>
            </w:r>
          </w:p>
        </w:tc>
        <w:tc>
          <w:tcPr>
            <w:tcW w:w="1691" w:type="pct"/>
            <w:gridSpan w:val="9"/>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水利部长江水利委员会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95" w:type="pct"/>
            <w:gridSpan w:val="4"/>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涉及省（市、区）</w:t>
            </w:r>
          </w:p>
        </w:tc>
        <w:tc>
          <w:tcPr>
            <w:tcW w:w="496" w:type="pct"/>
            <w:gridSpan w:val="4"/>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重庆市</w:t>
            </w:r>
          </w:p>
        </w:tc>
        <w:tc>
          <w:tcPr>
            <w:tcW w:w="829" w:type="pct"/>
            <w:gridSpan w:val="3"/>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涉及地市或个数</w:t>
            </w:r>
          </w:p>
        </w:tc>
        <w:tc>
          <w:tcPr>
            <w:tcW w:w="295" w:type="pct"/>
            <w:gridSpan w:val="2"/>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eastAsia="仿宋_GB2312"/>
                <w:color w:val="auto"/>
                <w:kern w:val="0"/>
                <w:sz w:val="18"/>
                <w:szCs w:val="18"/>
                <w:lang w:val="en-US" w:eastAsia="zh-CN"/>
              </w:rPr>
            </w:pPr>
            <w:r>
              <w:rPr>
                <w:rFonts w:hint="eastAsia" w:eastAsia="仿宋_GB2312"/>
                <w:color w:val="auto"/>
                <w:kern w:val="0"/>
                <w:sz w:val="18"/>
                <w:szCs w:val="18"/>
                <w:lang w:val="en-US" w:eastAsia="zh-CN"/>
              </w:rPr>
              <w:t>/</w:t>
            </w:r>
          </w:p>
        </w:tc>
        <w:tc>
          <w:tcPr>
            <w:tcW w:w="892" w:type="pct"/>
            <w:gridSpan w:val="6"/>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涉及县或个数</w:t>
            </w:r>
          </w:p>
        </w:tc>
        <w:tc>
          <w:tcPr>
            <w:tcW w:w="1691" w:type="pct"/>
            <w:gridSpan w:val="9"/>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渝北区、北碚区、合川区、铜梁区、璧山区、长寿区、永川区、沙坪坝区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88" w:type="pct"/>
            <w:gridSpan w:val="2"/>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21"/>
                <w:szCs w:val="21"/>
              </w:rPr>
            </w:pPr>
            <w:r>
              <w:rPr>
                <w:rFonts w:eastAsia="仿宋_GB2312"/>
                <w:color w:val="auto"/>
                <w:kern w:val="0"/>
                <w:sz w:val="18"/>
                <w:szCs w:val="18"/>
              </w:rPr>
              <w:t>项目规模</w:t>
            </w:r>
          </w:p>
        </w:tc>
        <w:tc>
          <w:tcPr>
            <w:tcW w:w="2398" w:type="pct"/>
            <w:gridSpan w:val="14"/>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firstLine="360" w:firstLineChars="200"/>
              <w:jc w:val="left"/>
              <w:rPr>
                <w:rFonts w:eastAsia="仿宋_GB2312"/>
                <w:color w:val="auto"/>
                <w:kern w:val="0"/>
                <w:sz w:val="18"/>
                <w:szCs w:val="18"/>
              </w:rPr>
            </w:pPr>
            <w:r>
              <w:rPr>
                <w:rFonts w:eastAsia="仿宋_GB2312"/>
                <w:color w:val="auto"/>
                <w:kern w:val="0"/>
                <w:sz w:val="18"/>
                <w:szCs w:val="18"/>
              </w:rPr>
              <w:t>线路部分包括：渝北换～铜梁特500kV线路工程，金山～明月山500kV线路开断接入渝北换线路工程，思源～长寿500kV线路改接工程，铜梁特～圣泉、板桥～陈家桥500kV线路换接工程，思源～长寿500kV线路增容改造工程，长寿～明月山双回、明月山～石坪双回500kV线路温升改造工程。</w:t>
            </w:r>
          </w:p>
          <w:p>
            <w:pPr>
              <w:keepNext w:val="0"/>
              <w:keepLines w:val="0"/>
              <w:widowControl/>
              <w:suppressLineNumbers w:val="0"/>
              <w:adjustRightInd w:val="0"/>
              <w:spacing w:before="0" w:beforeAutospacing="0" w:after="0" w:afterAutospacing="0" w:line="240" w:lineRule="auto"/>
              <w:ind w:left="0" w:right="0" w:firstLine="360" w:firstLineChars="200"/>
              <w:jc w:val="left"/>
              <w:rPr>
                <w:rFonts w:eastAsia="仿宋_GB2312"/>
                <w:color w:val="auto"/>
                <w:kern w:val="0"/>
                <w:sz w:val="21"/>
                <w:szCs w:val="21"/>
              </w:rPr>
            </w:pPr>
            <w:r>
              <w:rPr>
                <w:rFonts w:eastAsia="仿宋_GB2312"/>
                <w:color w:val="auto"/>
                <w:kern w:val="0"/>
                <w:sz w:val="18"/>
                <w:szCs w:val="18"/>
              </w:rPr>
              <w:t>变电站部分包括：铜梁、长寿、陈家桥、板桥改扩建工程，以及石坪、金山、明月山、思源、圣泉改接工程。</w:t>
            </w:r>
          </w:p>
        </w:tc>
        <w:tc>
          <w:tcPr>
            <w:tcW w:w="623" w:type="pct"/>
            <w:gridSpan w:val="5"/>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总投资</w:t>
            </w:r>
          </w:p>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（万元）</w:t>
            </w:r>
          </w:p>
        </w:tc>
        <w:tc>
          <w:tcPr>
            <w:tcW w:w="461" w:type="pct"/>
            <w:gridSpan w:val="3"/>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hint="eastAsia" w:eastAsia="仿宋_GB2312"/>
                <w:color w:val="auto"/>
                <w:kern w:val="0"/>
                <w:sz w:val="18"/>
                <w:szCs w:val="18"/>
              </w:rPr>
              <w:t>157356</w:t>
            </w:r>
          </w:p>
        </w:tc>
        <w:tc>
          <w:tcPr>
            <w:tcW w:w="680" w:type="pct"/>
            <w:gridSpan w:val="3"/>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土建投资</w:t>
            </w:r>
          </w:p>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（万元）</w:t>
            </w:r>
          </w:p>
        </w:tc>
        <w:tc>
          <w:tcPr>
            <w:tcW w:w="447" w:type="pct"/>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64690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95" w:type="pct"/>
            <w:gridSpan w:val="4"/>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动工时间</w:t>
            </w:r>
          </w:p>
        </w:tc>
        <w:tc>
          <w:tcPr>
            <w:tcW w:w="616" w:type="pct"/>
            <w:gridSpan w:val="5"/>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140" w:leftChars="-50" w:right="-140" w:rightChars="-50"/>
              <w:jc w:val="center"/>
              <w:rPr>
                <w:rFonts w:eastAsia="仿宋_GB2312"/>
                <w:color w:val="auto"/>
                <w:kern w:val="0"/>
                <w:sz w:val="18"/>
                <w:szCs w:val="18"/>
              </w:rPr>
            </w:pPr>
            <w:r>
              <w:rPr>
                <w:rFonts w:eastAsia="仿宋_GB2312"/>
                <w:color w:val="auto"/>
                <w:kern w:val="0"/>
                <w:sz w:val="18"/>
                <w:szCs w:val="18"/>
              </w:rPr>
              <w:t>2024年7月</w:t>
            </w:r>
          </w:p>
        </w:tc>
        <w:tc>
          <w:tcPr>
            <w:tcW w:w="1004" w:type="pct"/>
            <w:gridSpan w:val="4"/>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完工时间</w:t>
            </w:r>
          </w:p>
        </w:tc>
        <w:tc>
          <w:tcPr>
            <w:tcW w:w="702" w:type="pct"/>
            <w:gridSpan w:val="5"/>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2025年12月</w:t>
            </w:r>
          </w:p>
        </w:tc>
        <w:tc>
          <w:tcPr>
            <w:tcW w:w="753" w:type="pct"/>
            <w:gridSpan w:val="6"/>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设计水平年</w:t>
            </w:r>
          </w:p>
        </w:tc>
        <w:tc>
          <w:tcPr>
            <w:tcW w:w="1127" w:type="pct"/>
            <w:gridSpan w:val="4"/>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2026年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95" w:type="pct"/>
            <w:gridSpan w:val="4"/>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工程占地（hm</w:t>
            </w:r>
            <w:r>
              <w:rPr>
                <w:rFonts w:eastAsia="仿宋_GB2312"/>
                <w:color w:val="auto"/>
                <w:kern w:val="0"/>
                <w:sz w:val="18"/>
                <w:szCs w:val="18"/>
                <w:vertAlign w:val="superscript"/>
              </w:rPr>
              <w:t>2</w:t>
            </w:r>
            <w:r>
              <w:rPr>
                <w:rFonts w:eastAsia="仿宋_GB2312"/>
                <w:color w:val="auto"/>
                <w:kern w:val="0"/>
                <w:sz w:val="18"/>
                <w:szCs w:val="18"/>
              </w:rPr>
              <w:t>）</w:t>
            </w:r>
          </w:p>
        </w:tc>
        <w:tc>
          <w:tcPr>
            <w:tcW w:w="616" w:type="pct"/>
            <w:gridSpan w:val="5"/>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hint="eastAsia" w:eastAsia="仿宋_GB2312"/>
                <w:color w:val="auto"/>
                <w:kern w:val="0"/>
                <w:sz w:val="18"/>
                <w:szCs w:val="18"/>
              </w:rPr>
              <w:t>84.56</w:t>
            </w:r>
          </w:p>
        </w:tc>
        <w:tc>
          <w:tcPr>
            <w:tcW w:w="1004" w:type="pct"/>
            <w:gridSpan w:val="4"/>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永久占地（hm</w:t>
            </w:r>
            <w:r>
              <w:rPr>
                <w:rFonts w:eastAsia="仿宋_GB2312"/>
                <w:color w:val="auto"/>
                <w:kern w:val="0"/>
                <w:sz w:val="18"/>
                <w:szCs w:val="18"/>
                <w:vertAlign w:val="superscript"/>
              </w:rPr>
              <w:t>2</w:t>
            </w:r>
            <w:r>
              <w:rPr>
                <w:rFonts w:eastAsia="仿宋_GB2312"/>
                <w:color w:val="auto"/>
                <w:kern w:val="0"/>
                <w:sz w:val="18"/>
                <w:szCs w:val="18"/>
              </w:rPr>
              <w:t>）</w:t>
            </w:r>
          </w:p>
        </w:tc>
        <w:tc>
          <w:tcPr>
            <w:tcW w:w="546" w:type="pct"/>
            <w:gridSpan w:val="4"/>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22.48</w:t>
            </w:r>
          </w:p>
        </w:tc>
        <w:tc>
          <w:tcPr>
            <w:tcW w:w="909" w:type="pct"/>
            <w:gridSpan w:val="7"/>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临时占地（hm</w:t>
            </w:r>
            <w:r>
              <w:rPr>
                <w:rFonts w:eastAsia="仿宋_GB2312"/>
                <w:color w:val="auto"/>
                <w:kern w:val="0"/>
                <w:sz w:val="18"/>
                <w:szCs w:val="18"/>
                <w:vertAlign w:val="superscript"/>
              </w:rPr>
              <w:t>2</w:t>
            </w:r>
            <w:r>
              <w:rPr>
                <w:rFonts w:eastAsia="仿宋_GB2312"/>
                <w:color w:val="auto"/>
                <w:kern w:val="0"/>
                <w:sz w:val="18"/>
                <w:szCs w:val="18"/>
              </w:rPr>
              <w:t>）</w:t>
            </w:r>
          </w:p>
        </w:tc>
        <w:tc>
          <w:tcPr>
            <w:tcW w:w="1127" w:type="pct"/>
            <w:gridSpan w:val="4"/>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hint="eastAsia" w:eastAsia="仿宋_GB2312"/>
                <w:color w:val="auto"/>
                <w:kern w:val="0"/>
                <w:sz w:val="18"/>
                <w:szCs w:val="18"/>
              </w:rPr>
              <w:t>62.08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12" w:type="pct"/>
            <w:gridSpan w:val="9"/>
            <w:vMerge w:val="restart"/>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土石方量（万m</w:t>
            </w:r>
            <w:r>
              <w:rPr>
                <w:rFonts w:eastAsia="仿宋_GB2312"/>
                <w:color w:val="auto"/>
                <w:kern w:val="0"/>
                <w:sz w:val="18"/>
                <w:szCs w:val="18"/>
                <w:vertAlign w:val="superscript"/>
              </w:rPr>
              <w:t>3</w:t>
            </w:r>
            <w:r>
              <w:rPr>
                <w:rFonts w:eastAsia="仿宋_GB2312"/>
                <w:color w:val="auto"/>
                <w:kern w:val="0"/>
                <w:sz w:val="18"/>
                <w:szCs w:val="18"/>
              </w:rPr>
              <w:t>）</w:t>
            </w:r>
          </w:p>
        </w:tc>
        <w:tc>
          <w:tcPr>
            <w:tcW w:w="1004" w:type="pct"/>
            <w:gridSpan w:val="4"/>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挖方</w:t>
            </w:r>
          </w:p>
        </w:tc>
        <w:tc>
          <w:tcPr>
            <w:tcW w:w="995" w:type="pct"/>
            <w:gridSpan w:val="8"/>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填方</w:t>
            </w:r>
          </w:p>
        </w:tc>
        <w:tc>
          <w:tcPr>
            <w:tcW w:w="822" w:type="pct"/>
            <w:gridSpan w:val="4"/>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借方</w:t>
            </w:r>
          </w:p>
        </w:tc>
        <w:tc>
          <w:tcPr>
            <w:tcW w:w="766" w:type="pct"/>
            <w:gridSpan w:val="3"/>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余（弃）方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12" w:type="pct"/>
            <w:gridSpan w:val="9"/>
            <w:vMerge w:val="continue"/>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p>
        </w:tc>
        <w:tc>
          <w:tcPr>
            <w:tcW w:w="1004" w:type="pct"/>
            <w:gridSpan w:val="4"/>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hint="eastAsia" w:eastAsia="仿宋_GB2312"/>
                <w:color w:val="auto"/>
                <w:sz w:val="18"/>
                <w:szCs w:val="18"/>
              </w:rPr>
              <w:t>19.99</w:t>
            </w:r>
          </w:p>
        </w:tc>
        <w:tc>
          <w:tcPr>
            <w:tcW w:w="995" w:type="pct"/>
            <w:gridSpan w:val="8"/>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hint="eastAsia" w:eastAsia="仿宋_GB2312"/>
                <w:color w:val="auto"/>
                <w:sz w:val="18"/>
                <w:szCs w:val="18"/>
              </w:rPr>
              <w:t>19.99</w:t>
            </w:r>
          </w:p>
        </w:tc>
        <w:tc>
          <w:tcPr>
            <w:tcW w:w="822" w:type="pct"/>
            <w:gridSpan w:val="4"/>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0</w:t>
            </w:r>
          </w:p>
        </w:tc>
        <w:tc>
          <w:tcPr>
            <w:tcW w:w="766" w:type="pct"/>
            <w:gridSpan w:val="3"/>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12" w:type="pct"/>
            <w:gridSpan w:val="9"/>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重点防治区名称</w:t>
            </w:r>
          </w:p>
        </w:tc>
        <w:tc>
          <w:tcPr>
            <w:tcW w:w="3587" w:type="pct"/>
            <w:gridSpan w:val="19"/>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三峡库区国家级水土流失重点治理区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12" w:type="pct"/>
            <w:gridSpan w:val="9"/>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地貌类型</w:t>
            </w:r>
          </w:p>
        </w:tc>
        <w:tc>
          <w:tcPr>
            <w:tcW w:w="1004" w:type="pct"/>
            <w:gridSpan w:val="4"/>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剥蚀丘陵地貌</w:t>
            </w:r>
          </w:p>
        </w:tc>
        <w:tc>
          <w:tcPr>
            <w:tcW w:w="1456" w:type="pct"/>
            <w:gridSpan w:val="11"/>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rPr>
                <w:rFonts w:eastAsia="仿宋_GB2312"/>
                <w:color w:val="auto"/>
                <w:sz w:val="18"/>
                <w:szCs w:val="18"/>
              </w:rPr>
            </w:pPr>
            <w:r>
              <w:rPr>
                <w:rFonts w:eastAsia="仿宋_GB2312"/>
                <w:color w:val="auto"/>
                <w:sz w:val="18"/>
                <w:szCs w:val="18"/>
              </w:rPr>
              <w:t>水土保持区划</w:t>
            </w:r>
          </w:p>
        </w:tc>
        <w:tc>
          <w:tcPr>
            <w:tcW w:w="1127" w:type="pct"/>
            <w:gridSpan w:val="4"/>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rPr>
                <w:rFonts w:eastAsia="仿宋_GB2312"/>
                <w:color w:val="auto"/>
                <w:sz w:val="18"/>
                <w:szCs w:val="18"/>
              </w:rPr>
            </w:pPr>
            <w:r>
              <w:rPr>
                <w:rFonts w:eastAsia="仿宋_GB2312"/>
                <w:color w:val="auto"/>
                <w:sz w:val="18"/>
                <w:szCs w:val="18"/>
              </w:rPr>
              <w:t>西南紫色土区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12" w:type="pct"/>
            <w:gridSpan w:val="9"/>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rPr>
                <w:rFonts w:eastAsia="仿宋_GB2312"/>
                <w:color w:val="auto"/>
                <w:sz w:val="18"/>
                <w:szCs w:val="18"/>
              </w:rPr>
            </w:pPr>
            <w:r>
              <w:rPr>
                <w:rFonts w:eastAsia="仿宋_GB2312"/>
                <w:color w:val="auto"/>
                <w:sz w:val="18"/>
                <w:szCs w:val="18"/>
              </w:rPr>
              <w:t>土壤侵蚀类型</w:t>
            </w:r>
          </w:p>
        </w:tc>
        <w:tc>
          <w:tcPr>
            <w:tcW w:w="1004" w:type="pct"/>
            <w:gridSpan w:val="4"/>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rPr>
                <w:rFonts w:eastAsia="仿宋_GB2312"/>
                <w:color w:val="auto"/>
                <w:sz w:val="18"/>
                <w:szCs w:val="18"/>
              </w:rPr>
            </w:pPr>
            <w:r>
              <w:rPr>
                <w:rFonts w:eastAsia="仿宋_GB2312"/>
                <w:color w:val="auto"/>
                <w:sz w:val="18"/>
                <w:szCs w:val="18"/>
              </w:rPr>
              <w:t>水力侵蚀</w:t>
            </w:r>
          </w:p>
        </w:tc>
        <w:tc>
          <w:tcPr>
            <w:tcW w:w="1456" w:type="pct"/>
            <w:gridSpan w:val="11"/>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rPr>
                <w:rFonts w:eastAsia="仿宋_GB2312"/>
                <w:color w:val="auto"/>
                <w:sz w:val="18"/>
                <w:szCs w:val="18"/>
              </w:rPr>
            </w:pPr>
            <w:r>
              <w:rPr>
                <w:rFonts w:eastAsia="仿宋_GB2312"/>
                <w:color w:val="auto"/>
                <w:sz w:val="18"/>
                <w:szCs w:val="18"/>
              </w:rPr>
              <w:t>土壤侵蚀强度</w:t>
            </w:r>
          </w:p>
        </w:tc>
        <w:tc>
          <w:tcPr>
            <w:tcW w:w="1127" w:type="pct"/>
            <w:gridSpan w:val="4"/>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rPr>
                <w:rFonts w:eastAsia="仿宋_GB2312"/>
                <w:color w:val="auto"/>
                <w:sz w:val="18"/>
                <w:szCs w:val="18"/>
              </w:rPr>
            </w:pPr>
            <w:r>
              <w:rPr>
                <w:rFonts w:eastAsia="仿宋_GB2312"/>
                <w:color w:val="auto"/>
                <w:sz w:val="18"/>
                <w:szCs w:val="18"/>
              </w:rPr>
              <w:t>轻度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12" w:type="pct"/>
            <w:gridSpan w:val="9"/>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防治责任范围面积（hm</w:t>
            </w:r>
            <w:r>
              <w:rPr>
                <w:rFonts w:eastAsia="仿宋_GB2312"/>
                <w:color w:val="auto"/>
                <w:kern w:val="0"/>
                <w:sz w:val="18"/>
                <w:szCs w:val="18"/>
                <w:vertAlign w:val="superscript"/>
              </w:rPr>
              <w:t>2</w:t>
            </w:r>
            <w:r>
              <w:rPr>
                <w:rFonts w:eastAsia="仿宋_GB2312"/>
                <w:color w:val="auto"/>
                <w:kern w:val="0"/>
                <w:sz w:val="18"/>
                <w:szCs w:val="18"/>
              </w:rPr>
              <w:t>）</w:t>
            </w:r>
          </w:p>
        </w:tc>
        <w:tc>
          <w:tcPr>
            <w:tcW w:w="1004" w:type="pct"/>
            <w:gridSpan w:val="4"/>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hint="eastAsia" w:eastAsia="仿宋_GB2312"/>
                <w:color w:val="auto"/>
                <w:kern w:val="0"/>
                <w:sz w:val="18"/>
                <w:szCs w:val="18"/>
              </w:rPr>
              <w:t>84.56</w:t>
            </w:r>
          </w:p>
        </w:tc>
        <w:tc>
          <w:tcPr>
            <w:tcW w:w="1456" w:type="pct"/>
            <w:gridSpan w:val="11"/>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容许土壤流失量〔t/（km</w:t>
            </w:r>
            <w:r>
              <w:rPr>
                <w:rFonts w:eastAsia="仿宋_GB2312"/>
                <w:color w:val="auto"/>
                <w:kern w:val="0"/>
                <w:sz w:val="18"/>
                <w:szCs w:val="18"/>
                <w:vertAlign w:val="superscript"/>
              </w:rPr>
              <w:t>2</w:t>
            </w:r>
            <w:r>
              <w:rPr>
                <w:rFonts w:eastAsia="仿宋_GB2312"/>
                <w:color w:val="auto"/>
                <w:kern w:val="0"/>
                <w:sz w:val="18"/>
                <w:szCs w:val="18"/>
              </w:rPr>
              <w:t>·a）〕</w:t>
            </w:r>
          </w:p>
        </w:tc>
        <w:tc>
          <w:tcPr>
            <w:tcW w:w="1127" w:type="pct"/>
            <w:gridSpan w:val="4"/>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12" w:type="pct"/>
            <w:gridSpan w:val="9"/>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水土流失预测总量（t）</w:t>
            </w:r>
          </w:p>
        </w:tc>
        <w:tc>
          <w:tcPr>
            <w:tcW w:w="1004" w:type="pct"/>
            <w:gridSpan w:val="4"/>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eastAsia="仿宋_GB2312"/>
                <w:color w:val="auto"/>
                <w:kern w:val="0"/>
                <w:sz w:val="18"/>
                <w:szCs w:val="18"/>
                <w:lang w:eastAsia="zh-CN"/>
              </w:rPr>
            </w:pPr>
            <w:r>
              <w:rPr>
                <w:rFonts w:hint="eastAsia" w:eastAsia="仿宋_GB2312"/>
                <w:color w:val="auto"/>
                <w:kern w:val="0"/>
                <w:sz w:val="18"/>
                <w:szCs w:val="18"/>
                <w:lang w:eastAsia="zh-CN"/>
              </w:rPr>
              <w:t>7787</w:t>
            </w:r>
          </w:p>
        </w:tc>
        <w:tc>
          <w:tcPr>
            <w:tcW w:w="1456" w:type="pct"/>
            <w:gridSpan w:val="11"/>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新增水土流失量（t）</w:t>
            </w:r>
          </w:p>
        </w:tc>
        <w:tc>
          <w:tcPr>
            <w:tcW w:w="1127" w:type="pct"/>
            <w:gridSpan w:val="4"/>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eastAsia="仿宋_GB2312"/>
                <w:color w:val="auto"/>
                <w:kern w:val="0"/>
                <w:sz w:val="18"/>
                <w:szCs w:val="18"/>
                <w:lang w:eastAsia="zh-CN"/>
              </w:rPr>
            </w:pPr>
            <w:r>
              <w:rPr>
                <w:rFonts w:hint="eastAsia" w:eastAsia="仿宋_GB2312"/>
                <w:color w:val="auto"/>
                <w:kern w:val="0"/>
                <w:sz w:val="18"/>
                <w:szCs w:val="18"/>
                <w:lang w:eastAsia="zh-CN"/>
              </w:rPr>
              <w:t>5720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12" w:type="pct"/>
            <w:gridSpan w:val="9"/>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水土流失防治标准执行等级</w:t>
            </w:r>
          </w:p>
        </w:tc>
        <w:tc>
          <w:tcPr>
            <w:tcW w:w="3587" w:type="pct"/>
            <w:gridSpan w:val="19"/>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西南紫色土区建设类项目一级标准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1" w:type="pct"/>
            <w:vMerge w:val="restart"/>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指标</w:t>
            </w:r>
          </w:p>
        </w:tc>
        <w:tc>
          <w:tcPr>
            <w:tcW w:w="1180" w:type="pct"/>
            <w:gridSpan w:val="8"/>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水土流失治理度（%）</w:t>
            </w:r>
          </w:p>
        </w:tc>
        <w:tc>
          <w:tcPr>
            <w:tcW w:w="1004" w:type="pct"/>
            <w:gridSpan w:val="4"/>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97</w:t>
            </w:r>
          </w:p>
        </w:tc>
        <w:tc>
          <w:tcPr>
            <w:tcW w:w="995" w:type="pct"/>
            <w:gridSpan w:val="8"/>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土壤流失控制比</w:t>
            </w:r>
          </w:p>
        </w:tc>
        <w:tc>
          <w:tcPr>
            <w:tcW w:w="1588" w:type="pct"/>
            <w:gridSpan w:val="7"/>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1" w:type="pct"/>
            <w:vMerge w:val="continue"/>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p>
        </w:tc>
        <w:tc>
          <w:tcPr>
            <w:tcW w:w="1180" w:type="pct"/>
            <w:gridSpan w:val="8"/>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渣土防护率（%）</w:t>
            </w:r>
          </w:p>
        </w:tc>
        <w:tc>
          <w:tcPr>
            <w:tcW w:w="1004" w:type="pct"/>
            <w:gridSpan w:val="4"/>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hint="eastAsia" w:eastAsia="仿宋_GB2312"/>
                <w:color w:val="auto"/>
                <w:kern w:val="0"/>
                <w:sz w:val="18"/>
                <w:szCs w:val="18"/>
              </w:rPr>
              <w:t>92</w:t>
            </w:r>
          </w:p>
        </w:tc>
        <w:tc>
          <w:tcPr>
            <w:tcW w:w="995" w:type="pct"/>
            <w:gridSpan w:val="8"/>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表土保护率（%）</w:t>
            </w:r>
          </w:p>
        </w:tc>
        <w:tc>
          <w:tcPr>
            <w:tcW w:w="1588" w:type="pct"/>
            <w:gridSpan w:val="7"/>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1" w:type="pct"/>
            <w:vMerge w:val="continue"/>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p>
        </w:tc>
        <w:tc>
          <w:tcPr>
            <w:tcW w:w="1180" w:type="pct"/>
            <w:gridSpan w:val="8"/>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林草植被恢复率（%）</w:t>
            </w:r>
          </w:p>
        </w:tc>
        <w:tc>
          <w:tcPr>
            <w:tcW w:w="1004" w:type="pct"/>
            <w:gridSpan w:val="4"/>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97</w:t>
            </w:r>
          </w:p>
        </w:tc>
        <w:tc>
          <w:tcPr>
            <w:tcW w:w="995" w:type="pct"/>
            <w:gridSpan w:val="8"/>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林草覆盖率（%）</w:t>
            </w:r>
          </w:p>
        </w:tc>
        <w:tc>
          <w:tcPr>
            <w:tcW w:w="1588" w:type="pct"/>
            <w:gridSpan w:val="7"/>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1" w:type="pct"/>
            <w:vMerge w:val="restart"/>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防治措施及工程量</w:t>
            </w:r>
          </w:p>
        </w:tc>
        <w:tc>
          <w:tcPr>
            <w:tcW w:w="825" w:type="pct"/>
            <w:gridSpan w:val="5"/>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分区</w:t>
            </w:r>
          </w:p>
        </w:tc>
        <w:tc>
          <w:tcPr>
            <w:tcW w:w="1450" w:type="pct"/>
            <w:gridSpan w:val="8"/>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工程措施</w:t>
            </w:r>
          </w:p>
        </w:tc>
        <w:tc>
          <w:tcPr>
            <w:tcW w:w="1213" w:type="pct"/>
            <w:gridSpan w:val="9"/>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植物措施</w:t>
            </w:r>
          </w:p>
        </w:tc>
        <w:tc>
          <w:tcPr>
            <w:tcW w:w="1279" w:type="pct"/>
            <w:gridSpan w:val="5"/>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临时措施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1" w:type="pct"/>
            <w:vMerge w:val="continue"/>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p>
        </w:tc>
        <w:tc>
          <w:tcPr>
            <w:tcW w:w="317" w:type="pct"/>
            <w:gridSpan w:val="2"/>
            <w:vMerge w:val="restart"/>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变电站工程防治区</w:t>
            </w:r>
          </w:p>
        </w:tc>
        <w:tc>
          <w:tcPr>
            <w:tcW w:w="507" w:type="pct"/>
            <w:gridSpan w:val="3"/>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主体工程防治区</w:t>
            </w:r>
          </w:p>
        </w:tc>
        <w:tc>
          <w:tcPr>
            <w:tcW w:w="1450" w:type="pct"/>
            <w:gridSpan w:val="8"/>
            <w:tcBorders>
              <w:tl2br w:val="nil"/>
              <w:tr2bl w:val="nil"/>
            </w:tcBorders>
            <w:vAlign w:val="center"/>
          </w:tcPr>
          <w:p>
            <w:pPr>
              <w:keepNext w:val="0"/>
              <w:keepLines w:val="0"/>
              <w:widowControl/>
              <w:suppressLineNumbers w:val="0"/>
              <w:spacing w:before="0" w:beforeAutospacing="0" w:after="0" w:afterAutospacing="0" w:line="240" w:lineRule="auto"/>
              <w:ind w:left="0" w:right="0"/>
              <w:jc w:val="left"/>
              <w:textAlignment w:val="center"/>
              <w:rPr>
                <w:rFonts w:eastAsia="仿宋_GB2312"/>
                <w:color w:val="auto"/>
                <w:kern w:val="0"/>
                <w:sz w:val="18"/>
                <w:szCs w:val="18"/>
                <w:lang w:bidi="ar"/>
              </w:rPr>
            </w:pPr>
            <w:r>
              <w:rPr>
                <w:rFonts w:eastAsia="仿宋_GB2312"/>
                <w:color w:val="auto"/>
                <w:kern w:val="0"/>
                <w:sz w:val="18"/>
                <w:szCs w:val="18"/>
                <w:lang w:bidi="ar"/>
              </w:rPr>
              <w:t>主体设计：土地整治1.53hm</w:t>
            </w:r>
            <w:r>
              <w:rPr>
                <w:rFonts w:eastAsia="仿宋_GB2312"/>
                <w:color w:val="auto"/>
                <w:kern w:val="0"/>
                <w:sz w:val="18"/>
                <w:szCs w:val="18"/>
                <w:vertAlign w:val="superscript"/>
                <w:lang w:bidi="ar"/>
              </w:rPr>
              <w:t>2</w:t>
            </w:r>
          </w:p>
          <w:p>
            <w:pPr>
              <w:keepNext w:val="0"/>
              <w:keepLines w:val="0"/>
              <w:widowControl/>
              <w:suppressLineNumbers w:val="0"/>
              <w:spacing w:before="0" w:beforeAutospacing="0" w:after="0" w:afterAutospacing="0" w:line="240" w:lineRule="auto"/>
              <w:ind w:left="0" w:right="0"/>
              <w:jc w:val="left"/>
              <w:textAlignment w:val="center"/>
              <w:rPr>
                <w:rFonts w:eastAsia="仿宋_GB2312"/>
                <w:color w:val="auto"/>
                <w:kern w:val="0"/>
                <w:sz w:val="18"/>
                <w:szCs w:val="18"/>
                <w:lang w:bidi="ar"/>
              </w:rPr>
            </w:pPr>
            <w:r>
              <w:rPr>
                <w:rFonts w:eastAsia="仿宋_GB2312"/>
                <w:color w:val="auto"/>
                <w:kern w:val="0"/>
                <w:sz w:val="18"/>
                <w:szCs w:val="18"/>
                <w:lang w:bidi="ar"/>
              </w:rPr>
              <w:t>方案新增：表土剥离0.39万m</w:t>
            </w:r>
            <w:r>
              <w:rPr>
                <w:rFonts w:eastAsia="仿宋_GB2312"/>
                <w:color w:val="auto"/>
                <w:kern w:val="0"/>
                <w:sz w:val="18"/>
                <w:szCs w:val="18"/>
                <w:vertAlign w:val="superscript"/>
                <w:lang w:bidi="ar"/>
              </w:rPr>
              <w:t>3</w:t>
            </w:r>
            <w:r>
              <w:rPr>
                <w:rFonts w:eastAsia="仿宋_GB2312"/>
                <w:color w:val="auto"/>
                <w:kern w:val="0"/>
                <w:sz w:val="18"/>
                <w:szCs w:val="18"/>
                <w:lang w:bidi="ar"/>
              </w:rPr>
              <w:t>，表土回覆0.39万m</w:t>
            </w:r>
            <w:r>
              <w:rPr>
                <w:rFonts w:eastAsia="仿宋_GB2312"/>
                <w:color w:val="auto"/>
                <w:kern w:val="0"/>
                <w:sz w:val="18"/>
                <w:szCs w:val="18"/>
                <w:vertAlign w:val="superscript"/>
                <w:lang w:bidi="ar"/>
              </w:rPr>
              <w:t>3</w:t>
            </w:r>
          </w:p>
        </w:tc>
        <w:tc>
          <w:tcPr>
            <w:tcW w:w="1213" w:type="pct"/>
            <w:gridSpan w:val="9"/>
            <w:tcBorders>
              <w:tl2br w:val="nil"/>
              <w:tr2bl w:val="nil"/>
            </w:tcBorders>
            <w:vAlign w:val="center"/>
          </w:tcPr>
          <w:p>
            <w:pPr>
              <w:keepNext w:val="0"/>
              <w:keepLines w:val="0"/>
              <w:widowControl/>
              <w:suppressLineNumbers w:val="0"/>
              <w:spacing w:before="0" w:beforeAutospacing="0" w:after="0" w:afterAutospacing="0" w:line="240" w:lineRule="auto"/>
              <w:ind w:left="0" w:right="0"/>
              <w:jc w:val="left"/>
              <w:textAlignment w:val="center"/>
              <w:rPr>
                <w:rFonts w:eastAsia="仿宋_GB2312"/>
                <w:color w:val="auto"/>
                <w:kern w:val="0"/>
                <w:sz w:val="18"/>
                <w:szCs w:val="18"/>
              </w:rPr>
            </w:pPr>
            <w:r>
              <w:rPr>
                <w:rFonts w:eastAsia="仿宋_GB2312"/>
                <w:color w:val="auto"/>
                <w:kern w:val="0"/>
                <w:sz w:val="18"/>
                <w:szCs w:val="18"/>
                <w:lang w:bidi="ar"/>
              </w:rPr>
              <w:t>主体设计：植草皮1.53hm</w:t>
            </w:r>
            <w:r>
              <w:rPr>
                <w:rFonts w:eastAsia="仿宋_GB2312"/>
                <w:color w:val="auto"/>
                <w:kern w:val="0"/>
                <w:sz w:val="18"/>
                <w:szCs w:val="18"/>
                <w:vertAlign w:val="superscript"/>
                <w:lang w:bidi="ar"/>
              </w:rPr>
              <w:t>2</w:t>
            </w:r>
          </w:p>
        </w:tc>
        <w:tc>
          <w:tcPr>
            <w:tcW w:w="1279" w:type="pct"/>
            <w:gridSpan w:val="5"/>
            <w:tcBorders>
              <w:tl2br w:val="nil"/>
              <w:tr2bl w:val="nil"/>
            </w:tcBorders>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eastAsia="仿宋_GB2312"/>
                <w:color w:val="auto"/>
                <w:sz w:val="18"/>
                <w:szCs w:val="18"/>
                <w:lang w:val="en-US" w:eastAsia="zh-CN"/>
              </w:rPr>
            </w:pPr>
            <w:r>
              <w:rPr>
                <w:rFonts w:hint="eastAsia" w:eastAsia="仿宋_GB2312"/>
                <w:color w:val="auto"/>
                <w:sz w:val="18"/>
                <w:szCs w:val="1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1" w:type="pct"/>
            <w:vMerge w:val="continue"/>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p>
        </w:tc>
        <w:tc>
          <w:tcPr>
            <w:tcW w:w="317" w:type="pct"/>
            <w:gridSpan w:val="2"/>
            <w:vMerge w:val="continue"/>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p>
        </w:tc>
        <w:tc>
          <w:tcPr>
            <w:tcW w:w="507" w:type="pct"/>
            <w:gridSpan w:val="3"/>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hint="eastAsia" w:eastAsia="仿宋_GB2312"/>
                <w:color w:val="auto"/>
                <w:kern w:val="0"/>
                <w:sz w:val="18"/>
                <w:szCs w:val="18"/>
              </w:rPr>
              <w:t>临时堆场区</w:t>
            </w:r>
          </w:p>
        </w:tc>
        <w:tc>
          <w:tcPr>
            <w:tcW w:w="1450" w:type="pct"/>
            <w:gridSpan w:val="8"/>
            <w:tcBorders>
              <w:tl2br w:val="nil"/>
              <w:tr2bl w:val="nil"/>
            </w:tcBorders>
            <w:vAlign w:val="center"/>
          </w:tcPr>
          <w:p>
            <w:pPr>
              <w:keepNext w:val="0"/>
              <w:keepLines w:val="0"/>
              <w:widowControl/>
              <w:suppressLineNumbers w:val="0"/>
              <w:spacing w:before="0" w:beforeAutospacing="0" w:after="0" w:afterAutospacing="0" w:line="240" w:lineRule="auto"/>
              <w:ind w:left="0" w:right="0"/>
              <w:jc w:val="left"/>
              <w:textAlignment w:val="center"/>
              <w:rPr>
                <w:rFonts w:eastAsia="仿宋_GB2312"/>
                <w:color w:val="auto"/>
                <w:kern w:val="0"/>
                <w:sz w:val="18"/>
                <w:szCs w:val="18"/>
                <w:lang w:bidi="ar"/>
              </w:rPr>
            </w:pPr>
            <w:r>
              <w:rPr>
                <w:rFonts w:eastAsia="仿宋_GB2312"/>
                <w:color w:val="auto"/>
                <w:kern w:val="0"/>
                <w:sz w:val="18"/>
                <w:szCs w:val="18"/>
                <w:lang w:bidi="ar"/>
              </w:rPr>
              <w:t>方案新增：土地整治0.36hm</w:t>
            </w:r>
            <w:r>
              <w:rPr>
                <w:rFonts w:eastAsia="仿宋_GB2312"/>
                <w:color w:val="auto"/>
                <w:kern w:val="0"/>
                <w:sz w:val="18"/>
                <w:szCs w:val="18"/>
                <w:vertAlign w:val="superscript"/>
                <w:lang w:bidi="ar"/>
              </w:rPr>
              <w:t>2</w:t>
            </w:r>
          </w:p>
          <w:p>
            <w:pPr>
              <w:keepNext w:val="0"/>
              <w:keepLines w:val="0"/>
              <w:widowControl/>
              <w:suppressLineNumbers w:val="0"/>
              <w:spacing w:before="0" w:beforeAutospacing="0" w:after="0" w:afterAutospacing="0" w:line="240" w:lineRule="auto"/>
              <w:ind w:left="0" w:right="0"/>
              <w:jc w:val="left"/>
              <w:textAlignment w:val="center"/>
              <w:rPr>
                <w:rFonts w:eastAsia="仿宋_GB2312"/>
                <w:color w:val="auto"/>
                <w:kern w:val="0"/>
                <w:sz w:val="18"/>
                <w:szCs w:val="18"/>
                <w:lang w:bidi="ar"/>
              </w:rPr>
            </w:pPr>
          </w:p>
        </w:tc>
        <w:tc>
          <w:tcPr>
            <w:tcW w:w="1213" w:type="pct"/>
            <w:gridSpan w:val="9"/>
            <w:tcBorders>
              <w:tl2br w:val="nil"/>
              <w:tr2bl w:val="nil"/>
            </w:tcBorders>
            <w:vAlign w:val="center"/>
          </w:tcPr>
          <w:p>
            <w:pPr>
              <w:keepNext w:val="0"/>
              <w:keepLines w:val="0"/>
              <w:widowControl/>
              <w:suppressLineNumbers w:val="0"/>
              <w:spacing w:before="0" w:beforeAutospacing="0" w:after="0" w:afterAutospacing="0" w:line="240" w:lineRule="auto"/>
              <w:ind w:left="0" w:right="0"/>
              <w:jc w:val="left"/>
              <w:textAlignment w:val="center"/>
              <w:rPr>
                <w:rFonts w:eastAsia="仿宋_GB2312"/>
                <w:color w:val="auto"/>
                <w:kern w:val="0"/>
                <w:sz w:val="18"/>
                <w:szCs w:val="18"/>
                <w:lang w:bidi="ar"/>
              </w:rPr>
            </w:pPr>
            <w:r>
              <w:rPr>
                <w:rFonts w:eastAsia="仿宋_GB2312"/>
                <w:color w:val="auto"/>
                <w:kern w:val="0"/>
                <w:sz w:val="18"/>
                <w:szCs w:val="18"/>
                <w:lang w:bidi="ar"/>
              </w:rPr>
              <w:t>方案新增：撒播草籽0.10hm</w:t>
            </w:r>
            <w:r>
              <w:rPr>
                <w:rFonts w:eastAsia="仿宋_GB2312"/>
                <w:color w:val="auto"/>
                <w:kern w:val="0"/>
                <w:sz w:val="18"/>
                <w:szCs w:val="18"/>
                <w:vertAlign w:val="superscript"/>
                <w:lang w:bidi="ar"/>
              </w:rPr>
              <w:t>2</w:t>
            </w:r>
          </w:p>
        </w:tc>
        <w:tc>
          <w:tcPr>
            <w:tcW w:w="1279" w:type="pct"/>
            <w:gridSpan w:val="5"/>
            <w:tcBorders>
              <w:tl2br w:val="nil"/>
              <w:tr2bl w:val="nil"/>
            </w:tcBorders>
            <w:vAlign w:val="center"/>
          </w:tcPr>
          <w:p>
            <w:pPr>
              <w:keepNext w:val="0"/>
              <w:keepLines w:val="0"/>
              <w:widowControl/>
              <w:suppressLineNumbers w:val="0"/>
              <w:spacing w:before="0" w:beforeAutospacing="0" w:after="0" w:afterAutospacing="0" w:line="240" w:lineRule="auto"/>
              <w:ind w:left="0" w:right="0"/>
              <w:jc w:val="left"/>
              <w:textAlignment w:val="center"/>
              <w:rPr>
                <w:rFonts w:eastAsia="仿宋_GB2312"/>
                <w:color w:val="auto"/>
                <w:kern w:val="0"/>
                <w:sz w:val="18"/>
                <w:szCs w:val="18"/>
                <w:lang w:bidi="ar"/>
              </w:rPr>
            </w:pPr>
            <w:r>
              <w:rPr>
                <w:rFonts w:eastAsia="仿宋_GB2312"/>
                <w:color w:val="auto"/>
                <w:kern w:val="0"/>
                <w:sz w:val="18"/>
                <w:szCs w:val="18"/>
                <w:lang w:bidi="ar"/>
              </w:rPr>
              <w:t>方案新增：彩条布遮盖</w:t>
            </w:r>
            <w:r>
              <w:rPr>
                <w:rFonts w:hint="eastAsia" w:eastAsia="仿宋_GB2312"/>
                <w:color w:val="auto"/>
                <w:kern w:val="0"/>
                <w:sz w:val="18"/>
                <w:szCs w:val="18"/>
                <w:lang w:bidi="ar"/>
              </w:rPr>
              <w:t>2000</w:t>
            </w:r>
            <w:r>
              <w:rPr>
                <w:rFonts w:eastAsia="仿宋_GB2312"/>
                <w:color w:val="auto"/>
                <w:kern w:val="0"/>
                <w:sz w:val="18"/>
                <w:szCs w:val="18"/>
                <w:lang w:bidi="ar"/>
              </w:rPr>
              <w:t>m</w:t>
            </w:r>
            <w:r>
              <w:rPr>
                <w:rFonts w:eastAsia="仿宋_GB2312"/>
                <w:color w:val="auto"/>
                <w:kern w:val="0"/>
                <w:sz w:val="18"/>
                <w:szCs w:val="18"/>
                <w:vertAlign w:val="superscript"/>
                <w:lang w:bidi="ar"/>
              </w:rPr>
              <w:t>2</w:t>
            </w:r>
            <w:r>
              <w:rPr>
                <w:rFonts w:eastAsia="仿宋_GB2312"/>
                <w:color w:val="auto"/>
                <w:kern w:val="0"/>
                <w:sz w:val="18"/>
                <w:szCs w:val="18"/>
                <w:lang w:bidi="ar"/>
              </w:rPr>
              <w:t>，填土编织袋拦挡</w:t>
            </w:r>
            <w:r>
              <w:rPr>
                <w:rFonts w:hint="eastAsia" w:eastAsia="仿宋_GB2312"/>
                <w:color w:val="auto"/>
                <w:kern w:val="0"/>
                <w:sz w:val="18"/>
                <w:szCs w:val="18"/>
                <w:lang w:bidi="ar"/>
              </w:rPr>
              <w:t>320</w:t>
            </w:r>
            <w:r>
              <w:rPr>
                <w:rFonts w:eastAsia="仿宋_GB2312"/>
                <w:color w:val="auto"/>
                <w:kern w:val="0"/>
                <w:sz w:val="18"/>
                <w:szCs w:val="18"/>
                <w:lang w:bidi="ar"/>
              </w:rPr>
              <w:t>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1" w:type="pct"/>
            <w:vMerge w:val="continue"/>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p>
        </w:tc>
        <w:tc>
          <w:tcPr>
            <w:tcW w:w="317" w:type="pct"/>
            <w:gridSpan w:val="2"/>
            <w:vMerge w:val="restart"/>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线路工程防治区</w:t>
            </w:r>
          </w:p>
        </w:tc>
        <w:tc>
          <w:tcPr>
            <w:tcW w:w="507" w:type="pct"/>
            <w:gridSpan w:val="3"/>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塔基工程防治区</w:t>
            </w:r>
          </w:p>
        </w:tc>
        <w:tc>
          <w:tcPr>
            <w:tcW w:w="1450" w:type="pct"/>
            <w:gridSpan w:val="8"/>
            <w:tcBorders>
              <w:tl2br w:val="nil"/>
              <w:tr2bl w:val="nil"/>
            </w:tcBorders>
            <w:vAlign w:val="center"/>
          </w:tcPr>
          <w:p>
            <w:pPr>
              <w:keepNext w:val="0"/>
              <w:keepLines w:val="0"/>
              <w:widowControl/>
              <w:suppressLineNumbers w:val="0"/>
              <w:spacing w:before="0" w:beforeAutospacing="0" w:after="0" w:afterAutospacing="0" w:line="240" w:lineRule="auto"/>
              <w:ind w:left="0" w:right="0"/>
              <w:jc w:val="left"/>
              <w:textAlignment w:val="center"/>
              <w:rPr>
                <w:rFonts w:eastAsia="仿宋_GB2312"/>
                <w:color w:val="auto"/>
                <w:kern w:val="0"/>
                <w:sz w:val="18"/>
                <w:szCs w:val="18"/>
                <w:lang w:bidi="ar"/>
              </w:rPr>
            </w:pPr>
            <w:r>
              <w:rPr>
                <w:rFonts w:eastAsia="仿宋_GB2312"/>
                <w:color w:val="auto"/>
                <w:kern w:val="0"/>
                <w:sz w:val="18"/>
                <w:szCs w:val="18"/>
                <w:lang w:bidi="ar"/>
              </w:rPr>
              <w:t>主体设计：排水沟135m，挡土坎</w:t>
            </w:r>
            <w:r>
              <w:rPr>
                <w:rFonts w:hint="eastAsia" w:eastAsia="仿宋_GB2312"/>
                <w:color w:val="auto"/>
                <w:kern w:val="0"/>
                <w:sz w:val="18"/>
                <w:szCs w:val="18"/>
                <w:lang w:bidi="ar"/>
              </w:rPr>
              <w:t>111</w:t>
            </w:r>
            <w:r>
              <w:rPr>
                <w:rFonts w:eastAsia="仿宋_GB2312"/>
                <w:color w:val="auto"/>
                <w:kern w:val="0"/>
                <w:sz w:val="18"/>
                <w:szCs w:val="18"/>
                <w:lang w:bidi="ar"/>
              </w:rPr>
              <w:t>m，土地整治</w:t>
            </w:r>
            <w:r>
              <w:rPr>
                <w:rFonts w:hint="eastAsia" w:eastAsia="仿宋_GB2312"/>
                <w:color w:val="auto"/>
                <w:kern w:val="0"/>
                <w:sz w:val="18"/>
                <w:szCs w:val="18"/>
                <w:lang w:bidi="ar"/>
              </w:rPr>
              <w:t>59.50</w:t>
            </w:r>
            <w:r>
              <w:rPr>
                <w:rFonts w:eastAsia="仿宋_GB2312"/>
                <w:color w:val="auto"/>
                <w:kern w:val="0"/>
                <w:sz w:val="18"/>
                <w:szCs w:val="18"/>
                <w:lang w:bidi="ar"/>
              </w:rPr>
              <w:t>hm</w:t>
            </w:r>
            <w:r>
              <w:rPr>
                <w:rFonts w:eastAsia="仿宋_GB2312"/>
                <w:color w:val="auto"/>
                <w:kern w:val="0"/>
                <w:sz w:val="18"/>
                <w:szCs w:val="18"/>
                <w:vertAlign w:val="superscript"/>
                <w:lang w:bidi="ar"/>
              </w:rPr>
              <w:t>2</w:t>
            </w:r>
          </w:p>
          <w:p>
            <w:pPr>
              <w:keepNext w:val="0"/>
              <w:keepLines w:val="0"/>
              <w:widowControl/>
              <w:suppressLineNumbers w:val="0"/>
              <w:spacing w:before="0" w:beforeAutospacing="0" w:after="0" w:afterAutospacing="0" w:line="240" w:lineRule="auto"/>
              <w:ind w:left="0" w:right="0"/>
              <w:jc w:val="left"/>
              <w:textAlignment w:val="center"/>
              <w:rPr>
                <w:rFonts w:eastAsia="仿宋_GB2312"/>
                <w:color w:val="auto"/>
                <w:kern w:val="0"/>
                <w:sz w:val="18"/>
                <w:szCs w:val="18"/>
              </w:rPr>
            </w:pPr>
            <w:r>
              <w:rPr>
                <w:rFonts w:eastAsia="仿宋_GB2312"/>
                <w:color w:val="auto"/>
                <w:kern w:val="0"/>
                <w:sz w:val="18"/>
                <w:szCs w:val="18"/>
                <w:lang w:bidi="ar"/>
              </w:rPr>
              <w:t>方案新增：</w:t>
            </w:r>
            <w:r>
              <w:rPr>
                <w:rFonts w:hint="eastAsia" w:eastAsia="仿宋_GB2312"/>
                <w:color w:val="auto"/>
                <w:kern w:val="0"/>
                <w:sz w:val="18"/>
                <w:szCs w:val="18"/>
                <w:lang w:bidi="ar"/>
              </w:rPr>
              <w:t>排水沟957m，</w:t>
            </w:r>
            <w:r>
              <w:rPr>
                <w:rFonts w:eastAsia="仿宋_GB2312"/>
                <w:color w:val="auto"/>
                <w:kern w:val="0"/>
                <w:sz w:val="18"/>
                <w:szCs w:val="18"/>
                <w:lang w:bidi="ar"/>
              </w:rPr>
              <w:t>表土剥离</w:t>
            </w:r>
            <w:r>
              <w:rPr>
                <w:rFonts w:hint="eastAsia" w:eastAsia="仿宋_GB2312"/>
                <w:color w:val="auto"/>
                <w:kern w:val="0"/>
                <w:sz w:val="18"/>
                <w:szCs w:val="18"/>
                <w:lang w:bidi="ar"/>
              </w:rPr>
              <w:t>5.07</w:t>
            </w:r>
            <w:r>
              <w:rPr>
                <w:rFonts w:eastAsia="仿宋_GB2312"/>
                <w:color w:val="auto"/>
                <w:kern w:val="0"/>
                <w:sz w:val="18"/>
                <w:szCs w:val="18"/>
                <w:lang w:bidi="ar"/>
              </w:rPr>
              <w:t>万m</w:t>
            </w:r>
            <w:r>
              <w:rPr>
                <w:rFonts w:eastAsia="仿宋_GB2312"/>
                <w:color w:val="auto"/>
                <w:kern w:val="0"/>
                <w:sz w:val="18"/>
                <w:szCs w:val="18"/>
                <w:vertAlign w:val="superscript"/>
                <w:lang w:bidi="ar"/>
              </w:rPr>
              <w:t>3</w:t>
            </w:r>
            <w:r>
              <w:rPr>
                <w:rFonts w:eastAsia="仿宋_GB2312"/>
                <w:color w:val="auto"/>
                <w:kern w:val="0"/>
                <w:sz w:val="18"/>
                <w:szCs w:val="18"/>
                <w:lang w:bidi="ar"/>
              </w:rPr>
              <w:t>，表土回覆</w:t>
            </w:r>
            <w:r>
              <w:rPr>
                <w:rFonts w:hint="eastAsia" w:eastAsia="仿宋_GB2312"/>
                <w:color w:val="auto"/>
                <w:kern w:val="0"/>
                <w:sz w:val="18"/>
                <w:szCs w:val="18"/>
                <w:lang w:bidi="ar"/>
              </w:rPr>
              <w:t>5.07</w:t>
            </w:r>
            <w:r>
              <w:rPr>
                <w:rFonts w:eastAsia="仿宋_GB2312"/>
                <w:color w:val="auto"/>
                <w:kern w:val="0"/>
                <w:sz w:val="18"/>
                <w:szCs w:val="18"/>
                <w:lang w:bidi="ar"/>
              </w:rPr>
              <w:t>万m</w:t>
            </w:r>
            <w:r>
              <w:rPr>
                <w:rFonts w:eastAsia="仿宋_GB2312"/>
                <w:color w:val="auto"/>
                <w:kern w:val="0"/>
                <w:sz w:val="18"/>
                <w:szCs w:val="18"/>
                <w:vertAlign w:val="superscript"/>
                <w:lang w:bidi="ar"/>
              </w:rPr>
              <w:t>3</w:t>
            </w:r>
          </w:p>
        </w:tc>
        <w:tc>
          <w:tcPr>
            <w:tcW w:w="1213" w:type="pct"/>
            <w:gridSpan w:val="9"/>
            <w:tcBorders>
              <w:tl2br w:val="nil"/>
              <w:tr2bl w:val="nil"/>
            </w:tcBorders>
            <w:vAlign w:val="center"/>
          </w:tcPr>
          <w:p>
            <w:pPr>
              <w:keepNext w:val="0"/>
              <w:keepLines w:val="0"/>
              <w:widowControl/>
              <w:suppressLineNumbers w:val="0"/>
              <w:spacing w:before="0" w:beforeAutospacing="0" w:after="0" w:afterAutospacing="0" w:line="240" w:lineRule="auto"/>
              <w:ind w:left="0" w:right="0"/>
              <w:jc w:val="left"/>
              <w:textAlignment w:val="center"/>
              <w:rPr>
                <w:rFonts w:eastAsia="仿宋_GB2312"/>
                <w:color w:val="auto"/>
                <w:kern w:val="0"/>
                <w:sz w:val="18"/>
                <w:szCs w:val="18"/>
              </w:rPr>
            </w:pPr>
            <w:r>
              <w:rPr>
                <w:rFonts w:eastAsia="仿宋_GB2312"/>
                <w:color w:val="auto"/>
                <w:kern w:val="0"/>
                <w:sz w:val="18"/>
                <w:szCs w:val="18"/>
                <w:lang w:bidi="ar"/>
              </w:rPr>
              <w:t>主体设计：栽植</w:t>
            </w:r>
            <w:r>
              <w:rPr>
                <w:rFonts w:hint="eastAsia" w:eastAsia="仿宋_GB2312"/>
                <w:color w:val="auto"/>
                <w:kern w:val="0"/>
                <w:sz w:val="18"/>
                <w:szCs w:val="18"/>
                <w:lang w:bidi="ar"/>
              </w:rPr>
              <w:t>乔灌木22428</w:t>
            </w:r>
            <w:r>
              <w:rPr>
                <w:rFonts w:eastAsia="仿宋_GB2312"/>
                <w:color w:val="auto"/>
                <w:kern w:val="0"/>
                <w:sz w:val="18"/>
                <w:szCs w:val="18"/>
                <w:lang w:bidi="ar"/>
              </w:rPr>
              <w:t>株，撒播草籽</w:t>
            </w:r>
            <w:r>
              <w:rPr>
                <w:rFonts w:hint="eastAsia" w:eastAsia="仿宋_GB2312"/>
                <w:color w:val="auto"/>
                <w:kern w:val="0"/>
                <w:sz w:val="18"/>
                <w:szCs w:val="18"/>
                <w:lang w:bidi="ar"/>
              </w:rPr>
              <w:t>28.35</w:t>
            </w:r>
            <w:r>
              <w:rPr>
                <w:rFonts w:eastAsia="仿宋_GB2312"/>
                <w:color w:val="auto"/>
                <w:kern w:val="0"/>
                <w:sz w:val="18"/>
                <w:szCs w:val="18"/>
                <w:lang w:bidi="ar"/>
              </w:rPr>
              <w:t>hm</w:t>
            </w:r>
            <w:r>
              <w:rPr>
                <w:rFonts w:eastAsia="仿宋_GB2312"/>
                <w:color w:val="auto"/>
                <w:kern w:val="0"/>
                <w:sz w:val="18"/>
                <w:szCs w:val="18"/>
                <w:vertAlign w:val="superscript"/>
                <w:lang w:bidi="ar"/>
              </w:rPr>
              <w:t>2</w:t>
            </w:r>
          </w:p>
        </w:tc>
        <w:tc>
          <w:tcPr>
            <w:tcW w:w="1279" w:type="pct"/>
            <w:gridSpan w:val="5"/>
            <w:tcBorders>
              <w:tl2br w:val="nil"/>
              <w:tr2bl w:val="nil"/>
            </w:tcBorders>
            <w:vAlign w:val="center"/>
          </w:tcPr>
          <w:p>
            <w:pPr>
              <w:keepNext w:val="0"/>
              <w:keepLines w:val="0"/>
              <w:widowControl/>
              <w:suppressLineNumbers w:val="0"/>
              <w:spacing w:before="0" w:beforeAutospacing="0" w:after="0" w:afterAutospacing="0" w:line="240" w:lineRule="auto"/>
              <w:ind w:left="0" w:right="0"/>
              <w:jc w:val="left"/>
              <w:textAlignment w:val="center"/>
              <w:rPr>
                <w:rFonts w:eastAsia="仿宋_GB2312"/>
                <w:color w:val="auto"/>
                <w:sz w:val="18"/>
                <w:szCs w:val="18"/>
              </w:rPr>
            </w:pPr>
            <w:r>
              <w:rPr>
                <w:rFonts w:eastAsia="仿宋_GB2312"/>
                <w:color w:val="auto"/>
                <w:kern w:val="0"/>
                <w:sz w:val="18"/>
                <w:szCs w:val="18"/>
                <w:lang w:bidi="ar"/>
              </w:rPr>
              <w:t>方案新增：填土编织袋拦挡11300m，彩条布遮盖13120m</w:t>
            </w:r>
            <w:r>
              <w:rPr>
                <w:rFonts w:eastAsia="仿宋_GB2312"/>
                <w:color w:val="auto"/>
                <w:kern w:val="0"/>
                <w:sz w:val="18"/>
                <w:szCs w:val="18"/>
                <w:vertAlign w:val="superscript"/>
                <w:lang w:bidi="ar"/>
              </w:rPr>
              <w:t>2</w:t>
            </w:r>
            <w:r>
              <w:rPr>
                <w:rFonts w:eastAsia="仿宋_GB2312"/>
                <w:color w:val="auto"/>
                <w:kern w:val="0"/>
                <w:sz w:val="18"/>
                <w:szCs w:val="18"/>
                <w:lang w:bidi="ar"/>
              </w:rPr>
              <w:t>，临时沉沙池34口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1" w:type="pct"/>
            <w:vMerge w:val="continue"/>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p>
        </w:tc>
        <w:tc>
          <w:tcPr>
            <w:tcW w:w="317" w:type="pct"/>
            <w:gridSpan w:val="2"/>
            <w:vMerge w:val="continue"/>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sz w:val="18"/>
                <w:szCs w:val="18"/>
              </w:rPr>
            </w:pPr>
          </w:p>
        </w:tc>
        <w:tc>
          <w:tcPr>
            <w:tcW w:w="507" w:type="pct"/>
            <w:gridSpan w:val="3"/>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sz w:val="18"/>
                <w:szCs w:val="18"/>
              </w:rPr>
            </w:pPr>
            <w:r>
              <w:rPr>
                <w:rFonts w:eastAsia="仿宋_GB2312"/>
                <w:color w:val="auto"/>
                <w:sz w:val="18"/>
                <w:szCs w:val="18"/>
              </w:rPr>
              <w:t>施工便道防治区</w:t>
            </w:r>
          </w:p>
        </w:tc>
        <w:tc>
          <w:tcPr>
            <w:tcW w:w="1450" w:type="pct"/>
            <w:gridSpan w:val="8"/>
            <w:tcBorders>
              <w:tl2br w:val="nil"/>
              <w:tr2bl w:val="nil"/>
            </w:tcBorders>
            <w:vAlign w:val="center"/>
          </w:tcPr>
          <w:p>
            <w:pPr>
              <w:keepNext w:val="0"/>
              <w:keepLines w:val="0"/>
              <w:widowControl/>
              <w:suppressLineNumbers w:val="0"/>
              <w:spacing w:before="0" w:beforeAutospacing="0" w:after="0" w:afterAutospacing="0" w:line="240" w:lineRule="auto"/>
              <w:ind w:left="0" w:right="0"/>
              <w:jc w:val="left"/>
              <w:textAlignment w:val="center"/>
              <w:rPr>
                <w:rFonts w:eastAsia="仿宋_GB2312"/>
                <w:color w:val="auto"/>
                <w:kern w:val="0"/>
                <w:sz w:val="18"/>
                <w:szCs w:val="18"/>
                <w:lang w:bidi="ar"/>
              </w:rPr>
            </w:pPr>
            <w:r>
              <w:rPr>
                <w:rFonts w:eastAsia="仿宋_GB2312"/>
                <w:color w:val="auto"/>
                <w:kern w:val="0"/>
                <w:sz w:val="18"/>
                <w:szCs w:val="18"/>
                <w:lang w:bidi="ar"/>
              </w:rPr>
              <w:t>主体设计：土地整治</w:t>
            </w:r>
            <w:r>
              <w:rPr>
                <w:rFonts w:hint="eastAsia" w:eastAsia="仿宋_GB2312"/>
                <w:color w:val="auto"/>
                <w:kern w:val="0"/>
                <w:sz w:val="18"/>
                <w:szCs w:val="18"/>
                <w:lang w:bidi="ar"/>
              </w:rPr>
              <w:t>15.52</w:t>
            </w:r>
            <w:r>
              <w:rPr>
                <w:rFonts w:eastAsia="仿宋_GB2312"/>
                <w:color w:val="auto"/>
                <w:kern w:val="0"/>
                <w:sz w:val="18"/>
                <w:szCs w:val="18"/>
                <w:lang w:bidi="ar"/>
              </w:rPr>
              <w:t>hm</w:t>
            </w:r>
            <w:r>
              <w:rPr>
                <w:rFonts w:eastAsia="仿宋_GB2312"/>
                <w:color w:val="auto"/>
                <w:kern w:val="0"/>
                <w:sz w:val="18"/>
                <w:szCs w:val="18"/>
                <w:vertAlign w:val="superscript"/>
                <w:lang w:bidi="ar"/>
              </w:rPr>
              <w:t>2</w:t>
            </w:r>
          </w:p>
          <w:p>
            <w:pPr>
              <w:keepNext w:val="0"/>
              <w:keepLines w:val="0"/>
              <w:widowControl/>
              <w:suppressLineNumbers w:val="0"/>
              <w:spacing w:before="0" w:beforeAutospacing="0" w:after="0" w:afterAutospacing="0" w:line="240" w:lineRule="auto"/>
              <w:ind w:left="0" w:right="0"/>
              <w:jc w:val="left"/>
              <w:textAlignment w:val="center"/>
              <w:rPr>
                <w:rFonts w:eastAsia="仿宋_GB2312"/>
                <w:color w:val="auto"/>
                <w:kern w:val="0"/>
                <w:sz w:val="18"/>
                <w:szCs w:val="18"/>
                <w:lang w:bidi="ar"/>
              </w:rPr>
            </w:pPr>
            <w:r>
              <w:rPr>
                <w:rFonts w:eastAsia="仿宋_GB2312"/>
                <w:color w:val="auto"/>
                <w:kern w:val="0"/>
                <w:sz w:val="18"/>
                <w:szCs w:val="18"/>
                <w:lang w:bidi="ar"/>
              </w:rPr>
              <w:t>方案新增：表土剥离</w:t>
            </w:r>
            <w:r>
              <w:rPr>
                <w:rFonts w:hint="eastAsia" w:eastAsia="仿宋_GB2312"/>
                <w:color w:val="auto"/>
                <w:kern w:val="0"/>
                <w:sz w:val="18"/>
                <w:szCs w:val="18"/>
                <w:lang w:bidi="ar"/>
              </w:rPr>
              <w:t>3.53</w:t>
            </w:r>
            <w:r>
              <w:rPr>
                <w:rFonts w:eastAsia="仿宋_GB2312"/>
                <w:color w:val="auto"/>
                <w:kern w:val="0"/>
                <w:sz w:val="18"/>
                <w:szCs w:val="18"/>
                <w:lang w:bidi="ar"/>
              </w:rPr>
              <w:t>万m</w:t>
            </w:r>
            <w:r>
              <w:rPr>
                <w:rFonts w:eastAsia="仿宋_GB2312"/>
                <w:color w:val="auto"/>
                <w:kern w:val="0"/>
                <w:sz w:val="18"/>
                <w:szCs w:val="18"/>
                <w:vertAlign w:val="superscript"/>
                <w:lang w:bidi="ar"/>
              </w:rPr>
              <w:t>3</w:t>
            </w:r>
            <w:r>
              <w:rPr>
                <w:rFonts w:eastAsia="仿宋_GB2312"/>
                <w:color w:val="auto"/>
                <w:kern w:val="0"/>
                <w:sz w:val="18"/>
                <w:szCs w:val="18"/>
                <w:lang w:bidi="ar"/>
              </w:rPr>
              <w:t>，表土回覆</w:t>
            </w:r>
            <w:r>
              <w:rPr>
                <w:rFonts w:hint="eastAsia" w:eastAsia="仿宋_GB2312"/>
                <w:color w:val="auto"/>
                <w:kern w:val="0"/>
                <w:sz w:val="18"/>
                <w:szCs w:val="18"/>
                <w:lang w:bidi="ar"/>
              </w:rPr>
              <w:t>3.53</w:t>
            </w:r>
            <w:r>
              <w:rPr>
                <w:rFonts w:eastAsia="仿宋_GB2312"/>
                <w:color w:val="auto"/>
                <w:kern w:val="0"/>
                <w:sz w:val="18"/>
                <w:szCs w:val="18"/>
                <w:lang w:bidi="ar"/>
              </w:rPr>
              <w:t>万m</w:t>
            </w:r>
            <w:r>
              <w:rPr>
                <w:rFonts w:eastAsia="仿宋_GB2312"/>
                <w:color w:val="auto"/>
                <w:kern w:val="0"/>
                <w:sz w:val="18"/>
                <w:szCs w:val="18"/>
                <w:vertAlign w:val="superscript"/>
                <w:lang w:bidi="ar"/>
              </w:rPr>
              <w:t>3</w:t>
            </w:r>
          </w:p>
        </w:tc>
        <w:tc>
          <w:tcPr>
            <w:tcW w:w="1213" w:type="pct"/>
            <w:gridSpan w:val="9"/>
            <w:tcBorders>
              <w:tl2br w:val="nil"/>
              <w:tr2bl w:val="nil"/>
            </w:tcBorders>
            <w:vAlign w:val="center"/>
          </w:tcPr>
          <w:p>
            <w:pPr>
              <w:keepNext w:val="0"/>
              <w:keepLines w:val="0"/>
              <w:widowControl/>
              <w:suppressLineNumbers w:val="0"/>
              <w:spacing w:before="0" w:beforeAutospacing="0" w:after="0" w:afterAutospacing="0" w:line="240" w:lineRule="auto"/>
              <w:ind w:left="0" w:right="0"/>
              <w:jc w:val="left"/>
              <w:textAlignment w:val="center"/>
              <w:rPr>
                <w:rFonts w:eastAsia="仿宋_GB2312"/>
                <w:bCs/>
                <w:color w:val="auto"/>
                <w:kern w:val="0"/>
                <w:sz w:val="18"/>
                <w:szCs w:val="18"/>
                <w:lang w:bidi="en-US"/>
              </w:rPr>
            </w:pPr>
            <w:r>
              <w:rPr>
                <w:rFonts w:eastAsia="仿宋_GB2312"/>
                <w:color w:val="auto"/>
                <w:kern w:val="0"/>
                <w:sz w:val="18"/>
                <w:szCs w:val="18"/>
                <w:lang w:bidi="ar"/>
              </w:rPr>
              <w:t>主体设计：栽植</w:t>
            </w:r>
            <w:r>
              <w:rPr>
                <w:rFonts w:hint="eastAsia" w:eastAsia="仿宋_GB2312"/>
                <w:color w:val="auto"/>
                <w:kern w:val="0"/>
                <w:sz w:val="18"/>
                <w:szCs w:val="18"/>
                <w:lang w:bidi="ar"/>
              </w:rPr>
              <w:t>乔灌木11339</w:t>
            </w:r>
            <w:r>
              <w:rPr>
                <w:rFonts w:eastAsia="仿宋_GB2312"/>
                <w:color w:val="auto"/>
                <w:kern w:val="0"/>
                <w:sz w:val="18"/>
                <w:szCs w:val="18"/>
                <w:lang w:bidi="ar"/>
              </w:rPr>
              <w:t>株，撒播草籽</w:t>
            </w:r>
            <w:r>
              <w:rPr>
                <w:rFonts w:hint="eastAsia" w:eastAsia="仿宋_GB2312"/>
                <w:color w:val="auto"/>
                <w:kern w:val="0"/>
                <w:sz w:val="18"/>
                <w:szCs w:val="18"/>
                <w:lang w:bidi="ar"/>
              </w:rPr>
              <w:t>9.52</w:t>
            </w:r>
            <w:r>
              <w:rPr>
                <w:rFonts w:eastAsia="仿宋_GB2312"/>
                <w:color w:val="auto"/>
                <w:kern w:val="0"/>
                <w:sz w:val="18"/>
                <w:szCs w:val="18"/>
                <w:lang w:bidi="ar"/>
              </w:rPr>
              <w:t>hm</w:t>
            </w:r>
            <w:r>
              <w:rPr>
                <w:rFonts w:eastAsia="仿宋_GB2312"/>
                <w:color w:val="auto"/>
                <w:kern w:val="0"/>
                <w:sz w:val="18"/>
                <w:szCs w:val="18"/>
                <w:vertAlign w:val="superscript"/>
                <w:lang w:bidi="ar"/>
              </w:rPr>
              <w:t>2</w:t>
            </w:r>
          </w:p>
        </w:tc>
        <w:tc>
          <w:tcPr>
            <w:tcW w:w="1279" w:type="pct"/>
            <w:gridSpan w:val="5"/>
            <w:tcBorders>
              <w:tl2br w:val="nil"/>
              <w:tr2bl w:val="nil"/>
            </w:tcBorders>
            <w:vAlign w:val="center"/>
          </w:tcPr>
          <w:p>
            <w:pPr>
              <w:keepNext w:val="0"/>
              <w:keepLines w:val="0"/>
              <w:widowControl/>
              <w:suppressLineNumbers w:val="0"/>
              <w:spacing w:before="0" w:beforeAutospacing="0" w:after="0" w:afterAutospacing="0" w:line="240" w:lineRule="auto"/>
              <w:ind w:left="0" w:right="0"/>
              <w:jc w:val="left"/>
              <w:textAlignment w:val="center"/>
              <w:rPr>
                <w:rFonts w:eastAsia="仿宋_GB2312"/>
                <w:color w:val="auto"/>
                <w:sz w:val="18"/>
                <w:szCs w:val="18"/>
              </w:rPr>
            </w:pPr>
            <w:r>
              <w:rPr>
                <w:rFonts w:eastAsia="仿宋_GB2312"/>
                <w:color w:val="auto"/>
                <w:kern w:val="0"/>
                <w:sz w:val="18"/>
                <w:szCs w:val="18"/>
                <w:lang w:bidi="ar"/>
              </w:rPr>
              <w:t>方案新增：临时排水沟10480m，临时沉沙池71口，填土编织袋拦挡3650m</w:t>
            </w:r>
            <w:r>
              <w:rPr>
                <w:rFonts w:eastAsia="仿宋_GB2312"/>
                <w:color w:val="auto"/>
                <w:sz w:val="24"/>
              </w:rPr>
              <w:t>，</w:t>
            </w:r>
            <w:r>
              <w:rPr>
                <w:rFonts w:eastAsia="仿宋_GB2312"/>
                <w:color w:val="auto"/>
                <w:kern w:val="0"/>
                <w:sz w:val="18"/>
                <w:szCs w:val="18"/>
                <w:lang w:bidi="ar"/>
              </w:rPr>
              <w:t>彩条布遮盖14500m</w:t>
            </w:r>
            <w:r>
              <w:rPr>
                <w:rFonts w:eastAsia="仿宋_GB2312"/>
                <w:color w:val="auto"/>
                <w:kern w:val="0"/>
                <w:sz w:val="18"/>
                <w:szCs w:val="18"/>
                <w:vertAlign w:val="superscript"/>
                <w:lang w:bidi="ar"/>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1" w:type="pct"/>
            <w:vMerge w:val="continue"/>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p>
        </w:tc>
        <w:tc>
          <w:tcPr>
            <w:tcW w:w="317" w:type="pct"/>
            <w:gridSpan w:val="2"/>
            <w:vMerge w:val="continue"/>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sz w:val="18"/>
                <w:szCs w:val="18"/>
              </w:rPr>
            </w:pPr>
          </w:p>
        </w:tc>
        <w:tc>
          <w:tcPr>
            <w:tcW w:w="507" w:type="pct"/>
            <w:gridSpan w:val="3"/>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sz w:val="18"/>
                <w:szCs w:val="18"/>
              </w:rPr>
            </w:pPr>
            <w:r>
              <w:rPr>
                <w:rFonts w:eastAsia="仿宋_GB2312"/>
                <w:color w:val="auto"/>
                <w:sz w:val="18"/>
                <w:szCs w:val="18"/>
              </w:rPr>
              <w:t>牵张场防治区</w:t>
            </w:r>
          </w:p>
        </w:tc>
        <w:tc>
          <w:tcPr>
            <w:tcW w:w="1450" w:type="pct"/>
            <w:gridSpan w:val="8"/>
            <w:tcBorders>
              <w:tl2br w:val="nil"/>
              <w:tr2bl w:val="nil"/>
            </w:tcBorders>
            <w:vAlign w:val="center"/>
          </w:tcPr>
          <w:p>
            <w:pPr>
              <w:keepNext w:val="0"/>
              <w:keepLines w:val="0"/>
              <w:widowControl/>
              <w:suppressLineNumbers w:val="0"/>
              <w:spacing w:before="0" w:beforeAutospacing="0" w:after="0" w:afterAutospacing="0" w:line="240" w:lineRule="auto"/>
              <w:ind w:left="0" w:right="0"/>
              <w:jc w:val="left"/>
              <w:textAlignment w:val="center"/>
              <w:rPr>
                <w:rFonts w:eastAsia="仿宋_GB2312"/>
                <w:color w:val="auto"/>
                <w:kern w:val="0"/>
                <w:sz w:val="18"/>
                <w:szCs w:val="18"/>
                <w:lang w:bidi="ar"/>
              </w:rPr>
            </w:pPr>
            <w:r>
              <w:rPr>
                <w:rFonts w:eastAsia="仿宋_GB2312"/>
                <w:color w:val="auto"/>
                <w:kern w:val="0"/>
                <w:sz w:val="18"/>
                <w:szCs w:val="18"/>
                <w:lang w:bidi="ar"/>
              </w:rPr>
              <w:t>主体设计：土地整治</w:t>
            </w:r>
            <w:r>
              <w:rPr>
                <w:rFonts w:hint="eastAsia" w:eastAsia="仿宋_GB2312"/>
                <w:color w:val="auto"/>
                <w:kern w:val="0"/>
                <w:sz w:val="18"/>
                <w:szCs w:val="18"/>
                <w:lang w:bidi="ar"/>
              </w:rPr>
              <w:t>5.60</w:t>
            </w:r>
            <w:r>
              <w:rPr>
                <w:rFonts w:eastAsia="仿宋_GB2312"/>
                <w:color w:val="auto"/>
                <w:kern w:val="0"/>
                <w:sz w:val="18"/>
                <w:szCs w:val="18"/>
                <w:lang w:bidi="ar"/>
              </w:rPr>
              <w:t>hm</w:t>
            </w:r>
            <w:r>
              <w:rPr>
                <w:rFonts w:eastAsia="仿宋_GB2312"/>
                <w:color w:val="auto"/>
                <w:kern w:val="0"/>
                <w:sz w:val="18"/>
                <w:szCs w:val="18"/>
                <w:vertAlign w:val="superscript"/>
                <w:lang w:bidi="ar"/>
              </w:rPr>
              <w:t>2</w:t>
            </w:r>
          </w:p>
        </w:tc>
        <w:tc>
          <w:tcPr>
            <w:tcW w:w="1213" w:type="pct"/>
            <w:gridSpan w:val="9"/>
            <w:tcBorders>
              <w:tl2br w:val="nil"/>
              <w:tr2bl w:val="nil"/>
            </w:tcBorders>
            <w:vAlign w:val="center"/>
          </w:tcPr>
          <w:p>
            <w:pPr>
              <w:keepNext w:val="0"/>
              <w:keepLines w:val="0"/>
              <w:widowControl/>
              <w:suppressLineNumbers w:val="0"/>
              <w:spacing w:before="0" w:beforeAutospacing="0" w:after="0" w:afterAutospacing="0" w:line="240" w:lineRule="auto"/>
              <w:ind w:left="0" w:right="0"/>
              <w:jc w:val="left"/>
              <w:textAlignment w:val="center"/>
              <w:rPr>
                <w:rFonts w:eastAsia="仿宋_GB2312"/>
                <w:bCs/>
                <w:color w:val="auto"/>
                <w:kern w:val="0"/>
                <w:sz w:val="18"/>
                <w:szCs w:val="18"/>
                <w:lang w:bidi="en-US"/>
              </w:rPr>
            </w:pPr>
            <w:r>
              <w:rPr>
                <w:rFonts w:eastAsia="仿宋_GB2312"/>
                <w:color w:val="auto"/>
                <w:kern w:val="0"/>
                <w:sz w:val="18"/>
                <w:szCs w:val="18"/>
                <w:lang w:bidi="ar"/>
              </w:rPr>
              <w:t>主体设计：栽植</w:t>
            </w:r>
            <w:r>
              <w:rPr>
                <w:rFonts w:hint="eastAsia" w:eastAsia="仿宋_GB2312"/>
                <w:color w:val="auto"/>
                <w:kern w:val="0"/>
                <w:sz w:val="18"/>
                <w:szCs w:val="18"/>
                <w:lang w:bidi="ar"/>
              </w:rPr>
              <w:t>乔灌木100</w:t>
            </w:r>
            <w:r>
              <w:rPr>
                <w:rFonts w:eastAsia="仿宋_GB2312"/>
                <w:color w:val="auto"/>
                <w:kern w:val="0"/>
                <w:sz w:val="18"/>
                <w:szCs w:val="18"/>
                <w:lang w:bidi="ar"/>
              </w:rPr>
              <w:t>株，撒播草籽</w:t>
            </w:r>
            <w:r>
              <w:rPr>
                <w:rFonts w:hint="eastAsia" w:eastAsia="仿宋_GB2312"/>
                <w:color w:val="auto"/>
                <w:kern w:val="0"/>
                <w:sz w:val="18"/>
                <w:szCs w:val="18"/>
                <w:lang w:bidi="ar"/>
              </w:rPr>
              <w:t>1.38</w:t>
            </w:r>
            <w:r>
              <w:rPr>
                <w:rFonts w:eastAsia="仿宋_GB2312"/>
                <w:color w:val="auto"/>
                <w:kern w:val="0"/>
                <w:sz w:val="18"/>
                <w:szCs w:val="18"/>
                <w:lang w:bidi="ar"/>
              </w:rPr>
              <w:t>hm</w:t>
            </w:r>
            <w:r>
              <w:rPr>
                <w:rFonts w:eastAsia="仿宋_GB2312"/>
                <w:color w:val="auto"/>
                <w:kern w:val="0"/>
                <w:sz w:val="18"/>
                <w:szCs w:val="18"/>
                <w:vertAlign w:val="superscript"/>
                <w:lang w:bidi="ar"/>
              </w:rPr>
              <w:t>2</w:t>
            </w:r>
          </w:p>
        </w:tc>
        <w:tc>
          <w:tcPr>
            <w:tcW w:w="1279" w:type="pct"/>
            <w:gridSpan w:val="5"/>
            <w:tcBorders>
              <w:tl2br w:val="nil"/>
              <w:tr2bl w:val="nil"/>
            </w:tcBorders>
            <w:vAlign w:val="center"/>
          </w:tcPr>
          <w:p>
            <w:pPr>
              <w:keepNext w:val="0"/>
              <w:keepLines w:val="0"/>
              <w:widowControl/>
              <w:suppressLineNumbers w:val="0"/>
              <w:spacing w:before="0" w:beforeAutospacing="0" w:after="0" w:afterAutospacing="0" w:line="240" w:lineRule="auto"/>
              <w:ind w:left="0" w:right="0"/>
              <w:jc w:val="left"/>
              <w:textAlignment w:val="center"/>
              <w:rPr>
                <w:rFonts w:eastAsia="仿宋_GB2312"/>
                <w:color w:val="auto"/>
                <w:sz w:val="18"/>
                <w:szCs w:val="18"/>
              </w:rPr>
            </w:pPr>
            <w:r>
              <w:rPr>
                <w:rFonts w:eastAsia="仿宋_GB2312"/>
                <w:color w:val="auto"/>
                <w:kern w:val="0"/>
                <w:sz w:val="18"/>
                <w:szCs w:val="18"/>
                <w:lang w:bidi="ar"/>
              </w:rPr>
              <w:t>方案新增：铺垫棕垫</w:t>
            </w:r>
            <w:r>
              <w:rPr>
                <w:rFonts w:hint="eastAsia" w:eastAsia="仿宋_GB2312"/>
                <w:color w:val="auto"/>
                <w:kern w:val="0"/>
                <w:sz w:val="18"/>
                <w:szCs w:val="18"/>
                <w:lang w:bidi="ar"/>
              </w:rPr>
              <w:t>6000</w:t>
            </w:r>
            <w:r>
              <w:rPr>
                <w:rFonts w:eastAsia="仿宋_GB2312"/>
                <w:color w:val="auto"/>
                <w:kern w:val="0"/>
                <w:sz w:val="18"/>
                <w:szCs w:val="18"/>
                <w:lang w:bidi="ar"/>
              </w:rPr>
              <w:t>m</w:t>
            </w:r>
            <w:r>
              <w:rPr>
                <w:rFonts w:eastAsia="仿宋_GB2312"/>
                <w:color w:val="auto"/>
                <w:kern w:val="0"/>
                <w:sz w:val="18"/>
                <w:szCs w:val="18"/>
                <w:vertAlign w:val="superscript"/>
                <w:lang w:bidi="ar"/>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1" w:type="pct"/>
            <w:vMerge w:val="continue"/>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p>
        </w:tc>
        <w:tc>
          <w:tcPr>
            <w:tcW w:w="317" w:type="pct"/>
            <w:gridSpan w:val="2"/>
            <w:vMerge w:val="continue"/>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sz w:val="18"/>
                <w:szCs w:val="18"/>
              </w:rPr>
            </w:pPr>
          </w:p>
        </w:tc>
        <w:tc>
          <w:tcPr>
            <w:tcW w:w="507" w:type="pct"/>
            <w:gridSpan w:val="3"/>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sz w:val="18"/>
                <w:szCs w:val="18"/>
              </w:rPr>
            </w:pPr>
            <w:r>
              <w:rPr>
                <w:rFonts w:eastAsia="仿宋_GB2312"/>
                <w:color w:val="auto"/>
                <w:sz w:val="18"/>
                <w:szCs w:val="18"/>
              </w:rPr>
              <w:t>跨越施工场地防治区</w:t>
            </w:r>
          </w:p>
        </w:tc>
        <w:tc>
          <w:tcPr>
            <w:tcW w:w="1450" w:type="pct"/>
            <w:gridSpan w:val="8"/>
            <w:tcBorders>
              <w:tl2br w:val="nil"/>
              <w:tr2bl w:val="nil"/>
            </w:tcBorders>
            <w:vAlign w:val="center"/>
          </w:tcPr>
          <w:p>
            <w:pPr>
              <w:keepNext w:val="0"/>
              <w:keepLines w:val="0"/>
              <w:widowControl/>
              <w:suppressLineNumbers w:val="0"/>
              <w:spacing w:before="0" w:beforeAutospacing="0" w:after="0" w:afterAutospacing="0" w:line="240" w:lineRule="auto"/>
              <w:ind w:left="0" w:right="0"/>
              <w:jc w:val="left"/>
              <w:textAlignment w:val="center"/>
              <w:rPr>
                <w:rFonts w:eastAsia="仿宋_GB2312"/>
                <w:color w:val="auto"/>
                <w:kern w:val="0"/>
                <w:sz w:val="18"/>
                <w:szCs w:val="18"/>
                <w:lang w:bidi="ar"/>
              </w:rPr>
            </w:pPr>
            <w:r>
              <w:rPr>
                <w:rFonts w:eastAsia="仿宋_GB2312"/>
                <w:color w:val="auto"/>
                <w:kern w:val="0"/>
                <w:sz w:val="18"/>
                <w:szCs w:val="18"/>
                <w:lang w:bidi="ar"/>
              </w:rPr>
              <w:t>主体设计：土地整治1.</w:t>
            </w:r>
            <w:r>
              <w:rPr>
                <w:rFonts w:hint="eastAsia" w:eastAsia="仿宋_GB2312"/>
                <w:color w:val="auto"/>
                <w:kern w:val="0"/>
                <w:sz w:val="18"/>
                <w:szCs w:val="18"/>
                <w:lang w:bidi="ar"/>
              </w:rPr>
              <w:t>05</w:t>
            </w:r>
            <w:r>
              <w:rPr>
                <w:rFonts w:eastAsia="仿宋_GB2312"/>
                <w:color w:val="auto"/>
                <w:kern w:val="0"/>
                <w:sz w:val="18"/>
                <w:szCs w:val="18"/>
                <w:lang w:bidi="ar"/>
              </w:rPr>
              <w:t>hm</w:t>
            </w:r>
            <w:r>
              <w:rPr>
                <w:rFonts w:eastAsia="仿宋_GB2312"/>
                <w:color w:val="auto"/>
                <w:kern w:val="0"/>
                <w:sz w:val="18"/>
                <w:szCs w:val="18"/>
                <w:vertAlign w:val="superscript"/>
                <w:lang w:bidi="ar"/>
              </w:rPr>
              <w:t>2</w:t>
            </w:r>
          </w:p>
        </w:tc>
        <w:tc>
          <w:tcPr>
            <w:tcW w:w="1213" w:type="pct"/>
            <w:gridSpan w:val="9"/>
            <w:tcBorders>
              <w:tl2br w:val="nil"/>
              <w:tr2bl w:val="nil"/>
            </w:tcBorders>
            <w:vAlign w:val="center"/>
          </w:tcPr>
          <w:p>
            <w:pPr>
              <w:keepNext w:val="0"/>
              <w:keepLines w:val="0"/>
              <w:widowControl/>
              <w:suppressLineNumbers w:val="0"/>
              <w:spacing w:before="0" w:beforeAutospacing="0" w:after="0" w:afterAutospacing="0" w:line="240" w:lineRule="auto"/>
              <w:ind w:left="0" w:right="0"/>
              <w:jc w:val="left"/>
              <w:textAlignment w:val="center"/>
              <w:rPr>
                <w:rFonts w:eastAsia="仿宋_GB2312"/>
                <w:bCs/>
                <w:color w:val="auto"/>
                <w:kern w:val="0"/>
                <w:sz w:val="18"/>
                <w:szCs w:val="18"/>
                <w:lang w:bidi="en-US"/>
              </w:rPr>
            </w:pPr>
            <w:r>
              <w:rPr>
                <w:rFonts w:eastAsia="仿宋_GB2312"/>
                <w:color w:val="auto"/>
                <w:kern w:val="0"/>
                <w:sz w:val="18"/>
                <w:szCs w:val="18"/>
                <w:lang w:bidi="ar"/>
              </w:rPr>
              <w:t>主体设计：栽植</w:t>
            </w:r>
            <w:r>
              <w:rPr>
                <w:rFonts w:hint="eastAsia" w:eastAsia="仿宋_GB2312"/>
                <w:color w:val="auto"/>
                <w:kern w:val="0"/>
                <w:sz w:val="18"/>
                <w:szCs w:val="18"/>
                <w:lang w:bidi="ar"/>
              </w:rPr>
              <w:t>乔灌木1066</w:t>
            </w:r>
            <w:r>
              <w:rPr>
                <w:rFonts w:eastAsia="仿宋_GB2312"/>
                <w:color w:val="auto"/>
                <w:kern w:val="0"/>
                <w:sz w:val="18"/>
                <w:szCs w:val="18"/>
                <w:lang w:bidi="ar"/>
              </w:rPr>
              <w:t>株，撒播草籽0.</w:t>
            </w:r>
            <w:r>
              <w:rPr>
                <w:rFonts w:hint="eastAsia" w:eastAsia="仿宋_GB2312"/>
                <w:color w:val="auto"/>
                <w:kern w:val="0"/>
                <w:sz w:val="18"/>
                <w:szCs w:val="18"/>
                <w:lang w:bidi="ar"/>
              </w:rPr>
              <w:t>80</w:t>
            </w:r>
            <w:r>
              <w:rPr>
                <w:rFonts w:eastAsia="仿宋_GB2312"/>
                <w:color w:val="auto"/>
                <w:kern w:val="0"/>
                <w:sz w:val="18"/>
                <w:szCs w:val="18"/>
                <w:lang w:bidi="ar"/>
              </w:rPr>
              <w:t>hm</w:t>
            </w:r>
            <w:r>
              <w:rPr>
                <w:rFonts w:eastAsia="仿宋_GB2312"/>
                <w:color w:val="auto"/>
                <w:kern w:val="0"/>
                <w:sz w:val="18"/>
                <w:szCs w:val="18"/>
                <w:vertAlign w:val="superscript"/>
                <w:lang w:bidi="ar"/>
              </w:rPr>
              <w:t>2</w:t>
            </w:r>
          </w:p>
        </w:tc>
        <w:tc>
          <w:tcPr>
            <w:tcW w:w="1279" w:type="pct"/>
            <w:gridSpan w:val="5"/>
            <w:tcBorders>
              <w:tl2br w:val="nil"/>
              <w:tr2bl w:val="nil"/>
            </w:tcBorders>
            <w:vAlign w:val="center"/>
          </w:tcPr>
          <w:p>
            <w:pPr>
              <w:keepNext w:val="0"/>
              <w:keepLines w:val="0"/>
              <w:widowControl/>
              <w:suppressLineNumbers w:val="0"/>
              <w:spacing w:before="0" w:beforeAutospacing="0" w:after="0" w:afterAutospacing="0" w:line="240" w:lineRule="auto"/>
              <w:ind w:left="0" w:right="0"/>
              <w:jc w:val="left"/>
              <w:rPr>
                <w:rFonts w:eastAsia="仿宋_GB2312"/>
                <w:color w:val="auto"/>
                <w:sz w:val="18"/>
                <w:szCs w:val="18"/>
              </w:rPr>
            </w:pPr>
            <w:r>
              <w:rPr>
                <w:rFonts w:eastAsia="仿宋_GB2312"/>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pct"/>
            <w:gridSpan w:val="6"/>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投资（万元）</w:t>
            </w:r>
          </w:p>
        </w:tc>
        <w:tc>
          <w:tcPr>
            <w:tcW w:w="1450" w:type="pct"/>
            <w:gridSpan w:val="8"/>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主体设计：</w:t>
            </w:r>
            <w:r>
              <w:rPr>
                <w:rFonts w:hint="eastAsia" w:eastAsia="仿宋_GB2312"/>
                <w:color w:val="auto"/>
                <w:kern w:val="0"/>
                <w:sz w:val="18"/>
                <w:szCs w:val="18"/>
              </w:rPr>
              <w:t>320.98</w:t>
            </w:r>
          </w:p>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方案新增：</w:t>
            </w:r>
            <w:r>
              <w:rPr>
                <w:rFonts w:hint="eastAsia" w:eastAsia="仿宋_GB2312"/>
                <w:color w:val="auto"/>
                <w:kern w:val="0"/>
                <w:sz w:val="18"/>
                <w:szCs w:val="18"/>
              </w:rPr>
              <w:t>244.61</w:t>
            </w:r>
          </w:p>
        </w:tc>
        <w:tc>
          <w:tcPr>
            <w:tcW w:w="1213" w:type="pct"/>
            <w:gridSpan w:val="9"/>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主体设计：</w:t>
            </w:r>
            <w:r>
              <w:rPr>
                <w:rFonts w:hint="eastAsia" w:eastAsia="仿宋_GB2312"/>
                <w:color w:val="auto"/>
                <w:kern w:val="0"/>
                <w:sz w:val="18"/>
                <w:szCs w:val="18"/>
              </w:rPr>
              <w:t>128.04</w:t>
            </w:r>
          </w:p>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sz w:val="24"/>
              </w:rPr>
            </w:pPr>
            <w:r>
              <w:rPr>
                <w:rFonts w:eastAsia="仿宋_GB2312"/>
                <w:color w:val="auto"/>
                <w:kern w:val="0"/>
                <w:sz w:val="18"/>
                <w:szCs w:val="18"/>
              </w:rPr>
              <w:t>方案新增：0.07</w:t>
            </w:r>
          </w:p>
        </w:tc>
        <w:tc>
          <w:tcPr>
            <w:tcW w:w="1279" w:type="pct"/>
            <w:gridSpan w:val="5"/>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sz w:val="18"/>
                <w:szCs w:val="18"/>
              </w:rPr>
            </w:pPr>
            <w:r>
              <w:rPr>
                <w:rFonts w:eastAsia="仿宋_GB2312"/>
                <w:color w:val="auto"/>
                <w:kern w:val="0"/>
                <w:sz w:val="18"/>
                <w:szCs w:val="18"/>
              </w:rPr>
              <w:t>方案新增：</w:t>
            </w:r>
            <w:r>
              <w:rPr>
                <w:rFonts w:hint="eastAsia" w:eastAsia="仿宋_GB2312"/>
                <w:color w:val="auto"/>
                <w:kern w:val="0"/>
                <w:sz w:val="18"/>
                <w:szCs w:val="18"/>
              </w:rPr>
              <w:t>255.79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09" w:type="pct"/>
            <w:gridSpan w:val="7"/>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sz w:val="18"/>
                <w:szCs w:val="18"/>
              </w:rPr>
            </w:pPr>
            <w:r>
              <w:rPr>
                <w:rFonts w:eastAsia="仿宋_GB2312"/>
                <w:color w:val="auto"/>
                <w:sz w:val="18"/>
                <w:szCs w:val="18"/>
              </w:rPr>
              <w:t>水土保持总投资（万元）</w:t>
            </w:r>
          </w:p>
        </w:tc>
        <w:tc>
          <w:tcPr>
            <w:tcW w:w="2257" w:type="pct"/>
            <w:gridSpan w:val="15"/>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sz w:val="18"/>
                <w:szCs w:val="18"/>
              </w:rPr>
            </w:pPr>
            <w:r>
              <w:rPr>
                <w:rFonts w:hint="eastAsia" w:eastAsia="仿宋_GB2312"/>
                <w:color w:val="auto"/>
                <w:kern w:val="0"/>
                <w:sz w:val="18"/>
                <w:szCs w:val="18"/>
              </w:rPr>
              <w:t>1267.0</w:t>
            </w:r>
            <w:r>
              <w:rPr>
                <w:rFonts w:hint="eastAsia" w:eastAsia="仿宋_GB2312"/>
                <w:color w:val="auto"/>
                <w:kern w:val="0"/>
                <w:sz w:val="18"/>
                <w:szCs w:val="18"/>
                <w:lang w:val="en-US" w:eastAsia="zh-CN"/>
              </w:rPr>
              <w:t>5</w:t>
            </w:r>
            <w:r>
              <w:rPr>
                <w:rFonts w:eastAsia="仿宋_GB2312"/>
                <w:color w:val="auto"/>
                <w:kern w:val="0"/>
                <w:sz w:val="18"/>
                <w:szCs w:val="18"/>
              </w:rPr>
              <w:t>（方案新增</w:t>
            </w:r>
            <w:r>
              <w:rPr>
                <w:rFonts w:hint="eastAsia" w:eastAsia="仿宋_GB2312"/>
                <w:color w:val="auto"/>
                <w:kern w:val="0"/>
                <w:sz w:val="18"/>
                <w:szCs w:val="18"/>
              </w:rPr>
              <w:t>818.0</w:t>
            </w:r>
            <w:r>
              <w:rPr>
                <w:rFonts w:hint="eastAsia" w:eastAsia="仿宋_GB2312"/>
                <w:color w:val="auto"/>
                <w:kern w:val="0"/>
                <w:sz w:val="18"/>
                <w:szCs w:val="18"/>
                <w:lang w:val="en-US" w:eastAsia="zh-CN"/>
              </w:rPr>
              <w:t>3</w:t>
            </w:r>
            <w:r>
              <w:rPr>
                <w:rFonts w:eastAsia="仿宋_GB2312"/>
                <w:color w:val="auto"/>
                <w:kern w:val="0"/>
                <w:sz w:val="18"/>
                <w:szCs w:val="18"/>
              </w:rPr>
              <w:t>）</w:t>
            </w:r>
          </w:p>
        </w:tc>
        <w:tc>
          <w:tcPr>
            <w:tcW w:w="901" w:type="pct"/>
            <w:gridSpan w:val="4"/>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sz w:val="18"/>
                <w:szCs w:val="18"/>
              </w:rPr>
            </w:pPr>
            <w:r>
              <w:rPr>
                <w:rFonts w:eastAsia="仿宋_GB2312"/>
                <w:color w:val="auto"/>
                <w:sz w:val="18"/>
                <w:szCs w:val="18"/>
              </w:rPr>
              <w:t>独立费（万元）</w:t>
            </w:r>
          </w:p>
        </w:tc>
        <w:tc>
          <w:tcPr>
            <w:tcW w:w="631" w:type="pct"/>
            <w:gridSpan w:val="2"/>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sz w:val="18"/>
                <w:szCs w:val="18"/>
              </w:rPr>
            </w:pPr>
            <w:r>
              <w:rPr>
                <w:rFonts w:hint="eastAsia" w:eastAsia="仿宋_GB2312"/>
                <w:color w:val="auto"/>
                <w:sz w:val="18"/>
                <w:szCs w:val="18"/>
              </w:rPr>
              <w:t>89.03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09" w:type="pct"/>
            <w:gridSpan w:val="7"/>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sz w:val="18"/>
                <w:szCs w:val="18"/>
              </w:rPr>
            </w:pPr>
            <w:r>
              <w:rPr>
                <w:rFonts w:eastAsia="仿宋_GB2312"/>
                <w:color w:val="auto"/>
                <w:sz w:val="18"/>
                <w:szCs w:val="18"/>
              </w:rPr>
              <w:t>监理费（万元）</w:t>
            </w:r>
          </w:p>
        </w:tc>
        <w:tc>
          <w:tcPr>
            <w:tcW w:w="685" w:type="pct"/>
            <w:gridSpan w:val="3"/>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sz w:val="18"/>
                <w:szCs w:val="18"/>
              </w:rPr>
            </w:pPr>
            <w:r>
              <w:rPr>
                <w:rFonts w:hint="eastAsia" w:eastAsia="仿宋_GB2312"/>
                <w:color w:val="auto"/>
                <w:sz w:val="18"/>
                <w:szCs w:val="18"/>
              </w:rPr>
              <w:t>19.04</w:t>
            </w:r>
          </w:p>
        </w:tc>
        <w:tc>
          <w:tcPr>
            <w:tcW w:w="808" w:type="pct"/>
            <w:gridSpan w:val="5"/>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sz w:val="18"/>
                <w:szCs w:val="18"/>
              </w:rPr>
            </w:pPr>
            <w:r>
              <w:rPr>
                <w:rFonts w:eastAsia="仿宋_GB2312"/>
                <w:color w:val="auto"/>
                <w:sz w:val="18"/>
                <w:szCs w:val="18"/>
              </w:rPr>
              <w:t>监测费（万元）</w:t>
            </w:r>
          </w:p>
        </w:tc>
        <w:tc>
          <w:tcPr>
            <w:tcW w:w="763" w:type="pct"/>
            <w:gridSpan w:val="7"/>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sz w:val="18"/>
                <w:szCs w:val="18"/>
              </w:rPr>
            </w:pPr>
            <w:r>
              <w:rPr>
                <w:rFonts w:hint="eastAsia" w:eastAsia="仿宋_GB2312"/>
                <w:color w:val="auto"/>
                <w:sz w:val="18"/>
                <w:szCs w:val="18"/>
              </w:rPr>
              <w:t>70.55</w:t>
            </w:r>
          </w:p>
        </w:tc>
        <w:tc>
          <w:tcPr>
            <w:tcW w:w="901" w:type="pct"/>
            <w:gridSpan w:val="4"/>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sz w:val="18"/>
                <w:szCs w:val="18"/>
              </w:rPr>
            </w:pPr>
            <w:r>
              <w:rPr>
                <w:rFonts w:eastAsia="仿宋_GB2312"/>
                <w:color w:val="auto"/>
                <w:kern w:val="0"/>
                <w:sz w:val="18"/>
                <w:szCs w:val="18"/>
              </w:rPr>
              <w:t>补偿费（万元）</w:t>
            </w:r>
          </w:p>
        </w:tc>
        <w:tc>
          <w:tcPr>
            <w:tcW w:w="631" w:type="pct"/>
            <w:gridSpan w:val="2"/>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hint="default" w:eastAsia="仿宋_GB2312"/>
                <w:color w:val="auto"/>
                <w:sz w:val="18"/>
                <w:szCs w:val="18"/>
                <w:lang w:val="en-US" w:eastAsia="zh-CN"/>
              </w:rPr>
            </w:pPr>
            <w:r>
              <w:rPr>
                <w:rFonts w:hint="eastAsia" w:eastAsia="仿宋_GB2312"/>
                <w:color w:val="auto"/>
                <w:sz w:val="18"/>
                <w:szCs w:val="18"/>
              </w:rPr>
              <w:t>118.3</w:t>
            </w:r>
            <w:r>
              <w:rPr>
                <w:rFonts w:hint="eastAsia" w:eastAsia="仿宋_GB2312"/>
                <w:color w:val="auto"/>
                <w:sz w:val="18"/>
                <w:szCs w:val="18"/>
                <w:lang w:val="en-US" w:eastAsia="zh-CN"/>
              </w:rPr>
              <w:t>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58" w:type="pct"/>
            <w:gridSpan w:val="5"/>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方案编制单位</w:t>
            </w:r>
          </w:p>
        </w:tc>
        <w:tc>
          <w:tcPr>
            <w:tcW w:w="1489" w:type="pct"/>
            <w:gridSpan w:val="7"/>
            <w:tcBorders>
              <w:tl2br w:val="nil"/>
              <w:tr2bl w:val="nil"/>
            </w:tcBorders>
            <w:vAlign w:val="center"/>
          </w:tcPr>
          <w:p>
            <w:pPr>
              <w:keepNext w:val="0"/>
              <w:keepLines w:val="0"/>
              <w:widowControl/>
              <w:suppressLineNumbers w:val="0"/>
              <w:spacing w:before="0" w:beforeAutospacing="0" w:after="0" w:afterAutospacing="0" w:line="240" w:lineRule="auto"/>
              <w:ind w:left="-140" w:leftChars="-50" w:right="-140" w:rightChars="-50"/>
              <w:jc w:val="center"/>
              <w:rPr>
                <w:rFonts w:eastAsia="仿宋_GB2312"/>
                <w:color w:val="auto"/>
                <w:sz w:val="18"/>
                <w:szCs w:val="18"/>
              </w:rPr>
            </w:pPr>
            <w:r>
              <w:rPr>
                <w:rFonts w:eastAsia="仿宋_GB2312"/>
                <w:color w:val="auto"/>
                <w:sz w:val="18"/>
                <w:szCs w:val="18"/>
              </w:rPr>
              <w:t>重庆龙翰环保工程有限公司</w:t>
            </w:r>
          </w:p>
        </w:tc>
        <w:tc>
          <w:tcPr>
            <w:tcW w:w="1004" w:type="pct"/>
            <w:gridSpan w:val="8"/>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sz w:val="18"/>
                <w:szCs w:val="18"/>
              </w:rPr>
            </w:pPr>
            <w:r>
              <w:rPr>
                <w:rFonts w:eastAsia="仿宋_GB2312"/>
                <w:color w:val="auto"/>
                <w:sz w:val="18"/>
                <w:szCs w:val="18"/>
              </w:rPr>
              <w:t>建设单位</w:t>
            </w:r>
          </w:p>
        </w:tc>
        <w:tc>
          <w:tcPr>
            <w:tcW w:w="1647" w:type="pct"/>
            <w:gridSpan w:val="8"/>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spacing w:val="-2"/>
                <w:sz w:val="18"/>
                <w:szCs w:val="18"/>
              </w:rPr>
            </w:pPr>
            <w:r>
              <w:rPr>
                <w:rFonts w:eastAsia="仿宋_GB2312"/>
                <w:color w:val="auto"/>
                <w:spacing w:val="-2"/>
                <w:sz w:val="18"/>
                <w:szCs w:val="18"/>
              </w:rPr>
              <w:t>国网重庆市电力公司建设分公司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58" w:type="pct"/>
            <w:gridSpan w:val="5"/>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法定代表人</w:t>
            </w:r>
          </w:p>
        </w:tc>
        <w:tc>
          <w:tcPr>
            <w:tcW w:w="1489" w:type="pct"/>
            <w:gridSpan w:val="7"/>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rPr>
                <w:rFonts w:eastAsia="仿宋_GB2312"/>
                <w:color w:val="auto"/>
                <w:sz w:val="18"/>
                <w:szCs w:val="18"/>
              </w:rPr>
            </w:pPr>
            <w:r>
              <w:rPr>
                <w:rFonts w:eastAsia="仿宋_GB2312"/>
                <w:color w:val="auto"/>
                <w:sz w:val="18"/>
                <w:szCs w:val="18"/>
              </w:rPr>
              <w:t>王翼</w:t>
            </w:r>
          </w:p>
        </w:tc>
        <w:tc>
          <w:tcPr>
            <w:tcW w:w="1004" w:type="pct"/>
            <w:gridSpan w:val="8"/>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法定代表人</w:t>
            </w:r>
          </w:p>
        </w:tc>
        <w:tc>
          <w:tcPr>
            <w:tcW w:w="1647" w:type="pct"/>
            <w:gridSpan w:val="8"/>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rPr>
                <w:rFonts w:eastAsia="仿宋_GB2312"/>
                <w:color w:val="auto"/>
                <w:sz w:val="18"/>
                <w:szCs w:val="18"/>
              </w:rPr>
            </w:pPr>
            <w:r>
              <w:rPr>
                <w:rFonts w:eastAsia="仿宋_GB2312"/>
                <w:color w:val="auto"/>
                <w:sz w:val="18"/>
                <w:szCs w:val="18"/>
              </w:rPr>
              <w:t>周茂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58" w:type="pct"/>
            <w:gridSpan w:val="5"/>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地址</w:t>
            </w:r>
          </w:p>
        </w:tc>
        <w:tc>
          <w:tcPr>
            <w:tcW w:w="1489" w:type="pct"/>
            <w:gridSpan w:val="7"/>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rPr>
                <w:rFonts w:eastAsia="仿宋_GB2312"/>
                <w:color w:val="auto"/>
                <w:sz w:val="18"/>
                <w:szCs w:val="18"/>
              </w:rPr>
            </w:pPr>
            <w:r>
              <w:rPr>
                <w:rFonts w:eastAsia="仿宋_GB2312"/>
                <w:color w:val="auto"/>
                <w:kern w:val="0"/>
                <w:sz w:val="18"/>
                <w:szCs w:val="18"/>
              </w:rPr>
              <w:t>重庆市渝北区龙山一路5号扬子江商务中心23-2</w:t>
            </w:r>
          </w:p>
        </w:tc>
        <w:tc>
          <w:tcPr>
            <w:tcW w:w="1004" w:type="pct"/>
            <w:gridSpan w:val="8"/>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地址</w:t>
            </w:r>
          </w:p>
        </w:tc>
        <w:tc>
          <w:tcPr>
            <w:tcW w:w="1647" w:type="pct"/>
            <w:gridSpan w:val="8"/>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rPr>
                <w:rFonts w:eastAsia="仿宋_GB2312"/>
                <w:color w:val="auto"/>
                <w:sz w:val="18"/>
                <w:szCs w:val="18"/>
              </w:rPr>
            </w:pPr>
            <w:r>
              <w:rPr>
                <w:rFonts w:eastAsia="仿宋_GB2312"/>
                <w:color w:val="auto"/>
                <w:sz w:val="18"/>
                <w:szCs w:val="18"/>
              </w:rPr>
              <w:t>重庆市渝北区青枫北路20号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58" w:type="pct"/>
            <w:gridSpan w:val="5"/>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邮编</w:t>
            </w:r>
          </w:p>
        </w:tc>
        <w:tc>
          <w:tcPr>
            <w:tcW w:w="1489" w:type="pct"/>
            <w:gridSpan w:val="7"/>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rPr>
                <w:rFonts w:eastAsia="仿宋_GB2312"/>
                <w:color w:val="auto"/>
                <w:sz w:val="18"/>
                <w:szCs w:val="18"/>
              </w:rPr>
            </w:pPr>
            <w:r>
              <w:rPr>
                <w:rFonts w:eastAsia="仿宋_GB2312"/>
                <w:color w:val="auto"/>
                <w:sz w:val="18"/>
                <w:szCs w:val="18"/>
              </w:rPr>
              <w:t>401147</w:t>
            </w:r>
          </w:p>
        </w:tc>
        <w:tc>
          <w:tcPr>
            <w:tcW w:w="1004" w:type="pct"/>
            <w:gridSpan w:val="8"/>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邮编</w:t>
            </w:r>
          </w:p>
        </w:tc>
        <w:tc>
          <w:tcPr>
            <w:tcW w:w="1647" w:type="pct"/>
            <w:gridSpan w:val="8"/>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rPr>
                <w:rFonts w:eastAsia="仿宋_GB2312"/>
                <w:color w:val="auto"/>
                <w:sz w:val="18"/>
                <w:szCs w:val="18"/>
              </w:rPr>
            </w:pPr>
            <w:r>
              <w:rPr>
                <w:rFonts w:eastAsia="仿宋_GB2312"/>
                <w:color w:val="auto"/>
                <w:sz w:val="18"/>
                <w:szCs w:val="18"/>
              </w:rPr>
              <w:t>401121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58" w:type="pct"/>
            <w:gridSpan w:val="5"/>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联系人及电话</w:t>
            </w:r>
          </w:p>
        </w:tc>
        <w:tc>
          <w:tcPr>
            <w:tcW w:w="1489" w:type="pct"/>
            <w:gridSpan w:val="7"/>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rPr>
                <w:rFonts w:eastAsia="仿宋_GB2312"/>
                <w:color w:val="auto"/>
                <w:sz w:val="18"/>
                <w:szCs w:val="18"/>
              </w:rPr>
            </w:pPr>
            <w:r>
              <w:rPr>
                <w:rFonts w:eastAsia="仿宋_GB2312"/>
                <w:color w:val="auto"/>
                <w:sz w:val="18"/>
                <w:szCs w:val="18"/>
              </w:rPr>
              <w:t>黄晓/15</w:t>
            </w:r>
            <w:r>
              <w:rPr>
                <w:rFonts w:hint="eastAsia" w:eastAsia="仿宋_GB2312"/>
                <w:color w:val="auto"/>
                <w:sz w:val="18"/>
                <w:szCs w:val="18"/>
                <w:lang w:val="en-US" w:eastAsia="zh-CN"/>
              </w:rPr>
              <w:t>***</w:t>
            </w:r>
            <w:r>
              <w:rPr>
                <w:rFonts w:eastAsia="仿宋_GB2312"/>
                <w:color w:val="auto"/>
                <w:sz w:val="18"/>
                <w:szCs w:val="18"/>
              </w:rPr>
              <w:t>45</w:t>
            </w:r>
          </w:p>
        </w:tc>
        <w:tc>
          <w:tcPr>
            <w:tcW w:w="1004" w:type="pct"/>
            <w:gridSpan w:val="8"/>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联系人及电话</w:t>
            </w:r>
          </w:p>
        </w:tc>
        <w:tc>
          <w:tcPr>
            <w:tcW w:w="1647" w:type="pct"/>
            <w:gridSpan w:val="8"/>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rPr>
                <w:rFonts w:eastAsia="仿宋_GB2312"/>
                <w:color w:val="auto"/>
                <w:sz w:val="18"/>
                <w:szCs w:val="18"/>
              </w:rPr>
            </w:pPr>
            <w:r>
              <w:rPr>
                <w:rFonts w:eastAsia="仿宋_GB2312"/>
                <w:color w:val="auto"/>
                <w:sz w:val="18"/>
                <w:szCs w:val="18"/>
              </w:rPr>
              <w:t>李小飞/13</w:t>
            </w:r>
            <w:r>
              <w:rPr>
                <w:rFonts w:hint="eastAsia" w:eastAsia="仿宋_GB2312"/>
                <w:color w:val="auto"/>
                <w:sz w:val="18"/>
                <w:szCs w:val="18"/>
                <w:lang w:val="en-US" w:eastAsia="zh-CN"/>
              </w:rPr>
              <w:t>***</w:t>
            </w:r>
            <w:r>
              <w:rPr>
                <w:rFonts w:eastAsia="仿宋_GB2312"/>
                <w:color w:val="auto"/>
                <w:sz w:val="18"/>
                <w:szCs w:val="18"/>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58" w:type="pct"/>
            <w:gridSpan w:val="5"/>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传真</w:t>
            </w:r>
          </w:p>
        </w:tc>
        <w:tc>
          <w:tcPr>
            <w:tcW w:w="1489" w:type="pct"/>
            <w:gridSpan w:val="7"/>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rPr>
                <w:rFonts w:eastAsia="仿宋_GB2312"/>
                <w:color w:val="auto"/>
                <w:sz w:val="18"/>
                <w:szCs w:val="18"/>
              </w:rPr>
            </w:pPr>
            <w:r>
              <w:rPr>
                <w:rFonts w:eastAsia="仿宋_GB2312"/>
                <w:color w:val="auto"/>
                <w:sz w:val="18"/>
                <w:szCs w:val="18"/>
              </w:rPr>
              <w:t>023-67</w:t>
            </w:r>
            <w:r>
              <w:rPr>
                <w:rFonts w:hint="eastAsia" w:eastAsia="仿宋_GB2312"/>
                <w:color w:val="auto"/>
                <w:sz w:val="18"/>
                <w:szCs w:val="18"/>
                <w:lang w:val="en-US" w:eastAsia="zh-CN"/>
              </w:rPr>
              <w:t>***</w:t>
            </w:r>
            <w:r>
              <w:rPr>
                <w:rFonts w:eastAsia="仿宋_GB2312"/>
                <w:color w:val="auto"/>
                <w:sz w:val="18"/>
                <w:szCs w:val="18"/>
              </w:rPr>
              <w:t>11</w:t>
            </w:r>
          </w:p>
        </w:tc>
        <w:tc>
          <w:tcPr>
            <w:tcW w:w="1004" w:type="pct"/>
            <w:gridSpan w:val="8"/>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传真</w:t>
            </w:r>
          </w:p>
        </w:tc>
        <w:tc>
          <w:tcPr>
            <w:tcW w:w="1647" w:type="pct"/>
            <w:gridSpan w:val="8"/>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rPr>
                <w:rFonts w:eastAsia="仿宋_GB2312"/>
                <w:color w:val="auto"/>
                <w:sz w:val="18"/>
                <w:szCs w:val="18"/>
              </w:rPr>
            </w:pPr>
            <w:r>
              <w:rPr>
                <w:rFonts w:eastAsia="仿宋_GB2312"/>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58" w:type="pct"/>
            <w:gridSpan w:val="5"/>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电子信箱</w:t>
            </w:r>
          </w:p>
        </w:tc>
        <w:tc>
          <w:tcPr>
            <w:tcW w:w="1489" w:type="pct"/>
            <w:gridSpan w:val="7"/>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rPr>
                <w:rFonts w:eastAsia="仿宋_GB2312"/>
                <w:color w:val="auto"/>
                <w:sz w:val="18"/>
                <w:szCs w:val="18"/>
              </w:rPr>
            </w:pPr>
            <w:r>
              <w:rPr>
                <w:rFonts w:eastAsia="仿宋_GB2312"/>
                <w:color w:val="auto"/>
                <w:sz w:val="18"/>
                <w:szCs w:val="18"/>
              </w:rPr>
              <w:t>37</w:t>
            </w:r>
            <w:r>
              <w:rPr>
                <w:rFonts w:hint="eastAsia" w:eastAsia="仿宋_GB2312"/>
                <w:color w:val="auto"/>
                <w:sz w:val="18"/>
                <w:szCs w:val="18"/>
                <w:lang w:val="en-US" w:eastAsia="zh-CN"/>
              </w:rPr>
              <w:t>***</w:t>
            </w:r>
            <w:r>
              <w:rPr>
                <w:rFonts w:eastAsia="仿宋_GB2312"/>
                <w:color w:val="auto"/>
                <w:sz w:val="18"/>
                <w:szCs w:val="18"/>
              </w:rPr>
              <w:t>21@qq.com</w:t>
            </w:r>
          </w:p>
        </w:tc>
        <w:tc>
          <w:tcPr>
            <w:tcW w:w="1004" w:type="pct"/>
            <w:gridSpan w:val="8"/>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eastAsia="仿宋_GB2312"/>
                <w:color w:val="auto"/>
                <w:kern w:val="0"/>
                <w:sz w:val="18"/>
                <w:szCs w:val="18"/>
              </w:rPr>
            </w:pPr>
            <w:r>
              <w:rPr>
                <w:rFonts w:eastAsia="仿宋_GB2312"/>
                <w:color w:val="auto"/>
                <w:kern w:val="0"/>
                <w:sz w:val="18"/>
                <w:szCs w:val="18"/>
              </w:rPr>
              <w:t>电子信箱</w:t>
            </w:r>
          </w:p>
        </w:tc>
        <w:tc>
          <w:tcPr>
            <w:tcW w:w="1647" w:type="pct"/>
            <w:gridSpan w:val="8"/>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rPr>
                <w:rFonts w:eastAsia="仿宋_GB2312"/>
                <w:color w:val="auto"/>
                <w:sz w:val="18"/>
                <w:szCs w:val="18"/>
              </w:rPr>
            </w:pPr>
            <w:r>
              <w:rPr>
                <w:rFonts w:eastAsia="仿宋_GB2312"/>
                <w:color w:val="auto"/>
                <w:sz w:val="18"/>
                <w:szCs w:val="18"/>
              </w:rPr>
              <w:t>/</w:t>
            </w:r>
          </w:p>
        </w:tc>
      </w:tr>
    </w:tbl>
    <w:p>
      <w:pPr>
        <w:rPr>
          <w:rFonts w:ascii="Times New Roman" w:hAnsi="Times New Roman" w:eastAsia="方正黑体_GBK" w:cs="Times New Roman"/>
          <w:color w:val="FF0000"/>
          <w:sz w:val="32"/>
          <w:szCs w:val="32"/>
        </w:rPr>
      </w:pPr>
      <w:r>
        <w:rPr>
          <w:rFonts w:ascii="Times New Roman" w:hAnsi="Times New Roman" w:eastAsia="方正黑体_GBK" w:cs="Times New Roman"/>
          <w:color w:val="FF0000"/>
          <w:sz w:val="32"/>
          <w:szCs w:val="32"/>
        </w:rPr>
        <w:br w:type="page"/>
      </w:r>
    </w:p>
    <w:p>
      <w:pPr>
        <w:spacing w:line="594" w:lineRule="exact"/>
        <w:rPr>
          <w:rFonts w:hint="eastAsia" w:ascii="Times New Roman" w:hAnsi="Times New Roman" w:eastAsia="方正黑体_GBK" w:cs="Times New Roman"/>
          <w:color w:val="auto"/>
          <w:sz w:val="32"/>
          <w:szCs w:val="32"/>
          <w:lang w:val="en-US" w:eastAsia="zh-CN"/>
        </w:rPr>
      </w:pPr>
      <w:r>
        <w:rPr>
          <w:rFonts w:ascii="Times New Roman" w:hAnsi="Times New Roman" w:eastAsia="方正黑体_GBK" w:cs="Times New Roman"/>
          <w:color w:val="auto"/>
          <w:sz w:val="32"/>
          <w:szCs w:val="32"/>
        </w:rPr>
        <w:t>附件</w:t>
      </w:r>
      <w:r>
        <w:rPr>
          <w:rFonts w:hint="eastAsia" w:eastAsia="方正黑体_GBK" w:cs="Times New Roman"/>
          <w:color w:val="auto"/>
          <w:sz w:val="32"/>
          <w:szCs w:val="32"/>
          <w:lang w:val="en-US" w:eastAsia="zh-CN"/>
        </w:rPr>
        <w:t>2</w:t>
      </w:r>
    </w:p>
    <w:p>
      <w:pPr>
        <w:snapToGrid w:val="0"/>
        <w:spacing w:line="594" w:lineRule="exact"/>
        <w:jc w:val="center"/>
        <w:rPr>
          <w:rFonts w:hint="eastAsia" w:ascii="Times New Roman" w:hAnsi="Times New Roman" w:eastAsia="方正小标宋_GBK" w:cs="Times New Roman"/>
          <w:bCs/>
          <w:color w:val="auto"/>
          <w:sz w:val="44"/>
          <w:szCs w:val="44"/>
          <w:lang w:eastAsia="zh-CN"/>
        </w:rPr>
      </w:pPr>
    </w:p>
    <w:p>
      <w:pPr>
        <w:snapToGrid w:val="0"/>
        <w:spacing w:line="594" w:lineRule="exact"/>
        <w:jc w:val="center"/>
        <w:rPr>
          <w:rFonts w:hint="eastAsia" w:ascii="Times New Roman" w:hAnsi="Times New Roman" w:eastAsia="方正小标宋_GBK" w:cs="Times New Roman"/>
          <w:bCs/>
          <w:color w:val="auto"/>
          <w:sz w:val="44"/>
          <w:szCs w:val="44"/>
          <w:lang w:eastAsia="zh-CN"/>
        </w:rPr>
      </w:pPr>
      <w:r>
        <w:rPr>
          <w:rFonts w:hint="eastAsia" w:ascii="Times New Roman" w:hAnsi="Times New Roman" w:eastAsia="方正小标宋_GBK" w:cs="Times New Roman"/>
          <w:bCs/>
          <w:color w:val="auto"/>
          <w:sz w:val="44"/>
          <w:szCs w:val="44"/>
          <w:lang w:eastAsia="zh-CN"/>
        </w:rPr>
        <w:t>哈密—重庆特高压直流受端</w:t>
      </w:r>
    </w:p>
    <w:p>
      <w:pPr>
        <w:snapToGrid w:val="0"/>
        <w:spacing w:line="594" w:lineRule="exact"/>
        <w:jc w:val="center"/>
        <w:rPr>
          <w:rFonts w:hint="eastAsia" w:ascii="Times New Roman" w:hAnsi="Times New Roman" w:eastAsia="方正小标宋_GBK" w:cs="Times New Roman"/>
          <w:bCs/>
          <w:color w:val="auto"/>
          <w:sz w:val="44"/>
          <w:szCs w:val="44"/>
          <w:lang w:eastAsia="zh-CN"/>
        </w:rPr>
      </w:pPr>
      <w:r>
        <w:rPr>
          <w:rFonts w:hint="eastAsia" w:ascii="Times New Roman" w:hAnsi="Times New Roman" w:eastAsia="方正小标宋_GBK" w:cs="Times New Roman"/>
          <w:bCs/>
          <w:color w:val="auto"/>
          <w:sz w:val="44"/>
          <w:szCs w:val="44"/>
          <w:lang w:eastAsia="zh-CN"/>
        </w:rPr>
        <w:t>500千伏配套送出工程（二期）项目</w:t>
      </w:r>
    </w:p>
    <w:p>
      <w:pPr>
        <w:snapToGrid w:val="0"/>
        <w:spacing w:line="594" w:lineRule="exact"/>
        <w:jc w:val="center"/>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水土保持方案报告书专家评审意见</w:t>
      </w:r>
    </w:p>
    <w:p>
      <w:pPr>
        <w:snapToGrid w:val="0"/>
        <w:spacing w:line="594" w:lineRule="exact"/>
        <w:ind w:firstLine="640" w:firstLineChars="200"/>
        <w:rPr>
          <w:rFonts w:hint="eastAsia" w:ascii="Times New Roman" w:hAnsi="Times New Roman" w:eastAsia="方正仿宋_GBK" w:cs="Times New Roman"/>
          <w:color w:val="auto"/>
          <w:sz w:val="32"/>
          <w:szCs w:val="32"/>
        </w:rPr>
      </w:pP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2024年</w:t>
      </w:r>
      <w:r>
        <w:rPr>
          <w:rFonts w:hint="eastAsia" w:ascii="Times New Roman" w:hAnsi="Times New Roman"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23</w:t>
      </w:r>
      <w:r>
        <w:rPr>
          <w:rFonts w:hint="eastAsia" w:ascii="Times New Roman" w:hAnsi="Times New Roman" w:eastAsia="方正仿宋_GBK" w:cs="Times New Roman"/>
          <w:color w:val="auto"/>
          <w:sz w:val="32"/>
          <w:szCs w:val="32"/>
        </w:rPr>
        <w:t>日，重庆市水利局组织召开了《</w:t>
      </w:r>
      <w:r>
        <w:rPr>
          <w:rFonts w:hint="eastAsia" w:ascii="Times New Roman" w:hAnsi="Times New Roman" w:eastAsia="方正仿宋_GBK" w:cs="Times New Roman"/>
          <w:color w:val="auto"/>
          <w:sz w:val="32"/>
          <w:szCs w:val="32"/>
          <w:lang w:eastAsia="zh-CN"/>
        </w:rPr>
        <w:t>哈密—重庆特高压直流受端500千伏配套送出工程（二期）项目</w:t>
      </w:r>
      <w:r>
        <w:rPr>
          <w:rFonts w:hint="eastAsia" w:ascii="Times New Roman" w:hAnsi="Times New Roman" w:eastAsia="方正仿宋_GBK" w:cs="Times New Roman"/>
          <w:color w:val="auto"/>
          <w:sz w:val="32"/>
          <w:szCs w:val="32"/>
        </w:rPr>
        <w:t>水土保持方案报告书》（以下简称《水保方案》）专家评审会。璧山区水利局、铜梁区水利局、长寿区水利局、沙坪坝区农业农村委、永川区水利局、合川区水利局、北碚区水利局、渝北区水利局、国网重庆市电力公司建设分公司（以下简称项目法人）、重庆龙翰环保工程有限公司（以下简称报告编制单位）、西南电力设计院有限公司（主体设计单位）的代表及特邀专家参加了会议</w:t>
      </w:r>
      <w:r>
        <w:rPr>
          <w:rFonts w:ascii="Times New Roman" w:hAnsi="Times New Roman" w:eastAsia="方正仿宋_GBK" w:cs="Times New Roman"/>
          <w:color w:val="auto"/>
          <w:sz w:val="32"/>
          <w:szCs w:val="32"/>
        </w:rPr>
        <w:t>。会议成立了专家组，专家组成员</w:t>
      </w:r>
      <w:r>
        <w:rPr>
          <w:rFonts w:hint="eastAsia" w:ascii="Times New Roman" w:hAnsi="Times New Roman" w:eastAsia="方正仿宋_GBK" w:cs="Times New Roman"/>
          <w:color w:val="auto"/>
          <w:sz w:val="32"/>
          <w:szCs w:val="32"/>
        </w:rPr>
        <w:t>会前详细审阅了《水保方案》</w:t>
      </w:r>
      <w:r>
        <w:rPr>
          <w:rFonts w:ascii="Times New Roman" w:hAnsi="Times New Roman" w:eastAsia="方正仿宋_GBK" w:cs="Times New Roman"/>
          <w:color w:val="auto"/>
          <w:sz w:val="32"/>
          <w:szCs w:val="32"/>
        </w:rPr>
        <w:t>，与会人员会上认真听取了报告编制单位的汇报，进行了深入讨论。根据</w:t>
      </w:r>
      <w:r>
        <w:rPr>
          <w:rFonts w:hint="eastAsia"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办水保</w:t>
      </w:r>
      <w:r>
        <w:rPr>
          <w:rFonts w:ascii="Times New Roman" w:hAnsi="Times New Roman" w:eastAsia="宋体" w:cs="Times New Roman"/>
          <w:color w:val="auto"/>
          <w:sz w:val="30"/>
          <w:szCs w:val="30"/>
        </w:rPr>
        <w:t>〔</w:t>
      </w:r>
      <w:r>
        <w:rPr>
          <w:rFonts w:hint="eastAsia" w:ascii="Times New Roman" w:hAnsi="Times New Roman" w:eastAsia="方正仿宋_GBK" w:cs="Times New Roman"/>
          <w:color w:val="auto"/>
          <w:sz w:val="32"/>
          <w:szCs w:val="32"/>
        </w:rPr>
        <w:t>20</w:t>
      </w:r>
      <w:r>
        <w:rPr>
          <w:rFonts w:hint="eastAsia" w:ascii="Times New Roman" w:hAnsi="Times New Roman" w:eastAsia="方正仿宋_GBK" w:cs="Times New Roman"/>
          <w:color w:val="auto"/>
          <w:sz w:val="32"/>
          <w:szCs w:val="32"/>
          <w:lang w:val="en-US" w:eastAsia="zh-CN"/>
        </w:rPr>
        <w:t>23</w:t>
      </w:r>
      <w:r>
        <w:rPr>
          <w:rFonts w:ascii="Times New Roman" w:hAnsi="Times New Roman" w:eastAsia="宋体" w:cs="Times New Roman"/>
          <w:color w:val="auto"/>
          <w:sz w:val="30"/>
          <w:szCs w:val="30"/>
        </w:rPr>
        <w:t>〕</w:t>
      </w:r>
      <w:r>
        <w:rPr>
          <w:rFonts w:hint="eastAsia" w:ascii="Times New Roman" w:hAnsi="Times New Roman" w:eastAsia="方正仿宋_GBK" w:cs="Times New Roman"/>
          <w:color w:val="auto"/>
          <w:sz w:val="32"/>
          <w:szCs w:val="32"/>
          <w:lang w:val="en-US" w:eastAsia="zh-CN"/>
        </w:rPr>
        <w:t>177</w:t>
      </w:r>
      <w:r>
        <w:rPr>
          <w:rFonts w:hint="eastAsia" w:ascii="Times New Roman" w:hAnsi="Times New Roman" w:eastAsia="方正仿宋_GBK" w:cs="Times New Roman"/>
          <w:color w:val="auto"/>
          <w:sz w:val="32"/>
          <w:szCs w:val="32"/>
        </w:rPr>
        <w:t>号”</w:t>
      </w:r>
      <w:r>
        <w:rPr>
          <w:rFonts w:ascii="Times New Roman" w:hAnsi="Times New Roman" w:eastAsia="方正仿宋_GBK" w:cs="Times New Roman"/>
          <w:color w:val="auto"/>
          <w:sz w:val="32"/>
          <w:szCs w:val="32"/>
        </w:rPr>
        <w:t>和“渝水</w:t>
      </w:r>
      <w:r>
        <w:rPr>
          <w:rFonts w:ascii="Times New Roman" w:hAnsi="Times New Roman" w:eastAsia="宋体" w:cs="Times New Roman"/>
          <w:color w:val="auto"/>
          <w:sz w:val="30"/>
          <w:szCs w:val="30"/>
        </w:rPr>
        <w:t>〔</w:t>
      </w:r>
      <w:r>
        <w:rPr>
          <w:rFonts w:ascii="Times New Roman" w:hAnsi="Times New Roman" w:eastAsia="方正仿宋_GBK" w:cs="Times New Roman"/>
          <w:color w:val="auto"/>
          <w:sz w:val="32"/>
          <w:szCs w:val="32"/>
        </w:rPr>
        <w:t>2018</w:t>
      </w:r>
      <w:r>
        <w:rPr>
          <w:rFonts w:ascii="Times New Roman" w:hAnsi="Times New Roman" w:eastAsia="宋体" w:cs="Times New Roman"/>
          <w:color w:val="auto"/>
          <w:sz w:val="30"/>
          <w:szCs w:val="30"/>
        </w:rPr>
        <w:t>〕</w:t>
      </w:r>
      <w:r>
        <w:rPr>
          <w:rFonts w:ascii="Times New Roman" w:hAnsi="Times New Roman" w:eastAsia="方正仿宋_GBK" w:cs="Times New Roman"/>
          <w:color w:val="auto"/>
          <w:sz w:val="32"/>
          <w:szCs w:val="32"/>
        </w:rPr>
        <w:t>267号”，各专家对《水保方案》进行了质量评分，质量评定等级合格。报告编制单位会后对《水保方案》进行了修改完善，202</w:t>
      </w:r>
      <w:r>
        <w:rPr>
          <w:rFonts w:hint="eastAsia" w:ascii="Times New Roman" w:hAnsi="Times New Roman" w:eastAsia="方正仿宋_GBK" w:cs="Times New Roman"/>
          <w:color w:val="auto"/>
          <w:sz w:val="32"/>
          <w:szCs w:val="32"/>
          <w:lang w:val="en-US" w:eastAsia="zh-CN"/>
        </w:rPr>
        <w:t>4</w:t>
      </w:r>
      <w:r>
        <w:rPr>
          <w:rFonts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6</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17</w:t>
      </w:r>
      <w:r>
        <w:rPr>
          <w:rFonts w:ascii="Times New Roman" w:hAnsi="Times New Roman" w:eastAsia="方正仿宋_GBK" w:cs="Times New Roman"/>
          <w:color w:val="auto"/>
          <w:sz w:val="32"/>
          <w:szCs w:val="32"/>
        </w:rPr>
        <w:t>日</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项目法人提交了修改完善后的《水保方案》。经专家组复核，形成专家评审意见如下：</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一、综合说明</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方案编制所依据的法律法规、部委规章、规范性文件、规范标准和技术文件及采用的资料基本正确。</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（二）同意方案设计水平年为2026年。</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（三）同意水土流失防治责任范围界定，水土流失防治责任范围面积为84.56hm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vertAlign w:val="baseline"/>
          <w:lang w:eastAsia="zh-CN"/>
        </w:rPr>
        <w:t>，其中：璧山区</w:t>
      </w:r>
      <w:r>
        <w:rPr>
          <w:rFonts w:hint="eastAsia" w:ascii="Times New Roman" w:hAnsi="Times New Roman" w:eastAsia="方正仿宋_GBK" w:cs="Times New Roman"/>
          <w:color w:val="auto"/>
          <w:sz w:val="32"/>
          <w:szCs w:val="32"/>
          <w:vertAlign w:val="baseline"/>
          <w:lang w:val="en-US" w:eastAsia="zh-CN"/>
        </w:rPr>
        <w:t>2.85</w:t>
      </w:r>
      <w:r>
        <w:rPr>
          <w:rFonts w:hint="eastAsia" w:ascii="Times New Roman" w:hAnsi="Times New Roman" w:eastAsia="方正仿宋_GBK" w:cs="Times New Roman"/>
          <w:color w:val="auto"/>
          <w:sz w:val="32"/>
          <w:szCs w:val="32"/>
        </w:rPr>
        <w:t>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vertAlign w:val="baseline"/>
          <w:lang w:eastAsia="zh-CN"/>
        </w:rPr>
        <w:t>、铜梁区</w:t>
      </w:r>
      <w:r>
        <w:rPr>
          <w:rFonts w:hint="eastAsia" w:ascii="Times New Roman" w:hAnsi="Times New Roman" w:eastAsia="方正仿宋_GBK" w:cs="Times New Roman"/>
          <w:color w:val="auto"/>
          <w:sz w:val="32"/>
          <w:szCs w:val="32"/>
          <w:vertAlign w:val="baseline"/>
          <w:lang w:val="en-US" w:eastAsia="zh-CN"/>
        </w:rPr>
        <w:t>8.58</w:t>
      </w:r>
      <w:r>
        <w:rPr>
          <w:rFonts w:hint="eastAsia" w:ascii="Times New Roman" w:hAnsi="Times New Roman" w:eastAsia="方正仿宋_GBK" w:cs="Times New Roman"/>
          <w:color w:val="auto"/>
          <w:sz w:val="32"/>
          <w:szCs w:val="32"/>
        </w:rPr>
        <w:t>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vertAlign w:val="baseline"/>
          <w:lang w:eastAsia="zh-CN"/>
        </w:rPr>
        <w:t>、合川区</w:t>
      </w:r>
      <w:r>
        <w:rPr>
          <w:rFonts w:hint="eastAsia" w:ascii="Times New Roman" w:hAnsi="Times New Roman" w:eastAsia="方正仿宋_GBK" w:cs="Times New Roman"/>
          <w:color w:val="auto"/>
          <w:sz w:val="32"/>
          <w:szCs w:val="32"/>
          <w:vertAlign w:val="baseline"/>
          <w:lang w:val="en-US" w:eastAsia="zh-CN"/>
        </w:rPr>
        <w:t>40.12</w:t>
      </w:r>
      <w:r>
        <w:rPr>
          <w:rFonts w:hint="eastAsia" w:ascii="Times New Roman" w:hAnsi="Times New Roman" w:eastAsia="方正仿宋_GBK" w:cs="Times New Roman"/>
          <w:color w:val="auto"/>
          <w:sz w:val="32"/>
          <w:szCs w:val="32"/>
        </w:rPr>
        <w:t>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vertAlign w:val="baseline"/>
          <w:lang w:eastAsia="zh-CN"/>
        </w:rPr>
        <w:t>、北碚区</w:t>
      </w:r>
      <w:r>
        <w:rPr>
          <w:rFonts w:hint="eastAsia" w:ascii="Times New Roman" w:hAnsi="Times New Roman" w:eastAsia="方正仿宋_GBK" w:cs="Times New Roman"/>
          <w:color w:val="auto"/>
          <w:sz w:val="32"/>
          <w:szCs w:val="32"/>
          <w:vertAlign w:val="baseline"/>
          <w:lang w:val="en-US" w:eastAsia="zh-CN"/>
        </w:rPr>
        <w:t>8.56</w:t>
      </w:r>
      <w:r>
        <w:rPr>
          <w:rFonts w:hint="eastAsia" w:ascii="Times New Roman" w:hAnsi="Times New Roman" w:eastAsia="方正仿宋_GBK" w:cs="Times New Roman"/>
          <w:color w:val="auto"/>
          <w:sz w:val="32"/>
          <w:szCs w:val="32"/>
        </w:rPr>
        <w:t>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vertAlign w:val="baseline"/>
          <w:lang w:eastAsia="zh-CN"/>
        </w:rPr>
        <w:t>、渝北区</w:t>
      </w:r>
      <w:r>
        <w:rPr>
          <w:rFonts w:hint="eastAsia" w:ascii="Times New Roman" w:hAnsi="Times New Roman" w:eastAsia="方正仿宋_GBK" w:cs="Times New Roman"/>
          <w:color w:val="auto"/>
          <w:sz w:val="32"/>
          <w:szCs w:val="32"/>
          <w:vertAlign w:val="baseline"/>
          <w:lang w:val="en-US" w:eastAsia="zh-CN"/>
        </w:rPr>
        <w:t>22.36</w:t>
      </w:r>
      <w:r>
        <w:rPr>
          <w:rFonts w:hint="eastAsia" w:ascii="Times New Roman" w:hAnsi="Times New Roman" w:eastAsia="方正仿宋_GBK" w:cs="Times New Roman"/>
          <w:color w:val="auto"/>
          <w:sz w:val="32"/>
          <w:szCs w:val="32"/>
        </w:rPr>
        <w:t>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vertAlign w:val="baseline"/>
          <w:lang w:eastAsia="zh-CN"/>
        </w:rPr>
        <w:t>、长寿区</w:t>
      </w:r>
      <w:r>
        <w:rPr>
          <w:rFonts w:hint="eastAsia" w:ascii="Times New Roman" w:hAnsi="Times New Roman" w:eastAsia="方正仿宋_GBK" w:cs="Times New Roman"/>
          <w:color w:val="auto"/>
          <w:sz w:val="32"/>
          <w:szCs w:val="32"/>
          <w:vertAlign w:val="baseline"/>
          <w:lang w:val="en-US" w:eastAsia="zh-CN"/>
        </w:rPr>
        <w:t>0.89</w:t>
      </w:r>
      <w:r>
        <w:rPr>
          <w:rFonts w:hint="eastAsia" w:ascii="Times New Roman" w:hAnsi="Times New Roman" w:eastAsia="方正仿宋_GBK" w:cs="Times New Roman"/>
          <w:color w:val="auto"/>
          <w:sz w:val="32"/>
          <w:szCs w:val="32"/>
        </w:rPr>
        <w:t>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vertAlign w:val="baseline"/>
          <w:lang w:eastAsia="zh-CN"/>
        </w:rPr>
        <w:t>、沙坪坝区</w:t>
      </w:r>
      <w:r>
        <w:rPr>
          <w:rFonts w:hint="eastAsia" w:ascii="Times New Roman" w:hAnsi="Times New Roman" w:eastAsia="方正仿宋_GBK" w:cs="Times New Roman"/>
          <w:color w:val="auto"/>
          <w:sz w:val="32"/>
          <w:szCs w:val="32"/>
          <w:vertAlign w:val="baseline"/>
          <w:lang w:val="en-US" w:eastAsia="zh-CN"/>
        </w:rPr>
        <w:t>0.56</w:t>
      </w:r>
      <w:r>
        <w:rPr>
          <w:rFonts w:hint="eastAsia" w:ascii="Times New Roman" w:hAnsi="Times New Roman" w:eastAsia="方正仿宋_GBK" w:cs="Times New Roman"/>
          <w:color w:val="auto"/>
          <w:sz w:val="32"/>
          <w:szCs w:val="32"/>
        </w:rPr>
        <w:t>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vertAlign w:val="baseline"/>
          <w:lang w:eastAsia="zh-CN"/>
        </w:rPr>
        <w:t>、永川区</w:t>
      </w:r>
      <w:r>
        <w:rPr>
          <w:rFonts w:hint="eastAsia" w:ascii="Times New Roman" w:hAnsi="Times New Roman" w:eastAsia="方正仿宋_GBK" w:cs="Times New Roman"/>
          <w:color w:val="auto"/>
          <w:sz w:val="32"/>
          <w:szCs w:val="32"/>
          <w:vertAlign w:val="baseline"/>
          <w:lang w:val="en-US" w:eastAsia="zh-CN"/>
        </w:rPr>
        <w:t>0.64</w:t>
      </w:r>
      <w:r>
        <w:rPr>
          <w:rFonts w:hint="eastAsia" w:ascii="Times New Roman" w:hAnsi="Times New Roman" w:eastAsia="方正仿宋_GBK" w:cs="Times New Roman"/>
          <w:color w:val="auto"/>
          <w:sz w:val="32"/>
          <w:szCs w:val="32"/>
        </w:rPr>
        <w:t>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（四）同意项目水土流失防治标准等级执行西南紫色土区一级标准。</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（五）同意水土流失防治目标。其中：水土流失治理度97%，土壤流失控制比1.0，渣土防护率92%，表土保护率92%，林草植被恢复率97%，林草覆盖率25%</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二、项目概况</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项目概况阐述基本清楚。哈密—重庆特高压直流受端500千伏配套送出工程（二期）项目，建设单位为国网重庆市电力公司建设分公司，由变电站工程和线路工程两大部分组成。项目涉及璧山区、铜梁区、长寿区、沙坪坝区、永川区、合川区、北碚区和渝北区等区县。</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变电站部分由九个子项组成：①铜梁1000kV变电站扩建工程本期扩建至重庆换流站500kV出线间隔2个，扩建1组240Mvar低抗，另外原至圣泉2回出线站外改接至陈家桥站，需完善站内相关设备，占地面积0.34hm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。②长寿500千伏变电站本期需将原来至思源2回出线站外改接至重庆换流站，新建HGIS基础及500kV支柱绝缘子支架，占地面积0.73hm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③金山500千伏变电站本期需将原来至明月山2回出线站外改接至重庆换流站，不涉及土建。④明月山500千伏变电站本期需将原来至金山2回出线站外改接至重庆换流站，不涉及土建。⑤思源500千伏变电站本期需将原来至长寿2回出线站外断开，原出线间隔将退出运行，作为备用间隔，不涉及土建。⑥陈家桥500千伏变电站本期需将原来至板桥2回出线站外改接至铜梁1000千伏特高压站，本期对本工程至铜梁特2个间隔出线间隔的相关CT进行改造，将其更换为断路器布置双侧CT，占地面积0.46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。⑦板桥500千伏变电站本期需将原来至陈家桥2回出线站外改接至圣泉500千伏变电站，本期对本工程至铜梁特2个间隔出线间隔的相关CT进行改造，将其更换为断路器布置双侧CT，占地面积0.54hm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⑧圣泉500千伏变电站本期需将原来至铜梁特高压1000千伏变电站的2回500千伏出线改接至板桥站，不涉及土建。⑨石坪500kV变电站改造工程将长寿～明月山、明月山～石坪线路进行增容改造，不涉及土建。金山、明月山、思源、石坪、圣泉5个变电站不纳入本项目防治责任范围。</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变电站部分占地面积2.43hm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永久占地2.07hm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，临时用地0.36hm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。变电站临时堆场区布置在站外空地上，用来堆放表土及材料。</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线路部分由六个子项组成：①金山～明月山500kV线路开断接入渝北换线路工程，新建线路路径长度约4.4km，按同塔双回路设计，同期架设两根72芯OPGW，新建杆塔13基，均在渝北区境内。②思源～长寿500kV线路改接工程，新建线路路径长度约14.1km，按两个单回路设计，同期架设三根48芯OPGW，新建杆塔32基，均在渝北区境内。③渝北换～铜梁特500kV线路工程，新建线路路径长度约111km，按同塔双回路设计，同期架设两根72芯OPGW，新建杆塔256基，途经渝北区、北碚区、合川区、铜梁区。④铜梁特～圣泉、板桥～陈家桥500kV线路换接工程，新建线路路径长度约4.1km，其中2.1km按单回路设计、2.0km按同塔双回路设计，同期架设两根72芯OPGW，新建杆塔10基，均在璧山区境内。⑤思源～长寿500kV线路增容改造工程，对思长一线、思长二线更换耐热导线进行增容，长度约37.479km；思长二线更换为两根OPGW－110（48芯）光缆，路径长度约18.202km，拆除重建1基，位于渝北区。⑥长寿～明月山、明月山～石坪500kV线路温升改造工程，对明石一线、明石二线、长明一线、长明二线进行温升改造，温升改造校验路径长度约91.414km，不新立铁塔，不纳入本项目防治责任范围。</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新建线路总长约133.6km，新建杆塔311基，拆除重建1基。塔基工程占地面积59.78hm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永久占地20.41hm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，临时用地39.37hm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。共布设牵张场32处，占地面积5.64hm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；跨越施工场地7处，占地面积1.12hm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；车行施工便道165条/16621m，人抬道路65条/13116m，总占地面积15.59hm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，均为临时用地。塔基施工场地、表土堆放场等其他临时设施均布置在相应的工程建设范围内。</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本工程总占地面积84.56hm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永久占地22.48hm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，临时占地62.08hm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。工程总挖方19.99万m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（含表土剥离8.99万m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），总填方19.99万m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（含表土回覆8.99万m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），无借方和弃方。工程计划2024年7月开工，2025年12月完工，总工期18个月。本工程线路路径涉及的房屋的拆除由建设单位采取货币一次性补偿的方案。工程建设总投资157356万元，其中土建投资为64690万元。</w:t>
      </w:r>
    </w:p>
    <w:p>
      <w:pPr>
        <w:snapToGrid w:val="0"/>
        <w:spacing w:line="594" w:lineRule="exact"/>
        <w:ind w:firstLine="640" w:firstLineChars="200"/>
        <w:rPr>
          <w:rFonts w:ascii="Times New Roman" w:hAnsi="Times New Roman" w:eastAsia="方正仿宋_GBK" w:cs="Times New Roman"/>
          <w:bCs/>
          <w:color w:val="auto"/>
          <w:sz w:val="32"/>
          <w:szCs w:val="32"/>
        </w:rPr>
      </w:pPr>
      <w:r>
        <w:rPr>
          <w:rFonts w:hint="eastAsia" w:ascii="Times New Roman" w:hAnsi="Times New Roman" w:eastAsia="方正仿宋_GBK" w:cs="Times New Roman"/>
          <w:color w:val="auto"/>
          <w:sz w:val="32"/>
          <w:szCs w:val="32"/>
        </w:rPr>
        <w:t>（二）项目区地形地貌、地质、土壤植被、气象、水文、水土流失及水土保持现状等情况阐述基本清楚</w:t>
      </w:r>
      <w:r>
        <w:rPr>
          <w:rFonts w:ascii="Times New Roman" w:hAnsi="Times New Roman" w:eastAsia="方正仿宋_GBK" w:cs="Times New Roman"/>
          <w:bCs/>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三、项目水土保持评价</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本同意主体工程选址（线）水土保持评价。本工程选址（线）涉及北碚区、合川区水土流失重点预防区以及渝北区、合川区、长寿区水土流失重点治理区且无法避让，已经执行水土流失防治最高标准（一级标准），符合法律法规要求。</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（二）基本同意建设方案与布局水土保持评价。</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（三）对主体工程设计中水土保持措施的界定基本合理</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四、水土流失分析与预测</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同意对项目水土流失现状及影响分析。</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（二）工程扰动地表面积为84.56hm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，施工损坏植被面积为44.60hm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（三）项目建设可能造成水土流失总量为7787t，新增水土流失量为5720t。</w:t>
      </w:r>
    </w:p>
    <w:p>
      <w:pPr>
        <w:snapToGrid w:val="0"/>
        <w:spacing w:line="594" w:lineRule="exact"/>
        <w:ind w:firstLine="640" w:firstLineChars="200"/>
        <w:rPr>
          <w:rFonts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rPr>
        <w:t>（四）基本同意水土流失的危害性分析</w:t>
      </w:r>
      <w:r>
        <w:rPr>
          <w:rFonts w:hint="eastAsia" w:ascii="Times New Roman" w:hAnsi="Times New Roman" w:eastAsia="方正仿宋_GBK" w:cs="Times New Roman"/>
          <w:color w:val="auto"/>
          <w:sz w:val="32"/>
          <w:szCs w:val="32"/>
          <w:lang w:val="en-US" w:eastAsia="zh-CN"/>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五、水土保持措施</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（一）</w:t>
      </w:r>
      <w:r>
        <w:rPr>
          <w:rFonts w:hint="eastAsia" w:ascii="Times New Roman" w:hAnsi="Times New Roman" w:eastAsia="方正仿宋_GBK" w:cs="Times New Roman"/>
          <w:bCs/>
          <w:color w:val="auto"/>
          <w:sz w:val="32"/>
          <w:szCs w:val="32"/>
        </w:rPr>
        <w:t>基本同意项目水土流失防治分区划分为变电站工程、线路工程2个一级防治区</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其中</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变电站工程</w:t>
      </w:r>
      <w:r>
        <w:rPr>
          <w:rFonts w:hint="eastAsia" w:ascii="Times New Roman" w:hAnsi="Times New Roman" w:eastAsia="方正仿宋_GBK" w:cs="Times New Roman"/>
          <w:bCs/>
          <w:color w:val="auto"/>
          <w:sz w:val="32"/>
          <w:szCs w:val="32"/>
          <w:lang w:eastAsia="zh-CN"/>
        </w:rPr>
        <w:t>防治区</w:t>
      </w:r>
      <w:r>
        <w:rPr>
          <w:rFonts w:hint="eastAsia" w:ascii="Times New Roman" w:hAnsi="Times New Roman" w:eastAsia="方正仿宋_GBK" w:cs="Times New Roman"/>
          <w:bCs/>
          <w:color w:val="auto"/>
          <w:sz w:val="32"/>
          <w:szCs w:val="32"/>
        </w:rPr>
        <w:t>划分为主体工程和临时堆场区2个二级防治区；线路工程防治区划分为塔基工程、施工便道、牵张场、跨越施工场地4个二级防治区。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（二）由主体工程设计中具有水土保持功能的措施和本方案新增的水土保持措施所组成的水土保持措施体系基本合理。</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（三）新增防护措施设计基本恰当。</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1.变电站工程防治区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（1）主体工程</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施工前，对变电站改建部分损毁植被区域进行表土剥离，集中堆放在站外临时堆场区。施工完成后，恢复绿化区域进行土地整治并回填表土，然后植草皮。</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（2）临时堆场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对前期剥离的表土上覆彩条布遮盖，四周采用填土编织袋拦挡。施工完成后，对临时堆场区进行土地整治，然后复耕或恢复植被。</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2.线路工程防治区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（1）塔基工程</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施工前期，对永久占地范围内的耕地、园地和林草地进行表土剥离，集中堆放于塔基施工区</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平地型塔基四周采用填土编织袋拦挡，坡地及坡顶型塔基在边坡下侧进行拦挡。施工过程中，坡地和坡顶型塔基下边坡设填土编织袋拦挡</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裸露边坡和临时堆土等遇降雨</w:t>
      </w:r>
      <w:r>
        <w:rPr>
          <w:rFonts w:hint="eastAsia" w:ascii="Times New Roman" w:hAnsi="Times New Roman" w:eastAsia="方正仿宋_GBK" w:cs="Times New Roman"/>
          <w:bCs/>
          <w:color w:val="auto"/>
          <w:sz w:val="32"/>
          <w:szCs w:val="32"/>
          <w:lang w:eastAsia="zh-CN"/>
        </w:rPr>
        <w:t>时，</w:t>
      </w:r>
      <w:r>
        <w:rPr>
          <w:rFonts w:hint="eastAsia" w:ascii="Times New Roman" w:hAnsi="Times New Roman" w:eastAsia="方正仿宋_GBK" w:cs="Times New Roman"/>
          <w:bCs/>
          <w:color w:val="auto"/>
          <w:sz w:val="32"/>
          <w:szCs w:val="32"/>
        </w:rPr>
        <w:t>采用彩条布临时覆盖</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在有汇水的塔基上边坡修建排水沟，接入周边自然沟道</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灌注桩的基础开挖过程中布设沉沙池，当塔基施工区域坡度较大时，在塔基下侧修筑挡土坎，将多余土方填筑在坎内侧，并对余土进行平整。施工后期，场地进行土地整治并回填表土，永久占地撒播种草，临时占地范围内占用耕地和园地的进行复耕、占用林草地的恢复植被。</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（2）施工便道</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车行施工便道占地范围内的耕地、园地和林草地进行表土剥离，堆放在塔基临时用地范围内，四周采用填土编织袋拦挡。施工过程中，上坡有汇水的车行施工便道内侧设临时排水沟，接入周边自然沟道，排水沟出口设临时沉沙池；裸露边坡及堆土遇降雨</w:t>
      </w:r>
      <w:r>
        <w:rPr>
          <w:rFonts w:hint="eastAsia" w:ascii="Times New Roman" w:hAnsi="Times New Roman" w:eastAsia="方正仿宋_GBK" w:cs="Times New Roman"/>
          <w:bCs/>
          <w:color w:val="auto"/>
          <w:sz w:val="32"/>
          <w:szCs w:val="32"/>
          <w:lang w:eastAsia="zh-CN"/>
        </w:rPr>
        <w:t>时，</w:t>
      </w:r>
      <w:r>
        <w:rPr>
          <w:rFonts w:hint="eastAsia" w:ascii="Times New Roman" w:hAnsi="Times New Roman" w:eastAsia="方正仿宋_GBK" w:cs="Times New Roman"/>
          <w:bCs/>
          <w:color w:val="auto"/>
          <w:sz w:val="32"/>
          <w:szCs w:val="32"/>
        </w:rPr>
        <w:t>采用彩条布临时覆盖。施工后期，对施工便道进行土地整治并回填表土，占用耕地和园地的进行复耕、占用林草地的恢复植被</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人抬施工便道进行土地整治，占用耕地和园地的进行复耕、占用林草地的恢复植被。</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（3）牵张场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施工过程中，对整个牵张场地铺垫棕垫进行防护。施工后期，对牵张场进行土地整治，占用耕地的进行复耕、占用林草地的恢复植被。</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（4）跨越施工场地</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施工后期，对跨越施工场地进行土地整治，占用耕地的进行复耕、占用林草地的恢复植被。</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bCs/>
          <w:color w:val="auto"/>
          <w:sz w:val="32"/>
          <w:szCs w:val="32"/>
        </w:rPr>
        <w:t>（四）水土保持施工组织设计基本可行</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六、水土保持监测</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基本同意水土保持监测方案</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七、水土保持投资估算及效益分析</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投资概算编制依据正确，费用及定额选择基本合理，编制深度基本满足规范要求。</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（二）经审核，水土保持方案工程静态总投资1267.05万元，其中：主体已列449.02万元，方案新增818.03万元</w:t>
      </w:r>
      <w:r>
        <w:rPr>
          <w:rFonts w:hint="eastAsia" w:ascii="Times New Roman" w:hAnsi="Times New Roman" w:eastAsia="方正仿宋_GBK" w:cs="Times New Roman"/>
          <w:color w:val="auto"/>
          <w:sz w:val="32"/>
          <w:szCs w:val="32"/>
          <w:lang w:eastAsia="zh-CN"/>
        </w:rPr>
        <w:t>（其中：</w:t>
      </w:r>
      <w:r>
        <w:rPr>
          <w:rFonts w:hint="eastAsia" w:ascii="Times New Roman" w:hAnsi="Times New Roman" w:eastAsia="方正仿宋_GBK" w:cs="Times New Roman"/>
          <w:color w:val="auto"/>
          <w:sz w:val="32"/>
          <w:szCs w:val="32"/>
        </w:rPr>
        <w:t>工程措施244.61万元，植物措施0.07万元，监测措施70.55万元，施工临时措施255.79万元，独立费用89.03万元，基本预备费39.60万元，水土保持补偿费118.384万元</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仿宋_GBK" w:cs="Times New Roman"/>
          <w:color w:val="FF0000"/>
          <w:sz w:val="32"/>
          <w:szCs w:val="32"/>
        </w:rPr>
      </w:pPr>
      <w:r>
        <w:rPr>
          <w:rFonts w:hint="eastAsia" w:ascii="Times New Roman" w:hAnsi="Times New Roman" w:eastAsia="方正仿宋_GBK" w:cs="Times New Roman"/>
          <w:color w:val="auto"/>
          <w:sz w:val="32"/>
          <w:szCs w:val="32"/>
        </w:rPr>
        <w:t>（三）效益分析方法基本正确，分析结果基本合理</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八、水土保持管理</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本方案中提出的组织管理、水土保持监测、水土保持监理、水土保持施工、水土保持设施验收等水土保持管理要求基本可行。</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黑体_GBK" w:cs="Times New Roman"/>
          <w:bCs/>
          <w:color w:val="auto"/>
          <w:sz w:val="32"/>
          <w:szCs w:val="32"/>
        </w:rPr>
        <w:t>九、其他</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项目法人应加强施工组织，优化施工工艺，减少土石方开挖填筑、地表扰动及植被破坏，落实生态恢复措施，严格控制工程建设中水土流失。</w:t>
      </w:r>
    </w:p>
    <w:p>
      <w:pPr>
        <w:snapToGrid w:val="0"/>
        <w:spacing w:line="560" w:lineRule="exact"/>
        <w:ind w:firstLine="640" w:firstLineChars="200"/>
        <w:rPr>
          <w:rFonts w:hint="eastAsia" w:ascii="Times New Roman" w:hAnsi="Times New Roman" w:eastAsia="方正仿宋_GBK" w:cs="Times New Roman"/>
          <w:color w:val="auto"/>
          <w:sz w:val="32"/>
          <w:szCs w:val="32"/>
        </w:rPr>
      </w:pPr>
    </w:p>
    <w:p>
      <w:pPr>
        <w:pStyle w:val="2"/>
        <w:rPr>
          <w:rFonts w:hint="eastAsia"/>
        </w:rPr>
      </w:pPr>
    </w:p>
    <w:p>
      <w:pPr>
        <w:snapToGrid w:val="0"/>
        <w:spacing w:line="560" w:lineRule="exact"/>
        <w:ind w:left="1598" w:leftChars="228" w:hanging="960" w:hangingChars="300"/>
        <w:rPr>
          <w:rFonts w:ascii="Times New Roman" w:hAnsi="Times New Roman" w:eastAsia="方正仿宋_GBK" w:cs="Times New Roman"/>
          <w:color w:val="FF0000"/>
          <w:sz w:val="32"/>
          <w:szCs w:val="32"/>
        </w:rPr>
      </w:pPr>
      <w:r>
        <w:rPr>
          <w:rFonts w:hint="eastAsia" w:ascii="Times New Roman" w:hAnsi="Times New Roman" w:eastAsia="方正仿宋_GBK" w:cs="Times New Roman"/>
          <w:color w:val="auto"/>
          <w:sz w:val="32"/>
          <w:szCs w:val="32"/>
        </w:rPr>
        <w:t>附件：</w:t>
      </w:r>
      <w:r>
        <w:rPr>
          <w:rFonts w:hint="eastAsia" w:ascii="Times New Roman" w:hAnsi="Times New Roman" w:eastAsia="方正仿宋_GBK" w:cs="Times New Roman"/>
          <w:color w:val="auto"/>
          <w:sz w:val="32"/>
          <w:szCs w:val="32"/>
          <w:lang w:eastAsia="zh-CN"/>
        </w:rPr>
        <w:t>哈密—重庆特高压直流受端500千伏配套送出工程（二</w:t>
      </w:r>
      <w:r>
        <w:rPr>
          <w:rFonts w:hint="eastAsia"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eastAsia="zh-CN"/>
        </w:rPr>
        <w:t>期）项目</w:t>
      </w:r>
      <w:r>
        <w:rPr>
          <w:rFonts w:hint="eastAsia" w:ascii="Times New Roman" w:hAnsi="Times New Roman" w:eastAsia="方正仿宋_GBK" w:cs="Times New Roman"/>
          <w:color w:val="auto"/>
          <w:sz w:val="32"/>
          <w:szCs w:val="32"/>
        </w:rPr>
        <w:t>水土保持方案投资估算审核表</w:t>
      </w:r>
      <w:r>
        <w:rPr>
          <w:rFonts w:ascii="Times New Roman" w:hAnsi="Times New Roman" w:eastAsia="方正仿宋_GBK" w:cs="Times New Roman"/>
          <w:color w:val="FF0000"/>
          <w:sz w:val="32"/>
          <w:szCs w:val="32"/>
        </w:rPr>
        <w:t xml:space="preserve">                    </w:t>
      </w:r>
    </w:p>
    <w:p>
      <w:pPr>
        <w:snapToGrid w:val="0"/>
        <w:spacing w:line="594" w:lineRule="exact"/>
        <w:ind w:firstLine="640" w:firstLineChars="200"/>
        <w:jc w:val="left"/>
        <w:rPr>
          <w:rFonts w:ascii="Times New Roman" w:hAnsi="Times New Roman" w:eastAsia="方正仿宋_GBK" w:cs="Times New Roman"/>
          <w:color w:val="FF0000"/>
          <w:sz w:val="32"/>
          <w:szCs w:val="32"/>
        </w:rPr>
      </w:pPr>
      <w:r>
        <w:rPr>
          <w:rFonts w:ascii="Times New Roman" w:hAnsi="Times New Roman" w:eastAsia="方正仿宋_GBK" w:cs="Times New Roman"/>
          <w:color w:val="FF0000"/>
          <w:sz w:val="32"/>
          <w:szCs w:val="32"/>
        </w:rPr>
        <w:t xml:space="preserve">                        </w:t>
      </w:r>
    </w:p>
    <w:p>
      <w:pPr>
        <w:snapToGrid w:val="0"/>
        <w:spacing w:line="594" w:lineRule="exact"/>
        <w:ind w:firstLine="640" w:firstLineChars="200"/>
        <w:jc w:val="left"/>
        <w:rPr>
          <w:rFonts w:ascii="Times New Roman" w:hAnsi="Times New Roman" w:eastAsia="方正仿宋_GBK" w:cs="Times New Roman"/>
          <w:color w:val="FF0000"/>
          <w:sz w:val="32"/>
          <w:szCs w:val="32"/>
        </w:rPr>
      </w:pPr>
      <w:r>
        <w:rPr>
          <w:rFonts w:ascii="Times New Roman" w:hAnsi="Times New Roman" w:eastAsia="方正仿宋_GBK" w:cs="Times New Roman"/>
          <w:sz w:val="32"/>
          <w:szCs w:val="32"/>
        </w:rPr>
        <w:drawing>
          <wp:anchor distT="0" distB="0" distL="114300" distR="114300" simplePos="0" relativeHeight="251659264" behindDoc="0" locked="0" layoutInCell="1" allowOverlap="1">
            <wp:simplePos x="0" y="0"/>
            <wp:positionH relativeFrom="column">
              <wp:posOffset>4424045</wp:posOffset>
            </wp:positionH>
            <wp:positionV relativeFrom="paragraph">
              <wp:posOffset>325755</wp:posOffset>
            </wp:positionV>
            <wp:extent cx="615315" cy="325120"/>
            <wp:effectExtent l="0" t="0" r="9525" b="1016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rcRect l="2875" t="5371" r="4675" b="11636"/>
                    <a:stretch>
                      <a:fillRect/>
                    </a:stretch>
                  </pic:blipFill>
                  <pic:spPr>
                    <a:xfrm>
                      <a:off x="0" y="0"/>
                      <a:ext cx="615315" cy="325120"/>
                    </a:xfrm>
                    <a:prstGeom prst="rect">
                      <a:avLst/>
                    </a:prstGeom>
                    <a:noFill/>
                    <a:ln>
                      <a:noFill/>
                    </a:ln>
                  </pic:spPr>
                </pic:pic>
              </a:graphicData>
            </a:graphic>
          </wp:anchor>
        </w:drawing>
      </w:r>
    </w:p>
    <w:p>
      <w:pPr>
        <w:snapToGrid w:val="0"/>
        <w:spacing w:line="240" w:lineRule="auto"/>
        <w:ind w:firstLine="4800" w:firstLineChars="1500"/>
        <w:jc w:val="left"/>
        <w:rPr>
          <w:rFonts w:hint="eastAsia"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rPr>
        <w:t xml:space="preserve"> 专家组组长：</w:t>
      </w:r>
    </w:p>
    <w:p>
      <w:pPr>
        <w:snapToGrid w:val="0"/>
        <w:spacing w:line="594" w:lineRule="exact"/>
        <w:ind w:firstLine="5120" w:firstLineChars="1600"/>
        <w:rPr>
          <w:rFonts w:eastAsia="方正仿宋_GBK"/>
          <w:color w:val="FF0000"/>
          <w:sz w:val="32"/>
          <w:szCs w:val="32"/>
        </w:rPr>
        <w:sectPr>
          <w:footerReference r:id="rId3" w:type="default"/>
          <w:pgSz w:w="11906" w:h="16838"/>
          <w:pgMar w:top="1985" w:right="1446" w:bottom="1684" w:left="1446" w:header="851" w:footer="1474" w:gutter="0"/>
          <w:pgBorders>
            <w:top w:val="none" w:sz="0" w:space="0"/>
            <w:left w:val="none" w:sz="0" w:space="0"/>
            <w:bottom w:val="none" w:sz="0" w:space="0"/>
            <w:right w:val="none" w:sz="0" w:space="0"/>
          </w:pgBorders>
          <w:cols w:space="720" w:num="1"/>
          <w:docGrid w:linePitch="381" w:charSpace="0"/>
        </w:sectPr>
      </w:pP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4</w:t>
      </w:r>
      <w:r>
        <w:rPr>
          <w:rFonts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6</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20</w:t>
      </w:r>
      <w:r>
        <w:rPr>
          <w:rFonts w:ascii="Times New Roman" w:hAnsi="Times New Roman" w:eastAsia="方正仿宋_GBK" w:cs="Times New Roman"/>
          <w:color w:val="auto"/>
          <w:sz w:val="32"/>
          <w:szCs w:val="32"/>
        </w:rPr>
        <w:t>日</w:t>
      </w:r>
      <w:bookmarkStart w:id="0" w:name="_GoBack"/>
      <w:bookmarkEnd w:id="0"/>
    </w:p>
    <w:p>
      <w:pPr>
        <w:snapToGrid w:val="0"/>
        <w:spacing w:line="594" w:lineRule="exact"/>
        <w:jc w:val="left"/>
        <w:rPr>
          <w:rFonts w:ascii="Times New Roman" w:hAnsi="Times New Roman" w:eastAsia="方正黑体_GBK" w:cs="Times New Roman"/>
          <w:color w:val="auto"/>
          <w:w w:val="90"/>
          <w:sz w:val="32"/>
          <w:szCs w:val="32"/>
        </w:rPr>
      </w:pPr>
      <w:r>
        <w:rPr>
          <w:rFonts w:ascii="Times New Roman" w:hAnsi="Times New Roman" w:eastAsia="方正黑体_GBK" w:cs="Times New Roman"/>
          <w:color w:val="auto"/>
          <w:w w:val="90"/>
          <w:sz w:val="32"/>
          <w:szCs w:val="32"/>
        </w:rPr>
        <w:t>附件</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_GBK" w:cs="Times New Roman"/>
          <w:color w:val="auto"/>
          <w:spacing w:val="0"/>
          <w:w w:val="100"/>
          <w:sz w:val="32"/>
          <w:szCs w:val="32"/>
        </w:rPr>
      </w:pPr>
      <w:r>
        <w:rPr>
          <w:rFonts w:hint="eastAsia" w:ascii="Times New Roman" w:hAnsi="Times New Roman" w:eastAsia="方正小标宋_GBK" w:cs="Times New Roman"/>
          <w:color w:val="auto"/>
          <w:spacing w:val="0"/>
          <w:w w:val="100"/>
          <w:sz w:val="32"/>
          <w:szCs w:val="32"/>
        </w:rPr>
        <w:t>哈密—重庆特高压直流受端500千伏配套送出工程</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ascii="Times New Roman" w:hAnsi="Times New Roman" w:eastAsia="方正小标宋_GBK" w:cs="Times New Roman"/>
          <w:color w:val="auto"/>
          <w:spacing w:val="0"/>
          <w:w w:val="100"/>
          <w:sz w:val="32"/>
          <w:szCs w:val="32"/>
        </w:rPr>
      </w:pPr>
      <w:r>
        <w:rPr>
          <w:rFonts w:hint="eastAsia" w:ascii="Times New Roman" w:hAnsi="Times New Roman" w:eastAsia="方正小标宋_GBK" w:cs="Times New Roman"/>
          <w:color w:val="auto"/>
          <w:spacing w:val="0"/>
          <w:w w:val="100"/>
          <w:sz w:val="32"/>
          <w:szCs w:val="32"/>
        </w:rPr>
        <w:t>（二期）项目</w:t>
      </w:r>
      <w:r>
        <w:rPr>
          <w:rFonts w:ascii="Times New Roman" w:hAnsi="Times New Roman" w:eastAsia="方正小标宋_GBK" w:cs="Times New Roman"/>
          <w:color w:val="auto"/>
          <w:spacing w:val="0"/>
          <w:w w:val="100"/>
          <w:sz w:val="32"/>
          <w:szCs w:val="32"/>
        </w:rPr>
        <w:t>水土保持方案投资估算审核表</w:t>
      </w:r>
    </w:p>
    <w:p>
      <w:pPr>
        <w:widowControl/>
        <w:jc w:val="righ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单位：万元</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2"/>
        <w:gridCol w:w="2273"/>
        <w:gridCol w:w="899"/>
        <w:gridCol w:w="794"/>
        <w:gridCol w:w="1004"/>
        <w:gridCol w:w="899"/>
        <w:gridCol w:w="794"/>
        <w:gridCol w:w="1004"/>
        <w:gridCol w:w="9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0" w:type="auto"/>
            <w:vMerge w:val="restart"/>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序号</w:t>
            </w:r>
          </w:p>
        </w:tc>
        <w:tc>
          <w:tcPr>
            <w:tcW w:w="0" w:type="auto"/>
            <w:vMerge w:val="restart"/>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工程或费用名称</w:t>
            </w:r>
          </w:p>
        </w:tc>
        <w:tc>
          <w:tcPr>
            <w:tcW w:w="0" w:type="auto"/>
            <w:gridSpan w:val="3"/>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设计投资</w:t>
            </w:r>
          </w:p>
        </w:tc>
        <w:tc>
          <w:tcPr>
            <w:tcW w:w="0" w:type="auto"/>
            <w:gridSpan w:val="3"/>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审核投资</w:t>
            </w:r>
          </w:p>
        </w:tc>
        <w:tc>
          <w:tcPr>
            <w:tcW w:w="0" w:type="auto"/>
            <w:vMerge w:val="restart"/>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增减</w:t>
            </w:r>
          </w:p>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0" w:type="auto"/>
            <w:vMerge w:val="continue"/>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val="0"/>
                <w:color w:val="000000"/>
                <w:kern w:val="0"/>
                <w:sz w:val="21"/>
                <w:szCs w:val="21"/>
              </w:rPr>
            </w:pPr>
          </w:p>
        </w:tc>
        <w:tc>
          <w:tcPr>
            <w:tcW w:w="0" w:type="auto"/>
            <w:vMerge w:val="continue"/>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val="0"/>
                <w:color w:val="000000"/>
                <w:kern w:val="0"/>
                <w:sz w:val="21"/>
                <w:szCs w:val="21"/>
              </w:rPr>
            </w:pP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方案</w:t>
            </w:r>
          </w:p>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新增</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主体</w:t>
            </w:r>
          </w:p>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已列</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合计</w:t>
            </w:r>
          </w:p>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（万元）</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方案</w:t>
            </w:r>
          </w:p>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新增</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主体</w:t>
            </w:r>
          </w:p>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已列</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合计</w:t>
            </w:r>
          </w:p>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（万元）</w:t>
            </w:r>
          </w:p>
        </w:tc>
        <w:tc>
          <w:tcPr>
            <w:tcW w:w="0" w:type="auto"/>
            <w:vMerge w:val="continue"/>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val="0"/>
                <w:bCs w:val="0"/>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第一部分：工程措施</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244.61</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320.98</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565.59</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244.61</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320.98</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565.59</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lang w:val="en-US" w:eastAsia="zh-CN"/>
              </w:rPr>
            </w:pPr>
            <w:r>
              <w:rPr>
                <w:rFonts w:hint="default" w:ascii="Times New Roman" w:hAnsi="Times New Roman" w:eastAsia="宋体" w:cs="Times New Roman"/>
                <w:b/>
                <w:bCs/>
                <w:color w:val="000000"/>
                <w:kern w:val="0"/>
                <w:sz w:val="21"/>
                <w:szCs w:val="21"/>
              </w:rPr>
              <w:t>0</w:t>
            </w:r>
            <w:r>
              <w:rPr>
                <w:rFonts w:hint="eastAsia" w:ascii="Times New Roman" w:hAnsi="Times New Roman" w:eastAsia="宋体" w:cs="Times New Roman"/>
                <w:b/>
                <w:bCs/>
                <w:color w:val="000000"/>
                <w:kern w:val="0"/>
                <w:sz w:val="21"/>
                <w:szCs w:val="21"/>
                <w:lang w:val="en-US" w:eastAsia="zh-CN"/>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变电工程防治区</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10.94</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5.74</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16.68</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10.94</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5.74</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16.68</w:t>
            </w:r>
          </w:p>
        </w:tc>
        <w:tc>
          <w:tcPr>
            <w:tcW w:w="95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color w:val="000000"/>
                <w:kern w:val="0"/>
                <w:sz w:val="21"/>
                <w:szCs w:val="21"/>
              </w:rPr>
              <w:t>0</w:t>
            </w:r>
            <w:r>
              <w:rPr>
                <w:rFonts w:hint="eastAsia" w:ascii="Times New Roman" w:hAnsi="Times New Roman" w:eastAsia="宋体" w:cs="Times New Roman"/>
                <w:b/>
                <w:bCs/>
                <w:color w:val="000000"/>
                <w:kern w:val="0"/>
                <w:sz w:val="21"/>
                <w:szCs w:val="21"/>
                <w:lang w:val="en-US" w:eastAsia="zh-CN"/>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线路工程防治区</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233.67</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315.24</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548.91</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233.67</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315.24</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548.91</w:t>
            </w:r>
          </w:p>
        </w:tc>
        <w:tc>
          <w:tcPr>
            <w:tcW w:w="95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color w:val="000000"/>
                <w:kern w:val="0"/>
                <w:sz w:val="21"/>
                <w:szCs w:val="21"/>
              </w:rPr>
              <w:t>0</w:t>
            </w:r>
            <w:r>
              <w:rPr>
                <w:rFonts w:hint="eastAsia" w:ascii="Times New Roman" w:hAnsi="Times New Roman" w:eastAsia="宋体" w:cs="Times New Roman"/>
                <w:b/>
                <w:bCs/>
                <w:color w:val="000000"/>
                <w:kern w:val="0"/>
                <w:sz w:val="21"/>
                <w:szCs w:val="21"/>
                <w:lang w:val="en-US" w:eastAsia="zh-CN"/>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第二部分：植物措施</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0.07</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128.04</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128.11</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0.07</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128.04</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128.11</w:t>
            </w:r>
          </w:p>
        </w:tc>
        <w:tc>
          <w:tcPr>
            <w:tcW w:w="95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0</w:t>
            </w:r>
            <w:r>
              <w:rPr>
                <w:rFonts w:hint="eastAsia" w:ascii="Times New Roman" w:hAnsi="Times New Roman" w:eastAsia="宋体" w:cs="Times New Roman"/>
                <w:b/>
                <w:bCs/>
                <w:color w:val="000000"/>
                <w:kern w:val="0"/>
                <w:sz w:val="21"/>
                <w:szCs w:val="21"/>
                <w:lang w:val="en-US" w:eastAsia="zh-CN"/>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变电工程防治区</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0.07</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46.3</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46.37</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0.07</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46.3</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46.37</w:t>
            </w:r>
          </w:p>
        </w:tc>
        <w:tc>
          <w:tcPr>
            <w:tcW w:w="95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color w:val="000000"/>
                <w:kern w:val="0"/>
                <w:sz w:val="21"/>
                <w:szCs w:val="21"/>
              </w:rPr>
              <w:t>0</w:t>
            </w:r>
            <w:r>
              <w:rPr>
                <w:rFonts w:hint="eastAsia" w:ascii="Times New Roman" w:hAnsi="Times New Roman" w:eastAsia="宋体" w:cs="Times New Roman"/>
                <w:b/>
                <w:bCs/>
                <w:color w:val="000000"/>
                <w:kern w:val="0"/>
                <w:sz w:val="21"/>
                <w:szCs w:val="21"/>
                <w:lang w:val="en-US" w:eastAsia="zh-CN"/>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线路工程防治区</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81.74</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81.74</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81.74</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81.74</w:t>
            </w:r>
          </w:p>
        </w:tc>
        <w:tc>
          <w:tcPr>
            <w:tcW w:w="95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color w:val="000000"/>
                <w:kern w:val="0"/>
                <w:sz w:val="21"/>
                <w:szCs w:val="21"/>
              </w:rPr>
              <w:t>0</w:t>
            </w:r>
            <w:r>
              <w:rPr>
                <w:rFonts w:hint="eastAsia" w:ascii="Times New Roman" w:hAnsi="Times New Roman" w:eastAsia="宋体" w:cs="Times New Roman"/>
                <w:b/>
                <w:bCs/>
                <w:color w:val="000000"/>
                <w:kern w:val="0"/>
                <w:sz w:val="21"/>
                <w:szCs w:val="21"/>
                <w:lang w:val="en-US" w:eastAsia="zh-CN"/>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第三部分：监测措施</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70.55</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　</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70.55</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70.55</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　</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70.55</w:t>
            </w:r>
          </w:p>
        </w:tc>
        <w:tc>
          <w:tcPr>
            <w:tcW w:w="95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0</w:t>
            </w:r>
            <w:r>
              <w:rPr>
                <w:rFonts w:hint="eastAsia" w:ascii="Times New Roman" w:hAnsi="Times New Roman" w:eastAsia="宋体" w:cs="Times New Roman"/>
                <w:b/>
                <w:bCs/>
                <w:color w:val="000000"/>
                <w:kern w:val="0"/>
                <w:sz w:val="21"/>
                <w:szCs w:val="21"/>
                <w:lang w:val="en-US" w:eastAsia="zh-CN"/>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监测运行费</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68.97</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68.97</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68.97</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68.97</w:t>
            </w:r>
          </w:p>
        </w:tc>
        <w:tc>
          <w:tcPr>
            <w:tcW w:w="95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color w:val="000000"/>
                <w:kern w:val="0"/>
                <w:sz w:val="21"/>
                <w:szCs w:val="21"/>
              </w:rPr>
              <w:t>0</w:t>
            </w:r>
            <w:r>
              <w:rPr>
                <w:rFonts w:hint="eastAsia" w:ascii="Times New Roman" w:hAnsi="Times New Roman" w:eastAsia="宋体" w:cs="Times New Roman"/>
                <w:b/>
                <w:bCs/>
                <w:color w:val="000000"/>
                <w:kern w:val="0"/>
                <w:sz w:val="21"/>
                <w:szCs w:val="21"/>
                <w:lang w:val="en-US" w:eastAsia="zh-CN"/>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设备费</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1.58</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1.58</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1.58</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1.58</w:t>
            </w:r>
          </w:p>
        </w:tc>
        <w:tc>
          <w:tcPr>
            <w:tcW w:w="95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color w:val="000000"/>
                <w:kern w:val="0"/>
                <w:sz w:val="21"/>
                <w:szCs w:val="21"/>
              </w:rPr>
              <w:t>0</w:t>
            </w:r>
            <w:r>
              <w:rPr>
                <w:rFonts w:hint="eastAsia" w:ascii="Times New Roman" w:hAnsi="Times New Roman" w:eastAsia="宋体" w:cs="Times New Roman"/>
                <w:b/>
                <w:bCs/>
                <w:color w:val="000000"/>
                <w:kern w:val="0"/>
                <w:sz w:val="21"/>
                <w:szCs w:val="21"/>
                <w:lang w:val="en-US" w:eastAsia="zh-CN"/>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第四部分：施工临时措施</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255.79</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　</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255.79</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255.79</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　</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255.79</w:t>
            </w:r>
          </w:p>
        </w:tc>
        <w:tc>
          <w:tcPr>
            <w:tcW w:w="95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0</w:t>
            </w:r>
            <w:r>
              <w:rPr>
                <w:rFonts w:hint="eastAsia" w:ascii="Times New Roman" w:hAnsi="Times New Roman" w:eastAsia="宋体" w:cs="Times New Roman"/>
                <w:b/>
                <w:bCs/>
                <w:color w:val="000000"/>
                <w:kern w:val="0"/>
                <w:sz w:val="21"/>
                <w:szCs w:val="21"/>
                <w:lang w:val="en-US" w:eastAsia="zh-CN"/>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变电工程防治区</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5.21</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5.21</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5.21</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5.21</w:t>
            </w:r>
          </w:p>
        </w:tc>
        <w:tc>
          <w:tcPr>
            <w:tcW w:w="95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color w:val="000000"/>
                <w:kern w:val="0"/>
                <w:sz w:val="21"/>
                <w:szCs w:val="21"/>
              </w:rPr>
              <w:t>0</w:t>
            </w:r>
            <w:r>
              <w:rPr>
                <w:rFonts w:hint="eastAsia" w:ascii="Times New Roman" w:hAnsi="Times New Roman" w:eastAsia="宋体" w:cs="Times New Roman"/>
                <w:b/>
                <w:bCs/>
                <w:color w:val="000000"/>
                <w:kern w:val="0"/>
                <w:sz w:val="21"/>
                <w:szCs w:val="21"/>
                <w:lang w:val="en-US" w:eastAsia="zh-CN"/>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线路工程防治区</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245.69</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245.69</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245.69</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245.69</w:t>
            </w:r>
          </w:p>
        </w:tc>
        <w:tc>
          <w:tcPr>
            <w:tcW w:w="95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color w:val="000000"/>
                <w:kern w:val="0"/>
                <w:sz w:val="21"/>
                <w:szCs w:val="21"/>
              </w:rPr>
              <w:t>0</w:t>
            </w:r>
            <w:r>
              <w:rPr>
                <w:rFonts w:hint="eastAsia" w:ascii="Times New Roman" w:hAnsi="Times New Roman" w:eastAsia="宋体" w:cs="Times New Roman"/>
                <w:b/>
                <w:bCs/>
                <w:color w:val="000000"/>
                <w:kern w:val="0"/>
                <w:sz w:val="21"/>
                <w:szCs w:val="21"/>
                <w:lang w:val="en-US" w:eastAsia="zh-CN"/>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其他临时工程</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4.89</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4.89</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4.89</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4.89</w:t>
            </w:r>
          </w:p>
        </w:tc>
        <w:tc>
          <w:tcPr>
            <w:tcW w:w="95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color w:val="000000"/>
                <w:kern w:val="0"/>
                <w:sz w:val="21"/>
                <w:szCs w:val="21"/>
              </w:rPr>
              <w:t>0</w:t>
            </w:r>
            <w:r>
              <w:rPr>
                <w:rFonts w:hint="eastAsia" w:ascii="Times New Roman" w:hAnsi="Times New Roman" w:eastAsia="宋体" w:cs="Times New Roman"/>
                <w:b/>
                <w:bCs/>
                <w:color w:val="000000"/>
                <w:kern w:val="0"/>
                <w:sz w:val="21"/>
                <w:szCs w:val="21"/>
                <w:lang w:val="en-US" w:eastAsia="zh-CN"/>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第五部分：独立费用</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89.03</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　</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89.03</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89.03</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　</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89.03</w:t>
            </w:r>
          </w:p>
        </w:tc>
        <w:tc>
          <w:tcPr>
            <w:tcW w:w="95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0</w:t>
            </w:r>
            <w:r>
              <w:rPr>
                <w:rFonts w:hint="eastAsia" w:ascii="Times New Roman" w:hAnsi="Times New Roman" w:eastAsia="宋体" w:cs="Times New Roman"/>
                <w:b/>
                <w:bCs/>
                <w:color w:val="000000"/>
                <w:kern w:val="0"/>
                <w:sz w:val="21"/>
                <w:szCs w:val="21"/>
                <w:lang w:val="en-US" w:eastAsia="zh-CN"/>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技术咨询费</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55.71</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55.71</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55.71</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55.71</w:t>
            </w:r>
          </w:p>
        </w:tc>
        <w:tc>
          <w:tcPr>
            <w:tcW w:w="95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color w:val="000000"/>
                <w:kern w:val="0"/>
                <w:sz w:val="21"/>
                <w:szCs w:val="21"/>
              </w:rPr>
              <w:t>0</w:t>
            </w:r>
            <w:r>
              <w:rPr>
                <w:rFonts w:hint="eastAsia" w:ascii="Times New Roman" w:hAnsi="Times New Roman" w:eastAsia="宋体" w:cs="Times New Roman"/>
                <w:b/>
                <w:bCs/>
                <w:color w:val="000000"/>
                <w:kern w:val="0"/>
                <w:sz w:val="21"/>
                <w:szCs w:val="21"/>
                <w:lang w:val="en-US" w:eastAsia="zh-CN"/>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水土保持方案编制费</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35</w:t>
            </w:r>
            <w:r>
              <w:rPr>
                <w:rFonts w:hint="eastAsia" w:ascii="Times New Roman" w:hAnsi="Times New Roman" w:eastAsia="宋体" w:cs="Times New Roman"/>
                <w:color w:val="000000"/>
                <w:kern w:val="0"/>
                <w:sz w:val="21"/>
                <w:szCs w:val="21"/>
                <w:lang w:val="en-US" w:eastAsia="zh-CN"/>
              </w:rPr>
              <w:t>.00</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35</w:t>
            </w:r>
            <w:r>
              <w:rPr>
                <w:rFonts w:hint="eastAsia" w:ascii="Times New Roman" w:hAnsi="Times New Roman" w:eastAsia="宋体" w:cs="Times New Roman"/>
                <w:color w:val="000000"/>
                <w:kern w:val="0"/>
                <w:sz w:val="21"/>
                <w:szCs w:val="21"/>
                <w:lang w:val="en-US" w:eastAsia="zh-CN"/>
              </w:rPr>
              <w:t>.00</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35</w:t>
            </w:r>
            <w:r>
              <w:rPr>
                <w:rFonts w:hint="eastAsia" w:ascii="Times New Roman" w:hAnsi="Times New Roman" w:eastAsia="宋体" w:cs="Times New Roman"/>
                <w:color w:val="000000"/>
                <w:kern w:val="0"/>
                <w:sz w:val="21"/>
                <w:szCs w:val="21"/>
                <w:lang w:val="en-US" w:eastAsia="zh-CN"/>
              </w:rPr>
              <w:t>.00</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35</w:t>
            </w:r>
            <w:r>
              <w:rPr>
                <w:rFonts w:hint="eastAsia" w:ascii="Times New Roman" w:hAnsi="Times New Roman" w:eastAsia="宋体" w:cs="Times New Roman"/>
                <w:color w:val="000000"/>
                <w:kern w:val="0"/>
                <w:sz w:val="21"/>
                <w:szCs w:val="21"/>
                <w:lang w:val="en-US" w:eastAsia="zh-CN"/>
              </w:rPr>
              <w:t>.00</w:t>
            </w:r>
          </w:p>
        </w:tc>
        <w:tc>
          <w:tcPr>
            <w:tcW w:w="95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color w:val="000000"/>
                <w:kern w:val="0"/>
                <w:sz w:val="21"/>
                <w:szCs w:val="21"/>
              </w:rPr>
              <w:t>0</w:t>
            </w:r>
            <w:r>
              <w:rPr>
                <w:rFonts w:hint="eastAsia" w:ascii="Times New Roman" w:hAnsi="Times New Roman" w:eastAsia="宋体" w:cs="Times New Roman"/>
                <w:b/>
                <w:bCs/>
                <w:color w:val="000000"/>
                <w:kern w:val="0"/>
                <w:sz w:val="21"/>
                <w:szCs w:val="21"/>
                <w:lang w:val="en-US" w:eastAsia="zh-CN"/>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水土保持设施验收报告编制费</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20.71</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20.71</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20.71</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20.71</w:t>
            </w:r>
          </w:p>
        </w:tc>
        <w:tc>
          <w:tcPr>
            <w:tcW w:w="95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color w:val="000000"/>
                <w:kern w:val="0"/>
                <w:sz w:val="21"/>
                <w:szCs w:val="21"/>
              </w:rPr>
              <w:t>0</w:t>
            </w:r>
            <w:r>
              <w:rPr>
                <w:rFonts w:hint="eastAsia" w:ascii="Times New Roman" w:hAnsi="Times New Roman" w:eastAsia="宋体" w:cs="Times New Roman"/>
                <w:b/>
                <w:bCs/>
                <w:color w:val="000000"/>
                <w:kern w:val="0"/>
                <w:sz w:val="21"/>
                <w:szCs w:val="21"/>
                <w:lang w:val="en-US" w:eastAsia="zh-CN"/>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工程管理费</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33.32</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33.32</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33.32</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33.32</w:t>
            </w:r>
          </w:p>
        </w:tc>
        <w:tc>
          <w:tcPr>
            <w:tcW w:w="95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color w:val="000000"/>
                <w:kern w:val="0"/>
                <w:sz w:val="21"/>
                <w:szCs w:val="21"/>
              </w:rPr>
              <w:t>0</w:t>
            </w:r>
            <w:r>
              <w:rPr>
                <w:rFonts w:hint="eastAsia" w:ascii="Times New Roman" w:hAnsi="Times New Roman" w:eastAsia="宋体" w:cs="Times New Roman"/>
                <w:b/>
                <w:bCs/>
                <w:color w:val="000000"/>
                <w:kern w:val="0"/>
                <w:sz w:val="21"/>
                <w:szCs w:val="21"/>
                <w:lang w:val="en-US" w:eastAsia="zh-CN"/>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建设管理费</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33.32</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33.32</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33.32</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33.32</w:t>
            </w:r>
          </w:p>
        </w:tc>
        <w:tc>
          <w:tcPr>
            <w:tcW w:w="95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color w:val="000000"/>
                <w:kern w:val="0"/>
                <w:sz w:val="21"/>
                <w:szCs w:val="21"/>
              </w:rPr>
              <w:t>0</w:t>
            </w:r>
            <w:r>
              <w:rPr>
                <w:rFonts w:hint="eastAsia" w:ascii="Times New Roman" w:hAnsi="Times New Roman" w:eastAsia="宋体" w:cs="Times New Roman"/>
                <w:b/>
                <w:bCs/>
                <w:color w:val="000000"/>
                <w:kern w:val="0"/>
                <w:sz w:val="21"/>
                <w:szCs w:val="21"/>
                <w:lang w:val="en-US" w:eastAsia="zh-CN"/>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Ⅰ</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第一至五部分合计</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660.05</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449.02</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1109.07</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660.05</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449.02</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1109.07</w:t>
            </w:r>
          </w:p>
        </w:tc>
        <w:tc>
          <w:tcPr>
            <w:tcW w:w="95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0</w:t>
            </w:r>
            <w:r>
              <w:rPr>
                <w:rFonts w:hint="eastAsia" w:ascii="Times New Roman" w:hAnsi="Times New Roman" w:eastAsia="宋体" w:cs="Times New Roman"/>
                <w:b/>
                <w:bCs/>
                <w:color w:val="000000"/>
                <w:kern w:val="0"/>
                <w:sz w:val="21"/>
                <w:szCs w:val="21"/>
                <w:lang w:val="en-US" w:eastAsia="zh-CN"/>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Ⅱ</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基本预备费</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bCs/>
                <w:color w:val="000000"/>
                <w:kern w:val="0"/>
                <w:sz w:val="21"/>
                <w:szCs w:val="21"/>
                <w:lang w:val="en-US" w:eastAsia="zh-CN"/>
              </w:rPr>
            </w:pPr>
            <w:r>
              <w:rPr>
                <w:rFonts w:hint="default" w:ascii="Times New Roman" w:hAnsi="Times New Roman" w:eastAsia="宋体" w:cs="Times New Roman"/>
                <w:b/>
                <w:bCs/>
                <w:color w:val="000000"/>
                <w:kern w:val="0"/>
                <w:sz w:val="21"/>
                <w:szCs w:val="21"/>
              </w:rPr>
              <w:t>39.6</w:t>
            </w:r>
            <w:r>
              <w:rPr>
                <w:rFonts w:hint="eastAsia" w:ascii="Times New Roman" w:hAnsi="Times New Roman" w:eastAsia="宋体" w:cs="Times New Roman"/>
                <w:b/>
                <w:bCs/>
                <w:color w:val="000000"/>
                <w:kern w:val="0"/>
                <w:sz w:val="21"/>
                <w:szCs w:val="21"/>
                <w:lang w:val="en-US" w:eastAsia="zh-CN"/>
              </w:rPr>
              <w:t>0</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　</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bCs/>
                <w:color w:val="000000"/>
                <w:kern w:val="0"/>
                <w:sz w:val="21"/>
                <w:szCs w:val="21"/>
                <w:lang w:val="en-US" w:eastAsia="zh-CN"/>
              </w:rPr>
            </w:pPr>
            <w:r>
              <w:rPr>
                <w:rFonts w:hint="default" w:ascii="Times New Roman" w:hAnsi="Times New Roman" w:eastAsia="宋体" w:cs="Times New Roman"/>
                <w:b/>
                <w:bCs/>
                <w:color w:val="000000"/>
                <w:kern w:val="0"/>
                <w:sz w:val="21"/>
                <w:szCs w:val="21"/>
              </w:rPr>
              <w:t>39.6</w:t>
            </w:r>
            <w:r>
              <w:rPr>
                <w:rFonts w:hint="eastAsia" w:ascii="Times New Roman" w:hAnsi="Times New Roman" w:eastAsia="宋体" w:cs="Times New Roman"/>
                <w:b/>
                <w:bCs/>
                <w:color w:val="000000"/>
                <w:kern w:val="0"/>
                <w:sz w:val="21"/>
                <w:szCs w:val="21"/>
                <w:lang w:val="en-US" w:eastAsia="zh-CN"/>
              </w:rPr>
              <w:t>0</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bCs/>
                <w:color w:val="000000"/>
                <w:kern w:val="0"/>
                <w:sz w:val="21"/>
                <w:szCs w:val="21"/>
                <w:lang w:val="en-US" w:eastAsia="zh-CN"/>
              </w:rPr>
            </w:pPr>
            <w:r>
              <w:rPr>
                <w:rFonts w:hint="default" w:ascii="Times New Roman" w:hAnsi="Times New Roman" w:eastAsia="宋体" w:cs="Times New Roman"/>
                <w:b/>
                <w:bCs/>
                <w:color w:val="000000"/>
                <w:kern w:val="0"/>
                <w:sz w:val="21"/>
                <w:szCs w:val="21"/>
              </w:rPr>
              <w:t>39.6</w:t>
            </w:r>
            <w:r>
              <w:rPr>
                <w:rFonts w:hint="eastAsia" w:ascii="Times New Roman" w:hAnsi="Times New Roman" w:eastAsia="宋体" w:cs="Times New Roman"/>
                <w:b/>
                <w:bCs/>
                <w:color w:val="000000"/>
                <w:kern w:val="0"/>
                <w:sz w:val="21"/>
                <w:szCs w:val="21"/>
                <w:lang w:val="en-US" w:eastAsia="zh-CN"/>
              </w:rPr>
              <w:t>0</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　</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bCs/>
                <w:color w:val="000000"/>
                <w:kern w:val="0"/>
                <w:sz w:val="21"/>
                <w:szCs w:val="21"/>
                <w:lang w:val="en-US" w:eastAsia="zh-CN"/>
              </w:rPr>
            </w:pPr>
            <w:r>
              <w:rPr>
                <w:rFonts w:hint="default" w:ascii="Times New Roman" w:hAnsi="Times New Roman" w:eastAsia="宋体" w:cs="Times New Roman"/>
                <w:b/>
                <w:bCs/>
                <w:color w:val="000000"/>
                <w:kern w:val="0"/>
                <w:sz w:val="21"/>
                <w:szCs w:val="21"/>
              </w:rPr>
              <w:t>39.6</w:t>
            </w:r>
            <w:r>
              <w:rPr>
                <w:rFonts w:hint="eastAsia" w:ascii="Times New Roman" w:hAnsi="Times New Roman" w:eastAsia="宋体" w:cs="Times New Roman"/>
                <w:b/>
                <w:bCs/>
                <w:color w:val="000000"/>
                <w:kern w:val="0"/>
                <w:sz w:val="21"/>
                <w:szCs w:val="21"/>
                <w:lang w:val="en-US" w:eastAsia="zh-CN"/>
              </w:rPr>
              <w:t>0</w:t>
            </w:r>
          </w:p>
        </w:tc>
        <w:tc>
          <w:tcPr>
            <w:tcW w:w="95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0</w:t>
            </w:r>
            <w:r>
              <w:rPr>
                <w:rFonts w:hint="eastAsia" w:ascii="Times New Roman" w:hAnsi="Times New Roman" w:eastAsia="宋体" w:cs="Times New Roman"/>
                <w:b/>
                <w:bCs/>
                <w:color w:val="000000"/>
                <w:kern w:val="0"/>
                <w:sz w:val="21"/>
                <w:szCs w:val="21"/>
                <w:lang w:val="en-US" w:eastAsia="zh-CN"/>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Ⅲ</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水土保持补偿费</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kern w:val="0"/>
                <w:sz w:val="21"/>
                <w:szCs w:val="21"/>
                <w:lang w:val="en-US" w:eastAsia="zh-CN"/>
              </w:rPr>
            </w:pPr>
            <w:r>
              <w:rPr>
                <w:rFonts w:hint="default" w:ascii="Times New Roman" w:hAnsi="Times New Roman" w:eastAsia="宋体" w:cs="Times New Roman"/>
                <w:b/>
                <w:bCs/>
                <w:color w:val="auto"/>
                <w:kern w:val="0"/>
                <w:sz w:val="21"/>
                <w:szCs w:val="21"/>
              </w:rPr>
              <w:t>118.38</w:t>
            </w:r>
            <w:r>
              <w:rPr>
                <w:rFonts w:hint="default" w:ascii="Times New Roman" w:hAnsi="Times New Roman" w:eastAsia="宋体" w:cs="Times New Roman"/>
                <w:b/>
                <w:bCs/>
                <w:color w:val="auto"/>
                <w:kern w:val="0"/>
                <w:sz w:val="21"/>
                <w:szCs w:val="21"/>
                <w:lang w:val="en-US" w:eastAsia="zh-CN"/>
              </w:rPr>
              <w:t>4</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　</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kern w:val="0"/>
                <w:sz w:val="21"/>
                <w:szCs w:val="21"/>
                <w:lang w:val="en-US" w:eastAsia="zh-CN"/>
              </w:rPr>
            </w:pPr>
            <w:r>
              <w:rPr>
                <w:rFonts w:hint="default" w:ascii="Times New Roman" w:hAnsi="Times New Roman" w:eastAsia="宋体" w:cs="Times New Roman"/>
                <w:b/>
                <w:bCs/>
                <w:color w:val="auto"/>
                <w:kern w:val="0"/>
                <w:sz w:val="21"/>
                <w:szCs w:val="21"/>
              </w:rPr>
              <w:t>118.3</w:t>
            </w:r>
            <w:r>
              <w:rPr>
                <w:rFonts w:hint="default" w:ascii="Times New Roman" w:hAnsi="Times New Roman" w:eastAsia="宋体" w:cs="Times New Roman"/>
                <w:b/>
                <w:bCs/>
                <w:color w:val="auto"/>
                <w:kern w:val="0"/>
                <w:sz w:val="21"/>
                <w:szCs w:val="21"/>
                <w:lang w:val="en-US" w:eastAsia="zh-CN"/>
              </w:rPr>
              <w:t>84</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kern w:val="0"/>
                <w:sz w:val="21"/>
                <w:szCs w:val="21"/>
                <w:lang w:val="en-US" w:eastAsia="zh-CN"/>
              </w:rPr>
            </w:pPr>
            <w:r>
              <w:rPr>
                <w:rFonts w:hint="default" w:ascii="Times New Roman" w:hAnsi="Times New Roman" w:eastAsia="宋体" w:cs="Times New Roman"/>
                <w:b/>
                <w:bCs/>
                <w:color w:val="auto"/>
                <w:kern w:val="0"/>
                <w:sz w:val="21"/>
                <w:szCs w:val="21"/>
              </w:rPr>
              <w:t>118.38</w:t>
            </w:r>
            <w:r>
              <w:rPr>
                <w:rFonts w:hint="default" w:ascii="Times New Roman" w:hAnsi="Times New Roman" w:eastAsia="宋体" w:cs="Times New Roman"/>
                <w:b/>
                <w:bCs/>
                <w:color w:val="auto"/>
                <w:kern w:val="0"/>
                <w:sz w:val="21"/>
                <w:szCs w:val="21"/>
                <w:lang w:val="en-US" w:eastAsia="zh-CN"/>
              </w:rPr>
              <w:t>4</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　</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kern w:val="0"/>
                <w:sz w:val="21"/>
                <w:szCs w:val="21"/>
                <w:lang w:val="en-US" w:eastAsia="zh-CN"/>
              </w:rPr>
            </w:pPr>
            <w:r>
              <w:rPr>
                <w:rFonts w:hint="default" w:ascii="Times New Roman" w:hAnsi="Times New Roman" w:eastAsia="宋体" w:cs="Times New Roman"/>
                <w:b/>
                <w:bCs/>
                <w:color w:val="auto"/>
                <w:kern w:val="0"/>
                <w:sz w:val="21"/>
                <w:szCs w:val="21"/>
              </w:rPr>
              <w:t>118.38</w:t>
            </w:r>
            <w:r>
              <w:rPr>
                <w:rFonts w:hint="default" w:ascii="Times New Roman" w:hAnsi="Times New Roman" w:eastAsia="宋体" w:cs="Times New Roman"/>
                <w:b/>
                <w:bCs/>
                <w:color w:val="auto"/>
                <w:kern w:val="0"/>
                <w:sz w:val="21"/>
                <w:szCs w:val="21"/>
                <w:lang w:val="en-US" w:eastAsia="zh-CN"/>
              </w:rPr>
              <w:t>4</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lang w:val="en-US" w:eastAsia="zh-CN"/>
              </w:rPr>
            </w:pPr>
            <w:r>
              <w:rPr>
                <w:rFonts w:hint="default" w:ascii="Times New Roman" w:hAnsi="Times New Roman" w:eastAsia="宋体" w:cs="Times New Roman"/>
                <w:b/>
                <w:bCs/>
                <w:color w:val="000000"/>
                <w:kern w:val="0"/>
                <w:sz w:val="21"/>
                <w:szCs w:val="21"/>
              </w:rPr>
              <w:t>0</w:t>
            </w:r>
            <w:r>
              <w:rPr>
                <w:rFonts w:hint="eastAsia" w:ascii="Times New Roman" w:hAnsi="Times New Roman" w:eastAsia="宋体" w:cs="Times New Roman"/>
                <w:b/>
                <w:bCs/>
                <w:color w:val="000000"/>
                <w:kern w:val="0"/>
                <w:sz w:val="21"/>
                <w:szCs w:val="21"/>
                <w:lang w:val="en-US" w:eastAsia="zh-CN"/>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0" w:type="auto"/>
            <w:gridSpan w:val="2"/>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总投资（Ⅰ+Ⅱ+Ⅲ）</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kern w:val="0"/>
                <w:sz w:val="21"/>
                <w:szCs w:val="21"/>
                <w:lang w:val="en-US" w:eastAsia="zh-CN"/>
              </w:rPr>
            </w:pPr>
            <w:r>
              <w:rPr>
                <w:rFonts w:hint="default" w:ascii="Times New Roman" w:hAnsi="Times New Roman" w:eastAsia="宋体" w:cs="Times New Roman"/>
                <w:b/>
                <w:bCs/>
                <w:color w:val="auto"/>
                <w:kern w:val="0"/>
                <w:sz w:val="21"/>
                <w:szCs w:val="21"/>
              </w:rPr>
              <w:t>818.03</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449.02</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kern w:val="0"/>
                <w:sz w:val="21"/>
                <w:szCs w:val="21"/>
                <w:lang w:val="en-US" w:eastAsia="zh-CN"/>
              </w:rPr>
            </w:pPr>
            <w:r>
              <w:rPr>
                <w:rFonts w:hint="default" w:ascii="Times New Roman" w:hAnsi="Times New Roman" w:eastAsia="宋体" w:cs="Times New Roman"/>
                <w:b/>
                <w:bCs/>
                <w:color w:val="auto"/>
                <w:kern w:val="0"/>
                <w:sz w:val="21"/>
                <w:szCs w:val="21"/>
              </w:rPr>
              <w:t>1267.05</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kern w:val="0"/>
                <w:sz w:val="21"/>
                <w:szCs w:val="21"/>
                <w:lang w:val="en-US" w:eastAsia="zh-CN"/>
              </w:rPr>
            </w:pPr>
            <w:r>
              <w:rPr>
                <w:rFonts w:hint="default" w:ascii="Times New Roman" w:hAnsi="Times New Roman" w:eastAsia="宋体" w:cs="Times New Roman"/>
                <w:b/>
                <w:bCs/>
                <w:color w:val="auto"/>
                <w:kern w:val="0"/>
                <w:sz w:val="21"/>
                <w:szCs w:val="21"/>
              </w:rPr>
              <w:t>818.03</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449.02</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kern w:val="0"/>
                <w:sz w:val="21"/>
                <w:szCs w:val="21"/>
                <w:lang w:val="en-US" w:eastAsia="zh-CN"/>
              </w:rPr>
            </w:pPr>
            <w:r>
              <w:rPr>
                <w:rFonts w:hint="default" w:ascii="Times New Roman" w:hAnsi="Times New Roman" w:eastAsia="宋体" w:cs="Times New Roman"/>
                <w:b/>
                <w:bCs/>
                <w:color w:val="auto"/>
                <w:kern w:val="0"/>
                <w:sz w:val="21"/>
                <w:szCs w:val="21"/>
              </w:rPr>
              <w:t>1267.05</w:t>
            </w:r>
          </w:p>
        </w:tc>
        <w:tc>
          <w:tcPr>
            <w:tcW w:w="0" w:type="auto"/>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lang w:val="en-US" w:eastAsia="zh-CN"/>
              </w:rPr>
            </w:pPr>
            <w:r>
              <w:rPr>
                <w:rFonts w:hint="default" w:ascii="Times New Roman" w:hAnsi="Times New Roman" w:eastAsia="宋体" w:cs="Times New Roman"/>
                <w:b/>
                <w:bCs/>
                <w:color w:val="000000"/>
                <w:kern w:val="0"/>
                <w:sz w:val="21"/>
                <w:szCs w:val="21"/>
              </w:rPr>
              <w:t>0</w:t>
            </w:r>
            <w:r>
              <w:rPr>
                <w:rFonts w:hint="eastAsia" w:ascii="Times New Roman" w:hAnsi="Times New Roman" w:eastAsia="宋体" w:cs="Times New Roman"/>
                <w:b/>
                <w:bCs/>
                <w:color w:val="000000"/>
                <w:kern w:val="0"/>
                <w:sz w:val="21"/>
                <w:szCs w:val="21"/>
                <w:lang w:val="en-US" w:eastAsia="zh-CN"/>
              </w:rPr>
              <w:t>.00</w:t>
            </w:r>
          </w:p>
        </w:tc>
      </w:tr>
    </w:tbl>
    <w:p>
      <w:pPr>
        <w:widowControl/>
        <w:jc w:val="both"/>
        <w:rPr>
          <w:rFonts w:hint="eastAsia" w:ascii="宋体" w:hAnsi="宋体" w:eastAsia="宋体" w:cs="Times New Roman"/>
          <w:color w:val="FF0000"/>
          <w:kern w:val="0"/>
          <w:sz w:val="21"/>
          <w:szCs w:val="21"/>
          <w:lang w:val="en-US" w:eastAsia="zh-CN"/>
        </w:rPr>
      </w:pPr>
    </w:p>
    <w:sectPr>
      <w:footerReference r:id="rId4" w:type="default"/>
      <w:pgSz w:w="11906" w:h="16838"/>
      <w:pgMar w:top="1985" w:right="1446" w:bottom="1644" w:left="1446" w:header="851" w:footer="1474" w:gutter="0"/>
      <w:pgBorders>
        <w:top w:val="none" w:sz="0" w:space="0"/>
        <w:left w:val="none" w:sz="0" w:space="0"/>
        <w:bottom w:val="none" w:sz="0" w:space="0"/>
        <w:right w:val="none" w:sz="0" w:space="0"/>
      </w:pgBorders>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wis721 BT">
    <w:altName w:val="Segoe Script"/>
    <w:panose1 w:val="020B0504020202020204"/>
    <w:charset w:val="00"/>
    <w:family w:val="swiss"/>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方正仿宋">
    <w:altName w:val="方正仿宋_GBK"/>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wps:spPr>
                    <wps:txbx>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DMzFdEAAAADAQAADwAAAAAAAAABACAAAAAiAAAAZHJzL2Rvd25yZXYueG1sUEsBAhQAFAAAAAgA&#10;h07iQCZM3bfzAQAAwgMAAA4AAAAAAAAAAQAgAAAAIAEAAGRycy9lMm9Eb2MueG1sUEsFBgAAAAAG&#10;AAYAWQEAAIUFAAAAAA==&#10;">
              <v:fill on="f" focussize="0,0"/>
              <v:stroke on="f"/>
              <v:imagedata o:title=""/>
              <o:lock v:ext="edit" aspectratio="f"/>
              <v:textbox inset="0mm,0mm,0mm,0mm" style="mso-fit-shape-to-text:t;">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vlmNoswBAAB6AwAADgAAAAAAAAABACAAAAAiAQAAZHJz&#10;L2Uyb0RvYy54bWxQSwUGAAAAAAYABgBZAQAAYAUAAAAA&#10;">
              <v:fill on="f" focussize="0,0"/>
              <v:stroke on="f" weight="1.25pt"/>
              <v:imagedata o:title=""/>
              <o:lock v:ext="edit" aspectratio="f"/>
              <v:textbox inset="0mm,0mm,0mm,0mm" style="mso-fit-shape-to-text:t;">
                <w:txbxContent>
                  <w:p>
                    <w:pPr>
                      <w:pStyle w:val="13"/>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DB"/>
    <w:rsid w:val="0000400D"/>
    <w:rsid w:val="0001360F"/>
    <w:rsid w:val="00013DC7"/>
    <w:rsid w:val="00030673"/>
    <w:rsid w:val="00033909"/>
    <w:rsid w:val="00037512"/>
    <w:rsid w:val="000407F0"/>
    <w:rsid w:val="000523B1"/>
    <w:rsid w:val="000555E9"/>
    <w:rsid w:val="000568AA"/>
    <w:rsid w:val="00061B2E"/>
    <w:rsid w:val="00062293"/>
    <w:rsid w:val="00062D2C"/>
    <w:rsid w:val="00063B50"/>
    <w:rsid w:val="00065DBF"/>
    <w:rsid w:val="000766E7"/>
    <w:rsid w:val="00092431"/>
    <w:rsid w:val="000A5496"/>
    <w:rsid w:val="000A5C46"/>
    <w:rsid w:val="000B4ADE"/>
    <w:rsid w:val="000B5CD7"/>
    <w:rsid w:val="000B5F67"/>
    <w:rsid w:val="000C0B1D"/>
    <w:rsid w:val="000C0CA4"/>
    <w:rsid w:val="000E013A"/>
    <w:rsid w:val="000E6F54"/>
    <w:rsid w:val="000E7136"/>
    <w:rsid w:val="000F1818"/>
    <w:rsid w:val="000F36A3"/>
    <w:rsid w:val="0010191B"/>
    <w:rsid w:val="00104BDA"/>
    <w:rsid w:val="00106CEA"/>
    <w:rsid w:val="00112AF1"/>
    <w:rsid w:val="00115A0D"/>
    <w:rsid w:val="00120D21"/>
    <w:rsid w:val="001226FF"/>
    <w:rsid w:val="00127815"/>
    <w:rsid w:val="001308FC"/>
    <w:rsid w:val="00132F0D"/>
    <w:rsid w:val="001341DF"/>
    <w:rsid w:val="001406E7"/>
    <w:rsid w:val="00151460"/>
    <w:rsid w:val="00157513"/>
    <w:rsid w:val="00160893"/>
    <w:rsid w:val="00165DF4"/>
    <w:rsid w:val="00166002"/>
    <w:rsid w:val="00175A39"/>
    <w:rsid w:val="00183AE1"/>
    <w:rsid w:val="001903CD"/>
    <w:rsid w:val="001930D3"/>
    <w:rsid w:val="001932A2"/>
    <w:rsid w:val="00196EFA"/>
    <w:rsid w:val="001A51C7"/>
    <w:rsid w:val="001B217D"/>
    <w:rsid w:val="001C0A6F"/>
    <w:rsid w:val="001D062B"/>
    <w:rsid w:val="001F3035"/>
    <w:rsid w:val="001F34AB"/>
    <w:rsid w:val="001F5AB0"/>
    <w:rsid w:val="00205E64"/>
    <w:rsid w:val="00206494"/>
    <w:rsid w:val="00213017"/>
    <w:rsid w:val="00215D0D"/>
    <w:rsid w:val="0021642A"/>
    <w:rsid w:val="0022295E"/>
    <w:rsid w:val="00234598"/>
    <w:rsid w:val="00235A74"/>
    <w:rsid w:val="00235AA8"/>
    <w:rsid w:val="00237ECB"/>
    <w:rsid w:val="00241B99"/>
    <w:rsid w:val="0024677B"/>
    <w:rsid w:val="00254D2B"/>
    <w:rsid w:val="00255C32"/>
    <w:rsid w:val="00260628"/>
    <w:rsid w:val="002618BB"/>
    <w:rsid w:val="002677DD"/>
    <w:rsid w:val="00274C14"/>
    <w:rsid w:val="00284091"/>
    <w:rsid w:val="00285603"/>
    <w:rsid w:val="00295BFD"/>
    <w:rsid w:val="002A2424"/>
    <w:rsid w:val="002A33A6"/>
    <w:rsid w:val="002B497B"/>
    <w:rsid w:val="002B6B43"/>
    <w:rsid w:val="002B7B01"/>
    <w:rsid w:val="002C04D3"/>
    <w:rsid w:val="002D45CC"/>
    <w:rsid w:val="002D55BB"/>
    <w:rsid w:val="002D70D3"/>
    <w:rsid w:val="002D7205"/>
    <w:rsid w:val="002E5667"/>
    <w:rsid w:val="002E6C6F"/>
    <w:rsid w:val="002F7738"/>
    <w:rsid w:val="002F7A4F"/>
    <w:rsid w:val="0030765D"/>
    <w:rsid w:val="00310A7F"/>
    <w:rsid w:val="003119F3"/>
    <w:rsid w:val="00315A19"/>
    <w:rsid w:val="00316AB1"/>
    <w:rsid w:val="00321AE7"/>
    <w:rsid w:val="00340609"/>
    <w:rsid w:val="00342062"/>
    <w:rsid w:val="00351FF2"/>
    <w:rsid w:val="0035241F"/>
    <w:rsid w:val="00352952"/>
    <w:rsid w:val="00354055"/>
    <w:rsid w:val="00357672"/>
    <w:rsid w:val="0037216D"/>
    <w:rsid w:val="0038087C"/>
    <w:rsid w:val="00397F9F"/>
    <w:rsid w:val="003A2C4B"/>
    <w:rsid w:val="003A6141"/>
    <w:rsid w:val="003B545E"/>
    <w:rsid w:val="003C3BBF"/>
    <w:rsid w:val="003C5CAA"/>
    <w:rsid w:val="003E623A"/>
    <w:rsid w:val="003F0E48"/>
    <w:rsid w:val="003F259B"/>
    <w:rsid w:val="003F3155"/>
    <w:rsid w:val="003F3CCA"/>
    <w:rsid w:val="003F6AD1"/>
    <w:rsid w:val="00402683"/>
    <w:rsid w:val="004046C2"/>
    <w:rsid w:val="0043029A"/>
    <w:rsid w:val="004312D6"/>
    <w:rsid w:val="00431BB7"/>
    <w:rsid w:val="00436E7E"/>
    <w:rsid w:val="0043754E"/>
    <w:rsid w:val="00437D48"/>
    <w:rsid w:val="00440E38"/>
    <w:rsid w:val="004445C8"/>
    <w:rsid w:val="004515D0"/>
    <w:rsid w:val="0045241E"/>
    <w:rsid w:val="0045392E"/>
    <w:rsid w:val="004617F0"/>
    <w:rsid w:val="004621ED"/>
    <w:rsid w:val="004653E3"/>
    <w:rsid w:val="00474F83"/>
    <w:rsid w:val="004759F5"/>
    <w:rsid w:val="00483C2E"/>
    <w:rsid w:val="004A36B8"/>
    <w:rsid w:val="004B124C"/>
    <w:rsid w:val="004B167F"/>
    <w:rsid w:val="004B5008"/>
    <w:rsid w:val="004C0513"/>
    <w:rsid w:val="004C3E7F"/>
    <w:rsid w:val="004C6217"/>
    <w:rsid w:val="004C7B88"/>
    <w:rsid w:val="004D5DFA"/>
    <w:rsid w:val="004E0116"/>
    <w:rsid w:val="004E0A81"/>
    <w:rsid w:val="004E5C09"/>
    <w:rsid w:val="004F06AF"/>
    <w:rsid w:val="004F3A18"/>
    <w:rsid w:val="004F5077"/>
    <w:rsid w:val="005115C4"/>
    <w:rsid w:val="005139F5"/>
    <w:rsid w:val="00514647"/>
    <w:rsid w:val="00520CF7"/>
    <w:rsid w:val="00524443"/>
    <w:rsid w:val="00524DD2"/>
    <w:rsid w:val="00535712"/>
    <w:rsid w:val="00560578"/>
    <w:rsid w:val="0056487A"/>
    <w:rsid w:val="00571068"/>
    <w:rsid w:val="005752D3"/>
    <w:rsid w:val="0057599A"/>
    <w:rsid w:val="00575A67"/>
    <w:rsid w:val="005822B6"/>
    <w:rsid w:val="00582D98"/>
    <w:rsid w:val="005837BA"/>
    <w:rsid w:val="0058427A"/>
    <w:rsid w:val="0058610A"/>
    <w:rsid w:val="00594D43"/>
    <w:rsid w:val="005A0A69"/>
    <w:rsid w:val="005A18E7"/>
    <w:rsid w:val="005A4BAB"/>
    <w:rsid w:val="005A6E19"/>
    <w:rsid w:val="005A7156"/>
    <w:rsid w:val="005B0C9E"/>
    <w:rsid w:val="005B0D68"/>
    <w:rsid w:val="005B2FF4"/>
    <w:rsid w:val="005C0CCE"/>
    <w:rsid w:val="005C1D60"/>
    <w:rsid w:val="005C334A"/>
    <w:rsid w:val="005C6C4A"/>
    <w:rsid w:val="005D6A26"/>
    <w:rsid w:val="005D6FAE"/>
    <w:rsid w:val="005F0F49"/>
    <w:rsid w:val="00602204"/>
    <w:rsid w:val="00603CA3"/>
    <w:rsid w:val="00607864"/>
    <w:rsid w:val="00624B36"/>
    <w:rsid w:val="006533BD"/>
    <w:rsid w:val="00654F91"/>
    <w:rsid w:val="00655A47"/>
    <w:rsid w:val="00656B0C"/>
    <w:rsid w:val="006571D7"/>
    <w:rsid w:val="0067235F"/>
    <w:rsid w:val="0069564E"/>
    <w:rsid w:val="006A3AA2"/>
    <w:rsid w:val="006B110A"/>
    <w:rsid w:val="006B1DE4"/>
    <w:rsid w:val="006B63D8"/>
    <w:rsid w:val="006D159B"/>
    <w:rsid w:val="006D4B21"/>
    <w:rsid w:val="006D4C7B"/>
    <w:rsid w:val="006D6CC7"/>
    <w:rsid w:val="006D74D2"/>
    <w:rsid w:val="006E1444"/>
    <w:rsid w:val="006F479E"/>
    <w:rsid w:val="006F48FE"/>
    <w:rsid w:val="006F6EB3"/>
    <w:rsid w:val="006F6FB4"/>
    <w:rsid w:val="007034D0"/>
    <w:rsid w:val="007038C8"/>
    <w:rsid w:val="00706EE8"/>
    <w:rsid w:val="007108F5"/>
    <w:rsid w:val="00713BC0"/>
    <w:rsid w:val="0072265A"/>
    <w:rsid w:val="007230EE"/>
    <w:rsid w:val="007406AC"/>
    <w:rsid w:val="00741D91"/>
    <w:rsid w:val="007452C5"/>
    <w:rsid w:val="00750073"/>
    <w:rsid w:val="0076107D"/>
    <w:rsid w:val="0076527A"/>
    <w:rsid w:val="00773E09"/>
    <w:rsid w:val="00775EB0"/>
    <w:rsid w:val="007821DE"/>
    <w:rsid w:val="00782676"/>
    <w:rsid w:val="00784393"/>
    <w:rsid w:val="00787FC0"/>
    <w:rsid w:val="00797906"/>
    <w:rsid w:val="007A529C"/>
    <w:rsid w:val="007A7FD2"/>
    <w:rsid w:val="007B00B6"/>
    <w:rsid w:val="007B3307"/>
    <w:rsid w:val="007B7093"/>
    <w:rsid w:val="007B73DB"/>
    <w:rsid w:val="007C02B9"/>
    <w:rsid w:val="007C4701"/>
    <w:rsid w:val="007C4AF1"/>
    <w:rsid w:val="007C6BDE"/>
    <w:rsid w:val="007C7CC0"/>
    <w:rsid w:val="007D3412"/>
    <w:rsid w:val="007E5D34"/>
    <w:rsid w:val="007F0F80"/>
    <w:rsid w:val="007F4723"/>
    <w:rsid w:val="00801A99"/>
    <w:rsid w:val="00803DD8"/>
    <w:rsid w:val="00810362"/>
    <w:rsid w:val="008170EF"/>
    <w:rsid w:val="008174D5"/>
    <w:rsid w:val="00823F6A"/>
    <w:rsid w:val="00843B99"/>
    <w:rsid w:val="00846224"/>
    <w:rsid w:val="00853163"/>
    <w:rsid w:val="0085340B"/>
    <w:rsid w:val="00857647"/>
    <w:rsid w:val="00860D33"/>
    <w:rsid w:val="00867E7F"/>
    <w:rsid w:val="00871FA8"/>
    <w:rsid w:val="00874A6A"/>
    <w:rsid w:val="008771E0"/>
    <w:rsid w:val="0087747E"/>
    <w:rsid w:val="00883B07"/>
    <w:rsid w:val="00884BB2"/>
    <w:rsid w:val="00886249"/>
    <w:rsid w:val="0089351B"/>
    <w:rsid w:val="00895DB9"/>
    <w:rsid w:val="00897175"/>
    <w:rsid w:val="008A1DB3"/>
    <w:rsid w:val="008A2D9C"/>
    <w:rsid w:val="008A6A44"/>
    <w:rsid w:val="008A7146"/>
    <w:rsid w:val="008A78A9"/>
    <w:rsid w:val="008B1D58"/>
    <w:rsid w:val="008B3171"/>
    <w:rsid w:val="008B3303"/>
    <w:rsid w:val="008B3C73"/>
    <w:rsid w:val="008B40AF"/>
    <w:rsid w:val="008C37AC"/>
    <w:rsid w:val="008C48FE"/>
    <w:rsid w:val="008C699F"/>
    <w:rsid w:val="008D03FF"/>
    <w:rsid w:val="008D1156"/>
    <w:rsid w:val="008E237C"/>
    <w:rsid w:val="008E4B6D"/>
    <w:rsid w:val="008E6BE6"/>
    <w:rsid w:val="008F27F1"/>
    <w:rsid w:val="009052B5"/>
    <w:rsid w:val="00905994"/>
    <w:rsid w:val="00907BE2"/>
    <w:rsid w:val="0091382C"/>
    <w:rsid w:val="00913F36"/>
    <w:rsid w:val="00924678"/>
    <w:rsid w:val="00934C04"/>
    <w:rsid w:val="009439C9"/>
    <w:rsid w:val="00943F6D"/>
    <w:rsid w:val="00945285"/>
    <w:rsid w:val="00945B73"/>
    <w:rsid w:val="0094698B"/>
    <w:rsid w:val="00947985"/>
    <w:rsid w:val="00950B4F"/>
    <w:rsid w:val="00953230"/>
    <w:rsid w:val="00962090"/>
    <w:rsid w:val="00971427"/>
    <w:rsid w:val="00983119"/>
    <w:rsid w:val="00991445"/>
    <w:rsid w:val="00992768"/>
    <w:rsid w:val="00993BBF"/>
    <w:rsid w:val="009B0EA6"/>
    <w:rsid w:val="009B4011"/>
    <w:rsid w:val="009B7763"/>
    <w:rsid w:val="009C35E1"/>
    <w:rsid w:val="009D56D9"/>
    <w:rsid w:val="009E11E8"/>
    <w:rsid w:val="009F4C11"/>
    <w:rsid w:val="00A00200"/>
    <w:rsid w:val="00A048F3"/>
    <w:rsid w:val="00A17B1B"/>
    <w:rsid w:val="00A23010"/>
    <w:rsid w:val="00A2448D"/>
    <w:rsid w:val="00A2654D"/>
    <w:rsid w:val="00A30896"/>
    <w:rsid w:val="00A34111"/>
    <w:rsid w:val="00A37551"/>
    <w:rsid w:val="00A410D0"/>
    <w:rsid w:val="00A50D9F"/>
    <w:rsid w:val="00A60805"/>
    <w:rsid w:val="00A61854"/>
    <w:rsid w:val="00A63A0D"/>
    <w:rsid w:val="00A65741"/>
    <w:rsid w:val="00A66E46"/>
    <w:rsid w:val="00A67B4D"/>
    <w:rsid w:val="00A72322"/>
    <w:rsid w:val="00A7391C"/>
    <w:rsid w:val="00A74139"/>
    <w:rsid w:val="00A80FC5"/>
    <w:rsid w:val="00A90F78"/>
    <w:rsid w:val="00A96445"/>
    <w:rsid w:val="00A97CFE"/>
    <w:rsid w:val="00AA08A6"/>
    <w:rsid w:val="00AA25AC"/>
    <w:rsid w:val="00AA3C5C"/>
    <w:rsid w:val="00AA4199"/>
    <w:rsid w:val="00AA4410"/>
    <w:rsid w:val="00AA47EB"/>
    <w:rsid w:val="00AA5136"/>
    <w:rsid w:val="00AB0D0D"/>
    <w:rsid w:val="00AC5C20"/>
    <w:rsid w:val="00AC6FD2"/>
    <w:rsid w:val="00AD47C3"/>
    <w:rsid w:val="00AD552A"/>
    <w:rsid w:val="00AE2C56"/>
    <w:rsid w:val="00AE317C"/>
    <w:rsid w:val="00AE4DEE"/>
    <w:rsid w:val="00AE54DD"/>
    <w:rsid w:val="00AE675A"/>
    <w:rsid w:val="00AE7973"/>
    <w:rsid w:val="00AF2088"/>
    <w:rsid w:val="00AF4D93"/>
    <w:rsid w:val="00AF65D5"/>
    <w:rsid w:val="00B01E33"/>
    <w:rsid w:val="00B0754C"/>
    <w:rsid w:val="00B11B53"/>
    <w:rsid w:val="00B17D1E"/>
    <w:rsid w:val="00B207DD"/>
    <w:rsid w:val="00B216EC"/>
    <w:rsid w:val="00B3113A"/>
    <w:rsid w:val="00B32F7D"/>
    <w:rsid w:val="00B36599"/>
    <w:rsid w:val="00B37BB4"/>
    <w:rsid w:val="00B41EF0"/>
    <w:rsid w:val="00B42430"/>
    <w:rsid w:val="00B512EA"/>
    <w:rsid w:val="00B52E37"/>
    <w:rsid w:val="00B537BC"/>
    <w:rsid w:val="00B53D78"/>
    <w:rsid w:val="00B55E69"/>
    <w:rsid w:val="00B57E3E"/>
    <w:rsid w:val="00B60C2F"/>
    <w:rsid w:val="00B63E41"/>
    <w:rsid w:val="00B65646"/>
    <w:rsid w:val="00B67ABB"/>
    <w:rsid w:val="00B77FAF"/>
    <w:rsid w:val="00B81A16"/>
    <w:rsid w:val="00B82421"/>
    <w:rsid w:val="00B8744A"/>
    <w:rsid w:val="00B92E95"/>
    <w:rsid w:val="00B96529"/>
    <w:rsid w:val="00B978A1"/>
    <w:rsid w:val="00BA2992"/>
    <w:rsid w:val="00BA447A"/>
    <w:rsid w:val="00BA4620"/>
    <w:rsid w:val="00BA4905"/>
    <w:rsid w:val="00BB189A"/>
    <w:rsid w:val="00BB2DF2"/>
    <w:rsid w:val="00BB6E6D"/>
    <w:rsid w:val="00BC05B3"/>
    <w:rsid w:val="00BC1430"/>
    <w:rsid w:val="00BD11FE"/>
    <w:rsid w:val="00BD417A"/>
    <w:rsid w:val="00BD5D11"/>
    <w:rsid w:val="00BD7B5B"/>
    <w:rsid w:val="00BE69AE"/>
    <w:rsid w:val="00BF0D55"/>
    <w:rsid w:val="00BF3540"/>
    <w:rsid w:val="00C058C5"/>
    <w:rsid w:val="00C15791"/>
    <w:rsid w:val="00C16AB5"/>
    <w:rsid w:val="00C23D8F"/>
    <w:rsid w:val="00C247D0"/>
    <w:rsid w:val="00C2558A"/>
    <w:rsid w:val="00C25652"/>
    <w:rsid w:val="00C27A4E"/>
    <w:rsid w:val="00C31A10"/>
    <w:rsid w:val="00C3695A"/>
    <w:rsid w:val="00C530BD"/>
    <w:rsid w:val="00C553B5"/>
    <w:rsid w:val="00C573D0"/>
    <w:rsid w:val="00C736FC"/>
    <w:rsid w:val="00C77DEA"/>
    <w:rsid w:val="00C80122"/>
    <w:rsid w:val="00C80BC2"/>
    <w:rsid w:val="00C847F7"/>
    <w:rsid w:val="00C87E84"/>
    <w:rsid w:val="00C97820"/>
    <w:rsid w:val="00CA33D9"/>
    <w:rsid w:val="00CA3DCF"/>
    <w:rsid w:val="00CB3875"/>
    <w:rsid w:val="00CB5333"/>
    <w:rsid w:val="00CC1130"/>
    <w:rsid w:val="00CC47A6"/>
    <w:rsid w:val="00CD1138"/>
    <w:rsid w:val="00CD283B"/>
    <w:rsid w:val="00CD65F8"/>
    <w:rsid w:val="00CE1208"/>
    <w:rsid w:val="00CF0686"/>
    <w:rsid w:val="00CF3A6D"/>
    <w:rsid w:val="00CF5E70"/>
    <w:rsid w:val="00D06A08"/>
    <w:rsid w:val="00D2019C"/>
    <w:rsid w:val="00D232D4"/>
    <w:rsid w:val="00D271CA"/>
    <w:rsid w:val="00D27F26"/>
    <w:rsid w:val="00D308FB"/>
    <w:rsid w:val="00D35A9A"/>
    <w:rsid w:val="00D47EAA"/>
    <w:rsid w:val="00D62263"/>
    <w:rsid w:val="00D64280"/>
    <w:rsid w:val="00D65450"/>
    <w:rsid w:val="00D67AD5"/>
    <w:rsid w:val="00D67D3C"/>
    <w:rsid w:val="00D741FA"/>
    <w:rsid w:val="00D74F20"/>
    <w:rsid w:val="00D76099"/>
    <w:rsid w:val="00D8442B"/>
    <w:rsid w:val="00D93BAF"/>
    <w:rsid w:val="00D93F10"/>
    <w:rsid w:val="00D952D7"/>
    <w:rsid w:val="00DA1312"/>
    <w:rsid w:val="00DB2FF3"/>
    <w:rsid w:val="00DC0DF9"/>
    <w:rsid w:val="00DC1913"/>
    <w:rsid w:val="00DC3CDF"/>
    <w:rsid w:val="00DC727C"/>
    <w:rsid w:val="00DD5257"/>
    <w:rsid w:val="00DD5FA2"/>
    <w:rsid w:val="00DF3456"/>
    <w:rsid w:val="00E00306"/>
    <w:rsid w:val="00E01FC4"/>
    <w:rsid w:val="00E025F1"/>
    <w:rsid w:val="00E0291F"/>
    <w:rsid w:val="00E11285"/>
    <w:rsid w:val="00E11BB0"/>
    <w:rsid w:val="00E132A3"/>
    <w:rsid w:val="00E16C41"/>
    <w:rsid w:val="00E20AED"/>
    <w:rsid w:val="00E23D57"/>
    <w:rsid w:val="00E306E0"/>
    <w:rsid w:val="00E31E93"/>
    <w:rsid w:val="00E32469"/>
    <w:rsid w:val="00E368CB"/>
    <w:rsid w:val="00E52155"/>
    <w:rsid w:val="00E52175"/>
    <w:rsid w:val="00E560F3"/>
    <w:rsid w:val="00E61BFE"/>
    <w:rsid w:val="00E65AD7"/>
    <w:rsid w:val="00E66531"/>
    <w:rsid w:val="00E67252"/>
    <w:rsid w:val="00E7051E"/>
    <w:rsid w:val="00E727CE"/>
    <w:rsid w:val="00E72A27"/>
    <w:rsid w:val="00E764EC"/>
    <w:rsid w:val="00E87ED3"/>
    <w:rsid w:val="00E92DB0"/>
    <w:rsid w:val="00E95561"/>
    <w:rsid w:val="00E9698C"/>
    <w:rsid w:val="00E978C2"/>
    <w:rsid w:val="00EA08C5"/>
    <w:rsid w:val="00EA33B0"/>
    <w:rsid w:val="00EB5991"/>
    <w:rsid w:val="00EC07EE"/>
    <w:rsid w:val="00EC7F30"/>
    <w:rsid w:val="00ED1C88"/>
    <w:rsid w:val="00EE0FAA"/>
    <w:rsid w:val="00EE20D2"/>
    <w:rsid w:val="00EF2BD0"/>
    <w:rsid w:val="00F00652"/>
    <w:rsid w:val="00F015C1"/>
    <w:rsid w:val="00F1001E"/>
    <w:rsid w:val="00F227CF"/>
    <w:rsid w:val="00F23015"/>
    <w:rsid w:val="00F3450D"/>
    <w:rsid w:val="00F35816"/>
    <w:rsid w:val="00F37419"/>
    <w:rsid w:val="00F400FE"/>
    <w:rsid w:val="00F407ED"/>
    <w:rsid w:val="00F4330D"/>
    <w:rsid w:val="00F5171F"/>
    <w:rsid w:val="00F524B1"/>
    <w:rsid w:val="00F52F56"/>
    <w:rsid w:val="00F55267"/>
    <w:rsid w:val="00F56A1C"/>
    <w:rsid w:val="00F574B8"/>
    <w:rsid w:val="00F60ECA"/>
    <w:rsid w:val="00F620F3"/>
    <w:rsid w:val="00F67722"/>
    <w:rsid w:val="00F7012C"/>
    <w:rsid w:val="00F72BBF"/>
    <w:rsid w:val="00F74B5B"/>
    <w:rsid w:val="00F757A6"/>
    <w:rsid w:val="00F77D2E"/>
    <w:rsid w:val="00F8027A"/>
    <w:rsid w:val="00F91499"/>
    <w:rsid w:val="00F94FBA"/>
    <w:rsid w:val="00F952C5"/>
    <w:rsid w:val="00FA0D4B"/>
    <w:rsid w:val="00FA1A6E"/>
    <w:rsid w:val="00FA6622"/>
    <w:rsid w:val="00FB007C"/>
    <w:rsid w:val="00FB512A"/>
    <w:rsid w:val="00FB5B96"/>
    <w:rsid w:val="00FB71A5"/>
    <w:rsid w:val="00FB731C"/>
    <w:rsid w:val="00FC08B0"/>
    <w:rsid w:val="00FC0DF0"/>
    <w:rsid w:val="00FC4344"/>
    <w:rsid w:val="00FD08F3"/>
    <w:rsid w:val="00FD6A6A"/>
    <w:rsid w:val="00FE6FDC"/>
    <w:rsid w:val="00FE7579"/>
    <w:rsid w:val="02B50089"/>
    <w:rsid w:val="03195D34"/>
    <w:rsid w:val="0348073F"/>
    <w:rsid w:val="04206CAA"/>
    <w:rsid w:val="055361AC"/>
    <w:rsid w:val="056E1929"/>
    <w:rsid w:val="05CD41A8"/>
    <w:rsid w:val="05FE8D8E"/>
    <w:rsid w:val="06562393"/>
    <w:rsid w:val="06EE7132"/>
    <w:rsid w:val="07187328"/>
    <w:rsid w:val="07BB4394"/>
    <w:rsid w:val="08FA494B"/>
    <w:rsid w:val="0AAD4C53"/>
    <w:rsid w:val="0B731774"/>
    <w:rsid w:val="0B890510"/>
    <w:rsid w:val="0BD43311"/>
    <w:rsid w:val="0C175830"/>
    <w:rsid w:val="0CCD0FDB"/>
    <w:rsid w:val="0D041DC3"/>
    <w:rsid w:val="0E215FED"/>
    <w:rsid w:val="0E2E77FB"/>
    <w:rsid w:val="0EAD22B1"/>
    <w:rsid w:val="0EF94AD2"/>
    <w:rsid w:val="0EF96D0F"/>
    <w:rsid w:val="0F736B0C"/>
    <w:rsid w:val="0F77A613"/>
    <w:rsid w:val="0F7830AF"/>
    <w:rsid w:val="0FEB31A3"/>
    <w:rsid w:val="10C6291E"/>
    <w:rsid w:val="12207CB7"/>
    <w:rsid w:val="136638AB"/>
    <w:rsid w:val="13763A43"/>
    <w:rsid w:val="14706153"/>
    <w:rsid w:val="15D50686"/>
    <w:rsid w:val="17AD1515"/>
    <w:rsid w:val="191F2D4F"/>
    <w:rsid w:val="19E63E0C"/>
    <w:rsid w:val="1AA11BA9"/>
    <w:rsid w:val="1C690C00"/>
    <w:rsid w:val="1D2C5FE8"/>
    <w:rsid w:val="1DFB7D1C"/>
    <w:rsid w:val="1E69485B"/>
    <w:rsid w:val="1E9C00A0"/>
    <w:rsid w:val="1F3B6715"/>
    <w:rsid w:val="1F5CA05E"/>
    <w:rsid w:val="1F6F63CD"/>
    <w:rsid w:val="1FFD4D5A"/>
    <w:rsid w:val="219C1C67"/>
    <w:rsid w:val="21A73E45"/>
    <w:rsid w:val="220F0EDB"/>
    <w:rsid w:val="23CC7B8D"/>
    <w:rsid w:val="24432410"/>
    <w:rsid w:val="24D523AF"/>
    <w:rsid w:val="2571113E"/>
    <w:rsid w:val="25C83420"/>
    <w:rsid w:val="261F1106"/>
    <w:rsid w:val="275C69CE"/>
    <w:rsid w:val="290A7315"/>
    <w:rsid w:val="29C10E64"/>
    <w:rsid w:val="2A341411"/>
    <w:rsid w:val="2B1706DC"/>
    <w:rsid w:val="2B17EBFE"/>
    <w:rsid w:val="2CBE2431"/>
    <w:rsid w:val="2E5F3D4F"/>
    <w:rsid w:val="2ECB239C"/>
    <w:rsid w:val="2FEB4B9F"/>
    <w:rsid w:val="2FEB6799"/>
    <w:rsid w:val="30914434"/>
    <w:rsid w:val="31D921A4"/>
    <w:rsid w:val="32BF7018"/>
    <w:rsid w:val="33AFCDDC"/>
    <w:rsid w:val="34581908"/>
    <w:rsid w:val="35020712"/>
    <w:rsid w:val="35065A3A"/>
    <w:rsid w:val="35D5328C"/>
    <w:rsid w:val="370D16B3"/>
    <w:rsid w:val="37C51145"/>
    <w:rsid w:val="37D34713"/>
    <w:rsid w:val="37FFA73D"/>
    <w:rsid w:val="386510FC"/>
    <w:rsid w:val="39BA7744"/>
    <w:rsid w:val="3AB853C8"/>
    <w:rsid w:val="3B9F2014"/>
    <w:rsid w:val="3BA26649"/>
    <w:rsid w:val="3BEB2DD8"/>
    <w:rsid w:val="3BEFAF9D"/>
    <w:rsid w:val="3C9A35A3"/>
    <w:rsid w:val="3D7F5882"/>
    <w:rsid w:val="3DBB3E02"/>
    <w:rsid w:val="3DD030B8"/>
    <w:rsid w:val="3DDE5100"/>
    <w:rsid w:val="3E63500C"/>
    <w:rsid w:val="3E81138A"/>
    <w:rsid w:val="3EE58A66"/>
    <w:rsid w:val="3EFE8C2A"/>
    <w:rsid w:val="3F7F5A6A"/>
    <w:rsid w:val="3F7F6E9A"/>
    <w:rsid w:val="3FA43F19"/>
    <w:rsid w:val="3FBF6162"/>
    <w:rsid w:val="3FDF6E79"/>
    <w:rsid w:val="3FFB0F51"/>
    <w:rsid w:val="41285076"/>
    <w:rsid w:val="42AD5BED"/>
    <w:rsid w:val="43396CC2"/>
    <w:rsid w:val="43723646"/>
    <w:rsid w:val="439D17F4"/>
    <w:rsid w:val="46BF18E1"/>
    <w:rsid w:val="46E66BFD"/>
    <w:rsid w:val="473E4D14"/>
    <w:rsid w:val="489A0AE6"/>
    <w:rsid w:val="4A9317A2"/>
    <w:rsid w:val="4B4D65A7"/>
    <w:rsid w:val="4D2370E7"/>
    <w:rsid w:val="4DECC0FF"/>
    <w:rsid w:val="4E7647D3"/>
    <w:rsid w:val="4E8C447A"/>
    <w:rsid w:val="4F502494"/>
    <w:rsid w:val="4FBEF9B5"/>
    <w:rsid w:val="4FC55E23"/>
    <w:rsid w:val="509A7964"/>
    <w:rsid w:val="53D72F5A"/>
    <w:rsid w:val="53FDACB5"/>
    <w:rsid w:val="54510FE5"/>
    <w:rsid w:val="55FFF0DB"/>
    <w:rsid w:val="56020BB4"/>
    <w:rsid w:val="571E02A3"/>
    <w:rsid w:val="57EB1FC0"/>
    <w:rsid w:val="57FD7E1B"/>
    <w:rsid w:val="584843AC"/>
    <w:rsid w:val="5A7E2231"/>
    <w:rsid w:val="5ABF87E8"/>
    <w:rsid w:val="5ADF6823"/>
    <w:rsid w:val="5B175D16"/>
    <w:rsid w:val="5B1A0782"/>
    <w:rsid w:val="5C624A97"/>
    <w:rsid w:val="5DDA3951"/>
    <w:rsid w:val="5DFA145B"/>
    <w:rsid w:val="5E5AF9EE"/>
    <w:rsid w:val="5F7DCD7F"/>
    <w:rsid w:val="5FA95F49"/>
    <w:rsid w:val="5FBF8763"/>
    <w:rsid w:val="5FD602F2"/>
    <w:rsid w:val="5FEF0E87"/>
    <w:rsid w:val="61CB412D"/>
    <w:rsid w:val="61E274FB"/>
    <w:rsid w:val="63270190"/>
    <w:rsid w:val="63C07097"/>
    <w:rsid w:val="63F6BC28"/>
    <w:rsid w:val="654340E7"/>
    <w:rsid w:val="664F3B20"/>
    <w:rsid w:val="675B5FBD"/>
    <w:rsid w:val="6788382C"/>
    <w:rsid w:val="67BED0C3"/>
    <w:rsid w:val="6826391B"/>
    <w:rsid w:val="6867608D"/>
    <w:rsid w:val="68EF42C4"/>
    <w:rsid w:val="6A7FB000"/>
    <w:rsid w:val="6A956400"/>
    <w:rsid w:val="6ABF5399"/>
    <w:rsid w:val="6B6E072A"/>
    <w:rsid w:val="6BBB6541"/>
    <w:rsid w:val="6C67536A"/>
    <w:rsid w:val="6D4D31CC"/>
    <w:rsid w:val="6E504A7B"/>
    <w:rsid w:val="6EFE9375"/>
    <w:rsid w:val="6F5A0D30"/>
    <w:rsid w:val="6F5A677D"/>
    <w:rsid w:val="6F9F2C42"/>
    <w:rsid w:val="6FDB23B1"/>
    <w:rsid w:val="6FDF0059"/>
    <w:rsid w:val="6FE6DE43"/>
    <w:rsid w:val="6FFF2707"/>
    <w:rsid w:val="700A63FA"/>
    <w:rsid w:val="71180D83"/>
    <w:rsid w:val="71F95C1E"/>
    <w:rsid w:val="72836946"/>
    <w:rsid w:val="728B5B6F"/>
    <w:rsid w:val="72C3149E"/>
    <w:rsid w:val="73661CF5"/>
    <w:rsid w:val="73AC6CAF"/>
    <w:rsid w:val="73DC4B44"/>
    <w:rsid w:val="73F8977C"/>
    <w:rsid w:val="743E4BED"/>
    <w:rsid w:val="744A0831"/>
    <w:rsid w:val="746DE58C"/>
    <w:rsid w:val="75DFB322"/>
    <w:rsid w:val="75FF1D72"/>
    <w:rsid w:val="76862FBE"/>
    <w:rsid w:val="76AE5741"/>
    <w:rsid w:val="76F61301"/>
    <w:rsid w:val="77052688"/>
    <w:rsid w:val="774E327C"/>
    <w:rsid w:val="779656C4"/>
    <w:rsid w:val="779FFD24"/>
    <w:rsid w:val="77BE3158"/>
    <w:rsid w:val="77D116E6"/>
    <w:rsid w:val="77F6D61D"/>
    <w:rsid w:val="788619C9"/>
    <w:rsid w:val="78D4654C"/>
    <w:rsid w:val="797DEB38"/>
    <w:rsid w:val="79AE4707"/>
    <w:rsid w:val="7AFB0652"/>
    <w:rsid w:val="7B56DDA2"/>
    <w:rsid w:val="7B5C206A"/>
    <w:rsid w:val="7B5F60E6"/>
    <w:rsid w:val="7BDD098F"/>
    <w:rsid w:val="7BEBF7D2"/>
    <w:rsid w:val="7BF66A1A"/>
    <w:rsid w:val="7BF7DAD7"/>
    <w:rsid w:val="7C096B97"/>
    <w:rsid w:val="7CAF6D1A"/>
    <w:rsid w:val="7CB461A6"/>
    <w:rsid w:val="7CDEF532"/>
    <w:rsid w:val="7CDF640F"/>
    <w:rsid w:val="7CFF4FA0"/>
    <w:rsid w:val="7D7563CA"/>
    <w:rsid w:val="7DAF588E"/>
    <w:rsid w:val="7DDFD50E"/>
    <w:rsid w:val="7DFDC076"/>
    <w:rsid w:val="7DFF30FE"/>
    <w:rsid w:val="7EBCA161"/>
    <w:rsid w:val="7EBF0104"/>
    <w:rsid w:val="7EF7C809"/>
    <w:rsid w:val="7EF7EA39"/>
    <w:rsid w:val="7EFB34CC"/>
    <w:rsid w:val="7EFDE791"/>
    <w:rsid w:val="7F2F2086"/>
    <w:rsid w:val="7F3BAD2F"/>
    <w:rsid w:val="7F7583FE"/>
    <w:rsid w:val="7FBB89BF"/>
    <w:rsid w:val="7FBE84CD"/>
    <w:rsid w:val="7FBF3A79"/>
    <w:rsid w:val="7FBFA7FC"/>
    <w:rsid w:val="7FCDF859"/>
    <w:rsid w:val="7FDF2A49"/>
    <w:rsid w:val="7FDF8CBE"/>
    <w:rsid w:val="7FEEDE92"/>
    <w:rsid w:val="7FEFABF9"/>
    <w:rsid w:val="7FF2B72A"/>
    <w:rsid w:val="7FF878E2"/>
    <w:rsid w:val="7FFAE9C3"/>
    <w:rsid w:val="7FFB35A7"/>
    <w:rsid w:val="7FFD9F55"/>
    <w:rsid w:val="97C778E7"/>
    <w:rsid w:val="9BDF6923"/>
    <w:rsid w:val="9D5E0256"/>
    <w:rsid w:val="9DFF8143"/>
    <w:rsid w:val="9EDFA34A"/>
    <w:rsid w:val="9F7FDC93"/>
    <w:rsid w:val="9F8E2DAF"/>
    <w:rsid w:val="9FC5E453"/>
    <w:rsid w:val="A4A9E009"/>
    <w:rsid w:val="AEDCFD40"/>
    <w:rsid w:val="AF3FC071"/>
    <w:rsid w:val="AF7F5AB7"/>
    <w:rsid w:val="AFFB4A21"/>
    <w:rsid w:val="B0FFBD46"/>
    <w:rsid w:val="B5C121B5"/>
    <w:rsid w:val="B5DE0672"/>
    <w:rsid w:val="B5EE9E49"/>
    <w:rsid w:val="B5F7B175"/>
    <w:rsid w:val="B7CC7FAC"/>
    <w:rsid w:val="B97F7191"/>
    <w:rsid w:val="BBFF5877"/>
    <w:rsid w:val="BBFF66F1"/>
    <w:rsid w:val="BCCF1D1D"/>
    <w:rsid w:val="BD7CAE0B"/>
    <w:rsid w:val="BDFBD4BA"/>
    <w:rsid w:val="BDFEA223"/>
    <w:rsid w:val="BDFF872F"/>
    <w:rsid w:val="BEBB3247"/>
    <w:rsid w:val="BEF9CC09"/>
    <w:rsid w:val="BF6E9522"/>
    <w:rsid w:val="BFD5F831"/>
    <w:rsid w:val="BFDF0CA2"/>
    <w:rsid w:val="BFF597B2"/>
    <w:rsid w:val="BFF7D093"/>
    <w:rsid w:val="BFFD2A76"/>
    <w:rsid w:val="BFFE1C57"/>
    <w:rsid w:val="CFDEA72F"/>
    <w:rsid w:val="D6F795FC"/>
    <w:rsid w:val="D6FD671B"/>
    <w:rsid w:val="D7D7DDCC"/>
    <w:rsid w:val="D8DCEDE1"/>
    <w:rsid w:val="DAFBCEB0"/>
    <w:rsid w:val="DB726C3A"/>
    <w:rsid w:val="DB7EC993"/>
    <w:rsid w:val="DBF76714"/>
    <w:rsid w:val="DDA208C1"/>
    <w:rsid w:val="DEF75473"/>
    <w:rsid w:val="DF6A0073"/>
    <w:rsid w:val="DF780174"/>
    <w:rsid w:val="DFCBC77F"/>
    <w:rsid w:val="DFD77326"/>
    <w:rsid w:val="DFDD30F9"/>
    <w:rsid w:val="DFF5A64B"/>
    <w:rsid w:val="DFFDF19D"/>
    <w:rsid w:val="DFFF810B"/>
    <w:rsid w:val="DFFFB97E"/>
    <w:rsid w:val="E3DFABFC"/>
    <w:rsid w:val="E7E2616F"/>
    <w:rsid w:val="E7FF481B"/>
    <w:rsid w:val="E97FB2C3"/>
    <w:rsid w:val="EABFCD06"/>
    <w:rsid w:val="EAD5273E"/>
    <w:rsid w:val="EAD788B5"/>
    <w:rsid w:val="EAFB0206"/>
    <w:rsid w:val="ED7CB6BF"/>
    <w:rsid w:val="EE369E02"/>
    <w:rsid w:val="EF779F32"/>
    <w:rsid w:val="EF8FE4BA"/>
    <w:rsid w:val="EF9EF7A3"/>
    <w:rsid w:val="EFBBA1E8"/>
    <w:rsid w:val="EFBEAD07"/>
    <w:rsid w:val="EFEFCEF3"/>
    <w:rsid w:val="EFFD85C2"/>
    <w:rsid w:val="EFFE7920"/>
    <w:rsid w:val="EFFF2025"/>
    <w:rsid w:val="EFFF494D"/>
    <w:rsid w:val="F277D181"/>
    <w:rsid w:val="F3DB6D33"/>
    <w:rsid w:val="F3EDF549"/>
    <w:rsid w:val="F4C9127B"/>
    <w:rsid w:val="F4E309F0"/>
    <w:rsid w:val="F67188B8"/>
    <w:rsid w:val="F6FC2EBA"/>
    <w:rsid w:val="F6FD84FB"/>
    <w:rsid w:val="F71C4126"/>
    <w:rsid w:val="F72F39FB"/>
    <w:rsid w:val="F73DF6FB"/>
    <w:rsid w:val="F77BA6A3"/>
    <w:rsid w:val="F77F1B90"/>
    <w:rsid w:val="F7FF3781"/>
    <w:rsid w:val="F8AF765D"/>
    <w:rsid w:val="F9631D36"/>
    <w:rsid w:val="F97D229C"/>
    <w:rsid w:val="F9AFB6F0"/>
    <w:rsid w:val="F9F9C2D3"/>
    <w:rsid w:val="F9FF4C20"/>
    <w:rsid w:val="FA576F15"/>
    <w:rsid w:val="FA7BB5FD"/>
    <w:rsid w:val="FADC04E4"/>
    <w:rsid w:val="FB6E0296"/>
    <w:rsid w:val="FBAD5CE8"/>
    <w:rsid w:val="FBBD53BA"/>
    <w:rsid w:val="FBDF2122"/>
    <w:rsid w:val="FBEE1844"/>
    <w:rsid w:val="FBEF2C87"/>
    <w:rsid w:val="FBF76626"/>
    <w:rsid w:val="FBFF379E"/>
    <w:rsid w:val="FCCBB202"/>
    <w:rsid w:val="FCDB6888"/>
    <w:rsid w:val="FDBFC382"/>
    <w:rsid w:val="FDBFFB3F"/>
    <w:rsid w:val="FDEDFE4B"/>
    <w:rsid w:val="FDEE69C7"/>
    <w:rsid w:val="FDEFDB4A"/>
    <w:rsid w:val="FDF51AF1"/>
    <w:rsid w:val="FDF531D4"/>
    <w:rsid w:val="FDFD021C"/>
    <w:rsid w:val="FE692C48"/>
    <w:rsid w:val="FEC7CF0B"/>
    <w:rsid w:val="FECC11A6"/>
    <w:rsid w:val="FF18DFEE"/>
    <w:rsid w:val="FF5EF1C1"/>
    <w:rsid w:val="FF7ACDEB"/>
    <w:rsid w:val="FF7DB9F7"/>
    <w:rsid w:val="FFBF5332"/>
    <w:rsid w:val="FFCF68DB"/>
    <w:rsid w:val="FFDB4941"/>
    <w:rsid w:val="FFDB89D3"/>
    <w:rsid w:val="FFEF0BE6"/>
    <w:rsid w:val="FFFF83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2">
    <w:name w:val="heading 3"/>
    <w:basedOn w:val="1"/>
    <w:next w:val="1"/>
    <w:link w:val="22"/>
    <w:qFormat/>
    <w:uiPriority w:val="0"/>
    <w:pPr>
      <w:keepNext/>
      <w:keepLines/>
      <w:widowControl/>
      <w:adjustRightInd w:val="0"/>
      <w:snapToGrid w:val="0"/>
      <w:spacing w:before="120" w:beforeLines="0" w:after="120" w:afterLines="0" w:line="460" w:lineRule="atLeast"/>
      <w:jc w:val="left"/>
      <w:outlineLvl w:val="2"/>
    </w:pPr>
    <w:rPr>
      <w:rFonts w:ascii="宋体" w:hAnsi="宋体"/>
      <w:b/>
      <w:sz w:val="24"/>
      <w:szCs w:val="20"/>
    </w:rPr>
  </w:style>
  <w:style w:type="paragraph" w:styleId="4">
    <w:name w:val="heading 4"/>
    <w:basedOn w:val="1"/>
    <w:next w:val="1"/>
    <w:qFormat/>
    <w:uiPriority w:val="0"/>
    <w:pPr>
      <w:keepNext/>
      <w:keepLines/>
      <w:spacing w:before="280" w:beforeLines="0" w:after="290" w:afterLines="0" w:line="376" w:lineRule="auto"/>
      <w:outlineLvl w:val="3"/>
    </w:pPr>
    <w:rPr>
      <w:rFonts w:ascii="Arial" w:hAnsi="Arial" w:eastAsia="黑体"/>
      <w:b/>
      <w:bCs/>
      <w:szCs w:val="28"/>
    </w:rPr>
  </w:style>
  <w:style w:type="character" w:default="1" w:styleId="18">
    <w:name w:val="Default Paragraph Font"/>
    <w:qFormat/>
    <w:uiPriority w:val="0"/>
  </w:style>
  <w:style w:type="table" w:default="1" w:styleId="17">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rPr>
      <w:sz w:val="21"/>
      <w:szCs w:val="24"/>
    </w:rPr>
  </w:style>
  <w:style w:type="paragraph" w:styleId="6">
    <w:name w:val="Normal Indent"/>
    <w:basedOn w:val="1"/>
    <w:next w:val="1"/>
    <w:link w:val="23"/>
    <w:qFormat/>
    <w:uiPriority w:val="0"/>
    <w:pPr>
      <w:ind w:firstLine="420"/>
    </w:pPr>
    <w:rPr>
      <w:rFonts w:ascii="宋体"/>
      <w:szCs w:val="20"/>
    </w:rPr>
  </w:style>
  <w:style w:type="paragraph" w:styleId="7">
    <w:name w:val="Document Map"/>
    <w:basedOn w:val="1"/>
    <w:link w:val="24"/>
    <w:qFormat/>
    <w:uiPriority w:val="0"/>
    <w:pPr>
      <w:shd w:val="clear" w:color="auto" w:fill="000080"/>
    </w:pPr>
  </w:style>
  <w:style w:type="paragraph" w:styleId="8">
    <w:name w:val="annotation text"/>
    <w:basedOn w:val="1"/>
    <w:link w:val="25"/>
    <w:qFormat/>
    <w:uiPriority w:val="0"/>
    <w:pPr>
      <w:widowControl/>
      <w:jc w:val="left"/>
    </w:pPr>
    <w:rPr>
      <w:rFonts w:ascii="宋体" w:hAnsi="宋体" w:cs="宋体"/>
      <w:kern w:val="0"/>
      <w:sz w:val="24"/>
    </w:rPr>
  </w:style>
  <w:style w:type="paragraph" w:styleId="9">
    <w:name w:val="Body Text"/>
    <w:basedOn w:val="1"/>
    <w:next w:val="1"/>
    <w:link w:val="26"/>
    <w:qFormat/>
    <w:uiPriority w:val="0"/>
    <w:pPr>
      <w:spacing w:after="120" w:afterLines="0"/>
    </w:pPr>
    <w:rPr>
      <w:sz w:val="21"/>
    </w:rPr>
  </w:style>
  <w:style w:type="paragraph" w:styleId="10">
    <w:name w:val="Body Text Indent"/>
    <w:basedOn w:val="1"/>
    <w:semiHidden/>
    <w:unhideWhenUsed/>
    <w:qFormat/>
    <w:uiPriority w:val="99"/>
    <w:pPr>
      <w:spacing w:after="120"/>
      <w:ind w:left="420" w:leftChars="200"/>
    </w:pPr>
  </w:style>
  <w:style w:type="paragraph" w:styleId="11">
    <w:name w:val="Body Text Indent 2"/>
    <w:basedOn w:val="1"/>
    <w:qFormat/>
    <w:uiPriority w:val="0"/>
    <w:pPr>
      <w:spacing w:after="120" w:afterLines="0" w:line="480" w:lineRule="auto"/>
      <w:ind w:left="420" w:leftChars="200"/>
    </w:pPr>
    <w:rPr>
      <w:sz w:val="21"/>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annotation subject"/>
    <w:basedOn w:val="8"/>
    <w:next w:val="8"/>
    <w:semiHidden/>
    <w:qFormat/>
    <w:uiPriority w:val="0"/>
    <w:pPr>
      <w:widowControl w:val="0"/>
    </w:pPr>
    <w:rPr>
      <w:rFonts w:ascii="Times New Roman" w:hAnsi="Times New Roman" w:cs="Times New Roman"/>
      <w:b/>
      <w:bCs/>
      <w:kern w:val="2"/>
      <w:sz w:val="28"/>
    </w:rPr>
  </w:style>
  <w:style w:type="paragraph" w:styleId="16">
    <w:name w:val="Body Text First Indent"/>
    <w:qFormat/>
    <w:uiPriority w:val="99"/>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9">
    <w:name w:val="page number"/>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标题 3 字符"/>
    <w:link w:val="2"/>
    <w:qFormat/>
    <w:uiPriority w:val="0"/>
    <w:rPr>
      <w:rFonts w:ascii="宋体" w:hAnsi="宋体" w:eastAsia="宋体"/>
      <w:b/>
      <w:kern w:val="2"/>
      <w:sz w:val="24"/>
      <w:lang w:val="en-US" w:eastAsia="zh-CN" w:bidi="ar-SA"/>
    </w:rPr>
  </w:style>
  <w:style w:type="character" w:customStyle="1" w:styleId="23">
    <w:name w:val="正文缩进 字符"/>
    <w:link w:val="6"/>
    <w:qFormat/>
    <w:uiPriority w:val="0"/>
    <w:rPr>
      <w:rFonts w:ascii="宋体" w:eastAsia="宋体"/>
      <w:kern w:val="2"/>
      <w:sz w:val="28"/>
      <w:lang w:val="en-US" w:eastAsia="zh-CN" w:bidi="ar-SA"/>
    </w:rPr>
  </w:style>
  <w:style w:type="character" w:customStyle="1" w:styleId="24">
    <w:name w:val="文档结构图 字符"/>
    <w:link w:val="7"/>
    <w:qFormat/>
    <w:uiPriority w:val="0"/>
    <w:rPr>
      <w:rFonts w:eastAsia="宋体"/>
      <w:kern w:val="2"/>
      <w:sz w:val="28"/>
      <w:szCs w:val="24"/>
      <w:lang w:val="en-US" w:eastAsia="zh-CN" w:bidi="ar-SA"/>
    </w:rPr>
  </w:style>
  <w:style w:type="character" w:customStyle="1" w:styleId="25">
    <w:name w:val="批注文字 字符"/>
    <w:link w:val="8"/>
    <w:qFormat/>
    <w:uiPriority w:val="0"/>
    <w:rPr>
      <w:rFonts w:ascii="宋体" w:hAnsi="宋体" w:eastAsia="宋体" w:cs="宋体"/>
      <w:sz w:val="24"/>
      <w:szCs w:val="24"/>
      <w:lang w:val="en-US" w:eastAsia="zh-CN" w:bidi="ar-SA"/>
    </w:rPr>
  </w:style>
  <w:style w:type="character" w:customStyle="1" w:styleId="26">
    <w:name w:val="正文文本 字符"/>
    <w:link w:val="9"/>
    <w:qFormat/>
    <w:uiPriority w:val="0"/>
    <w:rPr>
      <w:rFonts w:eastAsia="宋体"/>
      <w:kern w:val="2"/>
      <w:sz w:val="21"/>
      <w:szCs w:val="24"/>
      <w:lang w:val="en-US" w:eastAsia="zh-CN" w:bidi="ar-SA"/>
    </w:rPr>
  </w:style>
  <w:style w:type="character" w:customStyle="1" w:styleId="27">
    <w:name w:val="报告文本 Char"/>
    <w:link w:val="28"/>
    <w:qFormat/>
    <w:uiPriority w:val="0"/>
    <w:rPr>
      <w:kern w:val="24"/>
      <w:sz w:val="24"/>
      <w:szCs w:val="22"/>
    </w:rPr>
  </w:style>
  <w:style w:type="paragraph" w:customStyle="1" w:styleId="28">
    <w:name w:val="报告文本"/>
    <w:basedOn w:val="1"/>
    <w:link w:val="27"/>
    <w:qFormat/>
    <w:uiPriority w:val="0"/>
    <w:pPr>
      <w:spacing w:line="500" w:lineRule="exact"/>
      <w:ind w:firstLine="200" w:firstLineChars="200"/>
    </w:pPr>
    <w:rPr>
      <w:kern w:val="24"/>
      <w:sz w:val="24"/>
      <w:szCs w:val="22"/>
    </w:rPr>
  </w:style>
  <w:style w:type="character" w:customStyle="1" w:styleId="29">
    <w:name w:val="样式12 Char Char"/>
    <w:link w:val="30"/>
    <w:qFormat/>
    <w:uiPriority w:val="0"/>
    <w:rPr>
      <w:rFonts w:ascii="Swis721 BT" w:hAnsi="Swis721 BT" w:eastAsia="黑体"/>
      <w:color w:val="000000"/>
      <w:kern w:val="2"/>
      <w:sz w:val="28"/>
      <w:szCs w:val="28"/>
      <w:lang w:val="en-US" w:eastAsia="zh-CN" w:bidi="ar-SA"/>
    </w:rPr>
  </w:style>
  <w:style w:type="paragraph" w:customStyle="1" w:styleId="30">
    <w:name w:val="样式12"/>
    <w:basedOn w:val="1"/>
    <w:link w:val="29"/>
    <w:qFormat/>
    <w:uiPriority w:val="0"/>
    <w:pPr>
      <w:spacing w:before="93" w:beforeLines="30" w:after="93" w:afterLines="30" w:line="355" w:lineRule="auto"/>
      <w:outlineLvl w:val="2"/>
    </w:pPr>
    <w:rPr>
      <w:rFonts w:ascii="Swis721 BT" w:hAnsi="Swis721 BT" w:eastAsia="黑体"/>
      <w:color w:val="000000"/>
      <w:szCs w:val="28"/>
    </w:rPr>
  </w:style>
  <w:style w:type="character" w:customStyle="1" w:styleId="31">
    <w:name w:val="样式25 Char Char"/>
    <w:link w:val="32"/>
    <w:qFormat/>
    <w:uiPriority w:val="0"/>
    <w:rPr>
      <w:kern w:val="2"/>
      <w:sz w:val="26"/>
      <w:szCs w:val="22"/>
    </w:rPr>
  </w:style>
  <w:style w:type="paragraph" w:customStyle="1" w:styleId="32">
    <w:name w:val="样式25"/>
    <w:basedOn w:val="1"/>
    <w:link w:val="31"/>
    <w:qFormat/>
    <w:uiPriority w:val="0"/>
    <w:pPr>
      <w:spacing w:line="480" w:lineRule="exact"/>
      <w:ind w:firstLine="520" w:firstLineChars="200"/>
    </w:pPr>
    <w:rPr>
      <w:sz w:val="26"/>
      <w:szCs w:val="22"/>
    </w:rPr>
  </w:style>
  <w:style w:type="character" w:customStyle="1" w:styleId="33">
    <w:name w:val="都福路文本"/>
    <w:qFormat/>
    <w:uiPriority w:val="0"/>
    <w:rPr>
      <w:rFonts w:ascii="宋体" w:hAnsi="宋体" w:eastAsia="宋体"/>
      <w:color w:val="0000FF"/>
      <w:kern w:val="0"/>
      <w:sz w:val="24"/>
      <w:lang w:val="en-US" w:eastAsia="zh-CN"/>
    </w:rPr>
  </w:style>
  <w:style w:type="character" w:customStyle="1" w:styleId="34">
    <w:name w:val=" Char Char25"/>
    <w:qFormat/>
    <w:uiPriority w:val="0"/>
    <w:rPr>
      <w:rFonts w:eastAsia="宋体"/>
      <w:kern w:val="2"/>
      <w:sz w:val="21"/>
      <w:szCs w:val="24"/>
      <w:lang w:val="en-US" w:eastAsia="zh-CN" w:bidi="ar-SA"/>
    </w:rPr>
  </w:style>
  <w:style w:type="character" w:customStyle="1" w:styleId="35">
    <w:name w:val="font91"/>
    <w:qFormat/>
    <w:uiPriority w:val="0"/>
    <w:rPr>
      <w:rFonts w:hint="eastAsia" w:ascii="宋体" w:hAnsi="宋体" w:eastAsia="宋体" w:cs="宋体"/>
      <w:color w:val="000000"/>
      <w:sz w:val="20"/>
      <w:szCs w:val="20"/>
      <w:u w:val="none"/>
    </w:rPr>
  </w:style>
  <w:style w:type="character" w:customStyle="1" w:styleId="36">
    <w:name w:val="正文2"/>
    <w:qFormat/>
    <w:uiPriority w:val="0"/>
    <w:rPr>
      <w:rFonts w:eastAsia="宋体"/>
      <w:color w:val="0000FF"/>
    </w:rPr>
  </w:style>
  <w:style w:type="character" w:customStyle="1" w:styleId="37">
    <w:name w:val="font101"/>
    <w:qFormat/>
    <w:uiPriority w:val="0"/>
    <w:rPr>
      <w:rFonts w:hint="eastAsia" w:ascii="宋体" w:hAnsi="宋体" w:eastAsia="宋体" w:cs="宋体"/>
      <w:color w:val="000000"/>
      <w:sz w:val="20"/>
      <w:szCs w:val="20"/>
      <w:u w:val="none"/>
    </w:rPr>
  </w:style>
  <w:style w:type="character" w:customStyle="1" w:styleId="38">
    <w:name w:val="font51"/>
    <w:basedOn w:val="18"/>
    <w:qFormat/>
    <w:uiPriority w:val="0"/>
    <w:rPr>
      <w:rFonts w:hint="default" w:ascii="Times New Roman" w:hAnsi="Times New Roman" w:cs="Times New Roman"/>
      <w:b/>
      <w:bCs/>
      <w:color w:val="000000"/>
      <w:sz w:val="18"/>
      <w:szCs w:val="18"/>
      <w:u w:val="none"/>
    </w:rPr>
  </w:style>
  <w:style w:type="character" w:customStyle="1" w:styleId="39">
    <w:name w:val="文本条款 Char"/>
    <w:qFormat/>
    <w:uiPriority w:val="0"/>
    <w:rPr>
      <w:kern w:val="2"/>
      <w:sz w:val="21"/>
    </w:rPr>
  </w:style>
  <w:style w:type="character" w:customStyle="1" w:styleId="40">
    <w:name w:val="font81"/>
    <w:qFormat/>
    <w:uiPriority w:val="0"/>
    <w:rPr>
      <w:rFonts w:hint="default" w:ascii="Times New Roman" w:hAnsi="Times New Roman" w:cs="Times New Roman"/>
      <w:color w:val="000000"/>
      <w:sz w:val="20"/>
      <w:szCs w:val="20"/>
      <w:u w:val="none"/>
    </w:rPr>
  </w:style>
  <w:style w:type="character" w:customStyle="1" w:styleId="41">
    <w:name w:val="font71"/>
    <w:basedOn w:val="18"/>
    <w:qFormat/>
    <w:uiPriority w:val="0"/>
    <w:rPr>
      <w:rFonts w:hint="default" w:ascii="Times New Roman" w:hAnsi="Times New Roman" w:cs="Times New Roman"/>
      <w:color w:val="000000"/>
      <w:sz w:val="20"/>
      <w:szCs w:val="20"/>
      <w:u w:val="none"/>
    </w:rPr>
  </w:style>
  <w:style w:type="character" w:customStyle="1" w:styleId="42">
    <w:name w:val="样式4 Char Char"/>
    <w:link w:val="43"/>
    <w:qFormat/>
    <w:uiPriority w:val="0"/>
    <w:rPr>
      <w:rFonts w:ascii="宋体" w:hAnsi="宋体" w:eastAsia="仿宋_GB2312"/>
      <w:kern w:val="2"/>
      <w:sz w:val="28"/>
      <w:szCs w:val="28"/>
      <w:lang w:val="en-US" w:eastAsia="zh-CN" w:bidi="ar-SA"/>
    </w:rPr>
  </w:style>
  <w:style w:type="paragraph" w:customStyle="1" w:styleId="43">
    <w:name w:val="样式4"/>
    <w:basedOn w:val="1"/>
    <w:link w:val="42"/>
    <w:qFormat/>
    <w:uiPriority w:val="0"/>
    <w:pPr>
      <w:adjustRightInd w:val="0"/>
      <w:snapToGrid w:val="0"/>
      <w:spacing w:line="355" w:lineRule="auto"/>
      <w:ind w:firstLine="560" w:firstLineChars="200"/>
    </w:pPr>
    <w:rPr>
      <w:rFonts w:ascii="宋体" w:hAnsi="宋体" w:eastAsia="仿宋_GB2312"/>
      <w:szCs w:val="28"/>
    </w:rPr>
  </w:style>
  <w:style w:type="character" w:customStyle="1" w:styleId="44">
    <w:name w:val="样式1 Char Char"/>
    <w:link w:val="45"/>
    <w:qFormat/>
    <w:uiPriority w:val="0"/>
    <w:rPr>
      <w:rFonts w:eastAsia="宋体"/>
      <w:color w:val="000000"/>
      <w:sz w:val="21"/>
      <w:szCs w:val="21"/>
      <w:lang w:val="en-US" w:eastAsia="zh-CN" w:bidi="ar-SA"/>
    </w:rPr>
  </w:style>
  <w:style w:type="paragraph" w:customStyle="1" w:styleId="45">
    <w:name w:val="样式1"/>
    <w:basedOn w:val="1"/>
    <w:link w:val="44"/>
    <w:qFormat/>
    <w:uiPriority w:val="0"/>
    <w:pPr>
      <w:autoSpaceDE w:val="0"/>
      <w:autoSpaceDN w:val="0"/>
      <w:adjustRightInd w:val="0"/>
      <w:spacing w:before="40" w:beforeLines="0" w:after="40" w:afterLines="0"/>
      <w:jc w:val="center"/>
    </w:pPr>
    <w:rPr>
      <w:color w:val="000000"/>
      <w:kern w:val="0"/>
      <w:sz w:val="21"/>
      <w:szCs w:val="21"/>
    </w:rPr>
  </w:style>
  <w:style w:type="character" w:customStyle="1" w:styleId="46">
    <w:name w:val="font31"/>
    <w:qFormat/>
    <w:uiPriority w:val="0"/>
    <w:rPr>
      <w:rFonts w:hint="default" w:ascii="Times New Roman" w:hAnsi="Times New Roman" w:cs="Times New Roman"/>
      <w:color w:val="000000"/>
      <w:sz w:val="16"/>
      <w:szCs w:val="16"/>
      <w:u w:val="none"/>
    </w:rPr>
  </w:style>
  <w:style w:type="character" w:customStyle="1" w:styleId="47">
    <w:name w:val="样式 样式 样式 正文首行缩进 + 首行缩进:  1 字符 + 宋体 + 自动设置 Char Char"/>
    <w:link w:val="48"/>
    <w:qFormat/>
    <w:uiPriority w:val="0"/>
    <w:rPr>
      <w:rFonts w:ascii="宋体" w:hAnsi="宋体" w:eastAsia="宋体"/>
      <w:kern w:val="2"/>
      <w:sz w:val="24"/>
      <w:lang w:val="en-US" w:eastAsia="zh-CN" w:bidi="ar-SA"/>
    </w:rPr>
  </w:style>
  <w:style w:type="paragraph" w:customStyle="1" w:styleId="48">
    <w:name w:val="样式 样式 样式 正文首行缩进 + 首行缩进:  1 字符 + 宋体 + 自动设置"/>
    <w:basedOn w:val="1"/>
    <w:link w:val="47"/>
    <w:qFormat/>
    <w:uiPriority w:val="0"/>
    <w:pPr>
      <w:spacing w:line="460" w:lineRule="exact"/>
      <w:ind w:firstLine="480" w:firstLineChars="200"/>
      <w:jc w:val="left"/>
    </w:pPr>
    <w:rPr>
      <w:rFonts w:ascii="宋体" w:hAnsi="宋体"/>
      <w:sz w:val="24"/>
      <w:szCs w:val="20"/>
    </w:rPr>
  </w:style>
  <w:style w:type="character" w:customStyle="1" w:styleId="49">
    <w:name w:val="font11"/>
    <w:basedOn w:val="18"/>
    <w:qFormat/>
    <w:uiPriority w:val="0"/>
    <w:rPr>
      <w:rFonts w:hint="default" w:ascii="楷体_GB2312" w:eastAsia="楷体_GB2312" w:cs="楷体_GB2312"/>
      <w:b/>
      <w:bCs/>
      <w:color w:val="000000"/>
      <w:sz w:val="18"/>
      <w:szCs w:val="18"/>
      <w:u w:val="none"/>
    </w:rPr>
  </w:style>
  <w:style w:type="character" w:customStyle="1" w:styleId="50">
    <w:name w:val="font61"/>
    <w:qFormat/>
    <w:uiPriority w:val="0"/>
    <w:rPr>
      <w:rFonts w:ascii="黑体" w:hAnsi="宋体" w:eastAsia="黑体" w:cs="黑体"/>
      <w:color w:val="000000"/>
      <w:sz w:val="28"/>
      <w:szCs w:val="28"/>
      <w:u w:val="none"/>
    </w:rPr>
  </w:style>
  <w:style w:type="character" w:customStyle="1" w:styleId="51">
    <w:name w:val="A正文 Char Char"/>
    <w:link w:val="52"/>
    <w:qFormat/>
    <w:uiPriority w:val="0"/>
    <w:rPr>
      <w:rFonts w:eastAsia="宋体"/>
      <w:kern w:val="2"/>
      <w:sz w:val="24"/>
      <w:szCs w:val="24"/>
      <w:lang w:val="en-US" w:eastAsia="zh-CN" w:bidi="ar-SA"/>
    </w:rPr>
  </w:style>
  <w:style w:type="paragraph" w:customStyle="1" w:styleId="52">
    <w:name w:val="A正文"/>
    <w:basedOn w:val="1"/>
    <w:link w:val="51"/>
    <w:qFormat/>
    <w:uiPriority w:val="0"/>
    <w:pPr>
      <w:widowControl/>
      <w:spacing w:line="360" w:lineRule="auto"/>
      <w:ind w:firstLine="200" w:firstLineChars="200"/>
      <w:jc w:val="left"/>
    </w:pPr>
    <w:rPr>
      <w:sz w:val="24"/>
    </w:rPr>
  </w:style>
  <w:style w:type="paragraph" w:customStyle="1" w:styleId="53">
    <w:name w:val=" Char2 Char Char Char Char Char Char Char Char"/>
    <w:basedOn w:val="1"/>
    <w:qFormat/>
    <w:uiPriority w:val="0"/>
    <w:rPr>
      <w:sz w:val="21"/>
      <w:szCs w:val="20"/>
    </w:rPr>
  </w:style>
  <w:style w:type="paragraph" w:customStyle="1" w:styleId="54">
    <w:name w:val="xc----正文"/>
    <w:basedOn w:val="55"/>
    <w:qFormat/>
    <w:uiPriority w:val="0"/>
    <w:rPr>
      <w:rFonts w:ascii="仿宋_GB2312"/>
      <w:spacing w:val="-4"/>
    </w:rPr>
  </w:style>
  <w:style w:type="paragraph" w:customStyle="1" w:styleId="55">
    <w:name w:val="样式 样式 公正文样式 + 三号 + 红色 首行缩进:  0 字符"/>
    <w:basedOn w:val="1"/>
    <w:qFormat/>
    <w:uiPriority w:val="0"/>
    <w:pPr>
      <w:spacing w:line="460" w:lineRule="exact"/>
      <w:ind w:firstLine="200" w:firstLineChars="200"/>
    </w:pPr>
    <w:rPr>
      <w:rFonts w:ascii="Times New Roman" w:hAnsi="Times New Roman" w:eastAsia="仿宋_GB2312" w:cs="宋体"/>
      <w:kern w:val="0"/>
      <w:sz w:val="24"/>
      <w:szCs w:val="20"/>
    </w:rPr>
  </w:style>
  <w:style w:type="paragraph" w:customStyle="1" w:styleId="56">
    <w:name w:val="p0"/>
    <w:basedOn w:val="1"/>
    <w:qFormat/>
    <w:uiPriority w:val="0"/>
    <w:pPr>
      <w:widowControl/>
    </w:pPr>
    <w:rPr>
      <w:kern w:val="0"/>
      <w:sz w:val="21"/>
      <w:szCs w:val="20"/>
    </w:rPr>
  </w:style>
  <w:style w:type="paragraph" w:customStyle="1" w:styleId="57">
    <w:name w:val=" Char Char Char Char"/>
    <w:basedOn w:val="1"/>
    <w:qFormat/>
    <w:uiPriority w:val="0"/>
    <w:pPr>
      <w:widowControl/>
      <w:spacing w:after="160" w:afterLines="0" w:line="240" w:lineRule="exact"/>
      <w:jc w:val="left"/>
    </w:pPr>
    <w:rPr>
      <w:rFonts w:ascii="宋体" w:hAnsi="宋体"/>
      <w:b/>
      <w:kern w:val="0"/>
      <w:sz w:val="44"/>
      <w:szCs w:val="44"/>
      <w:lang w:eastAsia="en-US"/>
    </w:rPr>
  </w:style>
  <w:style w:type="paragraph" w:customStyle="1" w:styleId="58">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59">
    <w:name w:val="Char Char1 Char Char Char Char Char Char Char"/>
    <w:basedOn w:val="1"/>
    <w:qFormat/>
    <w:uiPriority w:val="0"/>
    <w:pPr>
      <w:pageBreakBefore/>
      <w:spacing w:line="480" w:lineRule="auto"/>
      <w:ind w:firstLine="200" w:firstLineChars="200"/>
    </w:pPr>
    <w:rPr>
      <w:rFonts w:ascii="宋体" w:hAnsi="宋体" w:eastAsia="仿宋_GB2312" w:cs="宋体"/>
      <w:szCs w:val="28"/>
    </w:rPr>
  </w:style>
  <w:style w:type="paragraph" w:customStyle="1" w:styleId="60">
    <w:name w:val="报告书副标题"/>
    <w:basedOn w:val="1"/>
    <w:qFormat/>
    <w:uiPriority w:val="0"/>
    <w:pPr>
      <w:widowControl/>
      <w:tabs>
        <w:tab w:val="left" w:pos="-24"/>
      </w:tabs>
      <w:spacing w:line="460" w:lineRule="exact"/>
      <w:ind w:firstLine="480" w:firstLineChars="200"/>
      <w:jc w:val="center"/>
      <w:textAlignment w:val="baseline"/>
      <w:outlineLvl w:val="4"/>
    </w:pPr>
    <w:rPr>
      <w:rFonts w:ascii="宋体" w:hAnsi="宋体"/>
      <w:b/>
      <w:bCs/>
      <w:color w:val="000000"/>
      <w:w w:val="83"/>
      <w:kern w:val="0"/>
      <w:sz w:val="48"/>
    </w:rPr>
  </w:style>
  <w:style w:type="paragraph" w:customStyle="1" w:styleId="61">
    <w:name w:val="样式 xc----正文 + 首行缩进:  2 字符"/>
    <w:basedOn w:val="54"/>
    <w:qFormat/>
    <w:uiPriority w:val="0"/>
    <w:pPr>
      <w:ind w:firstLine="464"/>
    </w:pPr>
    <w:rPr>
      <w:spacing w:val="0"/>
    </w:rPr>
  </w:style>
  <w:style w:type="paragraph" w:customStyle="1" w:styleId="62">
    <w:name w:val="课题号"/>
    <w:basedOn w:val="1"/>
    <w:qFormat/>
    <w:uiPriority w:val="0"/>
    <w:pPr>
      <w:widowControl/>
      <w:tabs>
        <w:tab w:val="left" w:pos="-24"/>
      </w:tabs>
      <w:spacing w:line="460" w:lineRule="exact"/>
      <w:ind w:firstLine="436" w:firstLineChars="200"/>
      <w:jc w:val="left"/>
      <w:textAlignment w:val="baseline"/>
    </w:pPr>
    <w:rPr>
      <w:rFonts w:ascii="宋体" w:hAnsi="宋体"/>
      <w:b/>
      <w:bCs/>
      <w:color w:val="000000"/>
      <w:kern w:val="0"/>
      <w:sz w:val="30"/>
    </w:rPr>
  </w:style>
  <w:style w:type="paragraph" w:customStyle="1" w:styleId="63">
    <w:name w:val="xc----括号"/>
    <w:basedOn w:val="54"/>
    <w:qFormat/>
    <w:uiPriority w:val="0"/>
    <w:pPr>
      <w:outlineLvl w:val="5"/>
    </w:pPr>
    <w:rPr>
      <w:rFonts w:ascii="楷体_GB2312" w:eastAsia="楷体_GB2312" w:cs="Times New Roman"/>
    </w:rPr>
  </w:style>
  <w:style w:type="paragraph" w:customStyle="1" w:styleId="64">
    <w:name w:val="默认段落字体 Para Char Char Char Char Char Char Char Char Char Char"/>
    <w:basedOn w:val="1"/>
    <w:qFormat/>
    <w:uiPriority w:val="0"/>
    <w:rPr>
      <w:sz w:val="21"/>
      <w:szCs w:val="20"/>
    </w:rPr>
  </w:style>
  <w:style w:type="paragraph" w:customStyle="1" w:styleId="65">
    <w:name w:val="gg_body"/>
    <w:basedOn w:val="1"/>
    <w:qFormat/>
    <w:uiPriority w:val="0"/>
    <w:pPr>
      <w:widowControl/>
      <w:spacing w:line="460" w:lineRule="exact"/>
      <w:ind w:firstLine="200"/>
      <w:jc w:val="left"/>
    </w:pPr>
    <w:rPr>
      <w:rFonts w:ascii="宋体" w:hAnsi="宋体"/>
      <w:kern w:val="0"/>
      <w:sz w:val="24"/>
      <w:szCs w:val="20"/>
    </w:rPr>
  </w:style>
  <w:style w:type="paragraph" w:customStyle="1" w:styleId="66">
    <w:name w:val="Char Char Char Char Char Char Char Char Char1 Char"/>
    <w:next w:val="67"/>
    <w:qFormat/>
    <w:uiPriority w:val="0"/>
    <w:pPr>
      <w:snapToGrid w:val="0"/>
      <w:spacing w:line="300" w:lineRule="auto"/>
      <w:ind w:firstLine="200" w:firstLineChars="200"/>
      <w:jc w:val="both"/>
    </w:pPr>
    <w:rPr>
      <w:rFonts w:ascii="Times New Roman" w:hAnsi="Times New Roman" w:eastAsia="宋体" w:cs="Times New Roman"/>
      <w:color w:val="000000"/>
      <w:kern w:val="2"/>
      <w:sz w:val="24"/>
      <w:szCs w:val="24"/>
      <w:lang w:val="en-US" w:eastAsia="zh-CN" w:bidi="ar-SA"/>
    </w:rPr>
  </w:style>
  <w:style w:type="paragraph" w:customStyle="1" w:styleId="67">
    <w:name w:val="!正文(alt+c)"/>
    <w:qFormat/>
    <w:uiPriority w:val="0"/>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68">
    <w:name w:val="xl4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Arial Unicode MS" w:hAnsi="Arial Unicode MS" w:eastAsia="Arial Unicode MS"/>
      <w:color w:val="000000"/>
      <w:kern w:val="0"/>
      <w:sz w:val="21"/>
      <w:szCs w:val="21"/>
    </w:rPr>
  </w:style>
  <w:style w:type="paragraph" w:customStyle="1" w:styleId="69">
    <w:name w:val="Char Char Char1 Char Char Char Char Char Char Char Char Char Char Char Char Char"/>
    <w:basedOn w:val="4"/>
    <w:qFormat/>
    <w:uiPriority w:val="0"/>
    <w:pPr>
      <w:widowControl/>
      <w:spacing w:before="120" w:beforeLines="0" w:after="120" w:afterLines="0" w:line="360" w:lineRule="auto"/>
      <w:jc w:val="left"/>
    </w:pPr>
    <w:rPr>
      <w:rFonts w:ascii="Times New Roman" w:hAnsi="Times New Roman" w:eastAsia="仿宋_GB2312" w:cs="宋体"/>
      <w:b w:val="0"/>
      <w:kern w:val="0"/>
    </w:rPr>
  </w:style>
  <w:style w:type="paragraph" w:customStyle="1" w:styleId="70">
    <w:name w:val=" Char Char Char Char Char Char Char Char Char Char"/>
    <w:basedOn w:val="1"/>
    <w:qFormat/>
    <w:uiPriority w:val="0"/>
    <w:rPr>
      <w:sz w:val="21"/>
    </w:rPr>
  </w:style>
  <w:style w:type="paragraph" w:customStyle="1" w:styleId="71">
    <w:name w:val="!表格(alt+t)"/>
    <w:qFormat/>
    <w:uiPriority w:val="0"/>
    <w:pPr>
      <w:adjustRightInd w:val="0"/>
      <w:spacing w:line="240" w:lineRule="atLeast"/>
      <w:jc w:val="center"/>
      <w:textAlignment w:val="center"/>
    </w:pPr>
    <w:rPr>
      <w:rFonts w:ascii="Times New Roman" w:hAnsi="Times New Roman" w:eastAsia="宋体" w:cs="Times New Roman"/>
      <w:bCs/>
      <w:sz w:val="21"/>
      <w:szCs w:val="21"/>
      <w:lang w:val="en-US" w:eastAsia="zh-CN" w:bidi="ar-SA"/>
    </w:rPr>
  </w:style>
  <w:style w:type="paragraph" w:customStyle="1" w:styleId="72">
    <w:name w:val=" Char Char Char Char Char Char Char"/>
    <w:basedOn w:val="1"/>
    <w:qFormat/>
    <w:uiPriority w:val="0"/>
    <w:pPr>
      <w:widowControl/>
      <w:spacing w:after="160" w:afterLines="0" w:line="240" w:lineRule="exact"/>
      <w:jc w:val="left"/>
    </w:pPr>
    <w:rPr>
      <w:sz w:val="21"/>
      <w:szCs w:val="20"/>
    </w:rPr>
  </w:style>
  <w:style w:type="paragraph" w:customStyle="1" w:styleId="73">
    <w:name w:val="样式 !正文(alt+c) + 首行缩进:  2 字符"/>
    <w:basedOn w:val="1"/>
    <w:qFormat/>
    <w:uiPriority w:val="0"/>
    <w:pPr>
      <w:widowControl/>
      <w:spacing w:line="440" w:lineRule="exact"/>
      <w:ind w:firstLine="200" w:firstLineChars="200"/>
      <w:jc w:val="left"/>
    </w:pPr>
    <w:rPr>
      <w:color w:val="000000"/>
      <w:kern w:val="0"/>
      <w:sz w:val="24"/>
      <w:szCs w:val="20"/>
    </w:rPr>
  </w:style>
  <w:style w:type="paragraph" w:customStyle="1" w:styleId="74">
    <w:name w:val=" Char"/>
    <w:basedOn w:val="1"/>
    <w:qFormat/>
    <w:uiPriority w:val="0"/>
    <w:rPr>
      <w:sz w:val="21"/>
    </w:rPr>
  </w:style>
  <w:style w:type="paragraph" w:customStyle="1" w:styleId="75">
    <w:name w:val="表格内文字"/>
    <w:basedOn w:val="1"/>
    <w:qFormat/>
    <w:uiPriority w:val="0"/>
    <w:pPr>
      <w:spacing w:line="240" w:lineRule="auto"/>
      <w:ind w:firstLine="0" w:firstLineChars="0"/>
      <w:jc w:val="center"/>
    </w:pPr>
    <w:rPr>
      <w:rFonts w:cs="宋体"/>
      <w:sz w:val="18"/>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7">
    <w:name w:val="font41"/>
    <w:basedOn w:val="18"/>
    <w:qFormat/>
    <w:uiPriority w:val="0"/>
    <w:rPr>
      <w:rFonts w:hint="eastAsia" w:ascii="仿宋" w:hAnsi="仿宋" w:eastAsia="仿宋" w:cs="仿宋"/>
      <w:color w:val="000000"/>
      <w:sz w:val="18"/>
      <w:szCs w:val="18"/>
      <w:u w:val="none"/>
    </w:rPr>
  </w:style>
  <w:style w:type="paragraph" w:customStyle="1" w:styleId="78">
    <w:name w:val="表格文字"/>
    <w:qFormat/>
    <w:uiPriority w:val="0"/>
    <w:pPr>
      <w:widowControl/>
      <w:tabs>
        <w:tab w:val="left" w:pos="-24"/>
      </w:tabs>
      <w:spacing w:line="0" w:lineRule="atLeast"/>
      <w:ind w:firstLine="0" w:firstLineChars="0"/>
      <w:jc w:val="center"/>
      <w:textAlignment w:val="baseline"/>
    </w:pPr>
    <w:rPr>
      <w:rFonts w:ascii="Times New Roman" w:hAnsi="Times New Roman" w:eastAsia="仿宋_GB2312" w:cs="Times New Roman"/>
      <w:color w:val="auto"/>
      <w:sz w:val="21"/>
      <w:szCs w:val="20"/>
      <w:u w:val="none" w:color="000000"/>
      <w:lang w:val="en-US" w:eastAsia="zh-CN" w:bidi="ar-SA"/>
    </w:rPr>
  </w:style>
  <w:style w:type="paragraph" w:customStyle="1" w:styleId="79">
    <w:name w:val="列出段落1"/>
    <w:qFormat/>
    <w:uiPriority w:val="99"/>
    <w:pPr>
      <w:widowControl/>
      <w:spacing w:line="240" w:lineRule="auto"/>
      <w:ind w:firstLine="0" w:firstLineChars="0"/>
      <w:jc w:val="left"/>
    </w:pPr>
    <w:rPr>
      <w:rFonts w:ascii="Times New Roman" w:hAnsi="Times New Roman" w:eastAsia="仿宋_GB2312" w:cs="宋体"/>
      <w:kern w:val="2"/>
      <w:sz w:val="21"/>
      <w:szCs w:val="24"/>
      <w:lang w:val="en-US" w:eastAsia="zh-CN" w:bidi="ar-SA"/>
    </w:rPr>
  </w:style>
  <w:style w:type="character" w:customStyle="1" w:styleId="80">
    <w:name w:val="font21"/>
    <w:qFormat/>
    <w:uiPriority w:val="0"/>
    <w:rPr>
      <w:rFonts w:hint="default" w:ascii="仿宋_GB2312" w:eastAsia="仿宋_GB2312" w:cs="仿宋_GB2312"/>
      <w:b/>
      <w:bCs/>
      <w:color w:val="000000"/>
      <w:sz w:val="18"/>
      <w:szCs w:val="18"/>
      <w:u w:val="none"/>
    </w:rPr>
  </w:style>
  <w:style w:type="paragraph" w:customStyle="1" w:styleId="81">
    <w:name w:val="表格123"/>
    <w:qFormat/>
    <w:uiPriority w:val="0"/>
    <w:pPr>
      <w:widowControl w:val="0"/>
      <w:adjustRightInd w:val="0"/>
      <w:snapToGrid w:val="0"/>
      <w:spacing w:line="240" w:lineRule="auto"/>
      <w:ind w:left="-30" w:leftChars="-30" w:right="-30" w:rightChars="-30" w:firstLine="0" w:firstLineChars="0"/>
      <w:jc w:val="center"/>
    </w:pPr>
    <w:rPr>
      <w:rFonts w:ascii="Times New Roman" w:hAnsi="Times New Roman" w:eastAsia="仿宋_GB2312" w:cs="Times New Roman"/>
      <w:w w:val="95"/>
      <w:kern w:val="0"/>
      <w:sz w:val="20"/>
      <w:szCs w:val="24"/>
      <w:lang w:val="zh-CN" w:eastAsia="zh-CN" w:bidi="ar-SA"/>
    </w:rPr>
  </w:style>
  <w:style w:type="paragraph" w:customStyle="1" w:styleId="82">
    <w:name w:val="表格内居中文字"/>
    <w:qFormat/>
    <w:uiPriority w:val="0"/>
    <w:pPr>
      <w:widowControl w:val="0"/>
      <w:jc w:val="center"/>
    </w:pPr>
    <w:rPr>
      <w:rFonts w:ascii="Times New Roman" w:hAnsi="Times New Roman" w:eastAsia="仿宋_GB2312" w:cs="Times New Roman"/>
      <w:kern w:val="24"/>
      <w:sz w:val="21"/>
      <w:szCs w:val="24"/>
      <w:lang w:val="en-US" w:eastAsia="zh-CN" w:bidi="ar-SA"/>
    </w:rPr>
  </w:style>
  <w:style w:type="character" w:customStyle="1" w:styleId="83">
    <w:name w:val="正文啊 Char"/>
    <w:link w:val="84"/>
    <w:qFormat/>
    <w:uiPriority w:val="0"/>
    <w:rPr>
      <w:rFonts w:ascii="仿宋_GB2312" w:eastAsia="仿宋_GB2312"/>
      <w:kern w:val="0"/>
      <w:sz w:val="28"/>
      <w:szCs w:val="22"/>
      <w:lang w:val="en-US" w:eastAsia="zh-CN" w:bidi="ar-SA"/>
    </w:rPr>
  </w:style>
  <w:style w:type="paragraph" w:customStyle="1" w:styleId="84">
    <w:name w:val="正文啊"/>
    <w:link w:val="83"/>
    <w:qFormat/>
    <w:uiPriority w:val="0"/>
    <w:pPr>
      <w:widowControl w:val="0"/>
      <w:spacing w:line="560" w:lineRule="exact"/>
      <w:ind w:firstLine="560" w:firstLineChars="200"/>
      <w:jc w:val="both"/>
    </w:pPr>
    <w:rPr>
      <w:rFonts w:ascii="仿宋_GB2312" w:hAnsi="Times New Roman" w:eastAsia="仿宋_GB2312" w:cs="Times New Roman"/>
      <w:kern w:val="0"/>
      <w:sz w:val="28"/>
      <w:szCs w:val="22"/>
      <w:lang w:val="en-US" w:eastAsia="zh-CN" w:bidi="ar-SA"/>
    </w:rPr>
  </w:style>
  <w:style w:type="paragraph" w:customStyle="1" w:styleId="85">
    <w:name w:val="无间隔1"/>
    <w:qFormat/>
    <w:uiPriority w:val="1"/>
    <w:pPr>
      <w:spacing w:line="0" w:lineRule="atLeast"/>
    </w:pPr>
    <w:rPr>
      <w:rFonts w:ascii="Calibri" w:hAnsi="Calibri" w:eastAsia="宋体" w:cs="Times New Roman"/>
      <w:sz w:val="21"/>
      <w:szCs w:val="22"/>
      <w:lang w:val="en-US" w:eastAsia="en-US" w:bidi="en-US"/>
    </w:rPr>
  </w:style>
  <w:style w:type="paragraph" w:customStyle="1" w:styleId="86">
    <w:name w:val="样式 表格文字 + 宋体"/>
    <w:qFormat/>
    <w:uiPriority w:val="0"/>
    <w:pPr>
      <w:widowControl/>
      <w:tabs>
        <w:tab w:val="left" w:pos="-24"/>
      </w:tabs>
      <w:spacing w:line="0" w:lineRule="atLeast"/>
      <w:ind w:firstLine="0" w:firstLineChars="0"/>
      <w:jc w:val="center"/>
      <w:textAlignment w:val="baseline"/>
    </w:pPr>
    <w:rPr>
      <w:rFonts w:ascii="宋体" w:hAnsi="宋体" w:eastAsia="宋体" w:cs="Times New Roman"/>
      <w:color w:val="0000FF"/>
      <w:sz w:val="21"/>
      <w:szCs w:val="20"/>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1032</Words>
  <Characters>5886</Characters>
  <Lines>49</Lines>
  <Paragraphs>13</Paragraphs>
  <TotalTime>5</TotalTime>
  <ScaleCrop>false</ScaleCrop>
  <LinksUpToDate>false</LinksUpToDate>
  <CharactersWithSpaces>6905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2021-07-23T19:38:00Z</dcterms:created>
  <dc:creator>张艺馨</dc:creator>
  <cp:lastModifiedBy>zyj</cp:lastModifiedBy>
  <cp:lastPrinted>2022-11-12T11:20:00Z</cp:lastPrinted>
  <dcterms:modified xsi:type="dcterms:W3CDTF">2024-06-27T09:11:19Z</dcterms:modified>
  <dc:title>水保审查意见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B69D179690974895BF91370F7CF3E62E</vt:lpwstr>
  </property>
</Properties>
</file>