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0" w:firstLineChars="0"/>
        <w:jc w:val="center"/>
        <w:textAlignment w:val="auto"/>
        <w:rPr>
          <w:rFonts w:hint="default" w:ascii="Times New Roman" w:hAnsi="Times New Roman"/>
          <w:color w:val="000000"/>
          <w:kern w:val="0"/>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kern w:val="0"/>
          <w:sz w:val="44"/>
          <w:szCs w:val="44"/>
        </w:rPr>
      </w:pPr>
      <w:r>
        <w:rPr>
          <w:rFonts w:ascii="Times New Roman" w:hAnsi="Times New Roman" w:eastAsia="方正小标宋_GBK"/>
          <w:color w:val="000000"/>
          <w:kern w:val="0"/>
          <w:sz w:val="44"/>
          <w:szCs w:val="44"/>
        </w:rPr>
        <w:t>重庆市水利局</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hint="eastAsia" w:ascii="Times New Roman" w:hAnsi="Times New Roman" w:eastAsia="方正小标宋_GBK" w:cs="方正小标宋_GBK"/>
          <w:b w:val="0"/>
          <w:color w:val="000000"/>
          <w:kern w:val="0"/>
          <w:sz w:val="44"/>
          <w:szCs w:val="44"/>
          <w:lang w:eastAsia="zh-CN"/>
        </w:rPr>
      </w:pPr>
      <w:r>
        <w:rPr>
          <w:rFonts w:ascii="Times New Roman" w:hAnsi="Times New Roman" w:eastAsia="方正小标宋_GBK"/>
          <w:color w:val="000000"/>
          <w:kern w:val="0"/>
          <w:sz w:val="44"/>
          <w:szCs w:val="44"/>
        </w:rPr>
        <w:t>关于</w:t>
      </w:r>
      <w:r>
        <w:rPr>
          <w:rFonts w:hint="eastAsia" w:eastAsia="方正小标宋_GBK" w:cs="方正小标宋_GBK"/>
          <w:b w:val="0"/>
          <w:color w:val="000000"/>
          <w:kern w:val="0"/>
          <w:sz w:val="44"/>
          <w:szCs w:val="44"/>
          <w:lang w:eastAsia="zh-CN"/>
        </w:rPr>
        <w:t>黔江五福岭风电二期项目</w:t>
      </w:r>
      <w:r>
        <w:rPr>
          <w:rFonts w:hint="eastAsia" w:ascii="Times New Roman" w:hAnsi="Times New Roman" w:eastAsia="方正小标宋_GBK" w:cs="方正小标宋_GBK"/>
          <w:b w:val="0"/>
          <w:color w:val="000000"/>
          <w:kern w:val="0"/>
          <w:sz w:val="44"/>
          <w:szCs w:val="44"/>
          <w:lang w:eastAsia="zh-CN"/>
        </w:rPr>
        <w:t>水土保持</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kern w:val="0"/>
          <w:sz w:val="44"/>
          <w:szCs w:val="44"/>
        </w:rPr>
      </w:pPr>
      <w:r>
        <w:rPr>
          <w:rFonts w:hint="eastAsia" w:ascii="Times New Roman" w:hAnsi="Times New Roman" w:eastAsia="方正小标宋_GBK" w:cs="方正小标宋_GBK"/>
          <w:b w:val="0"/>
          <w:color w:val="000000"/>
          <w:kern w:val="0"/>
          <w:sz w:val="44"/>
          <w:szCs w:val="44"/>
          <w:lang w:eastAsia="zh-CN"/>
        </w:rPr>
        <w:t>方案</w:t>
      </w:r>
      <w:r>
        <w:rPr>
          <w:rFonts w:ascii="Times New Roman" w:hAnsi="Times New Roman" w:eastAsia="方正小标宋_GBK"/>
          <w:color w:val="000000"/>
          <w:kern w:val="0"/>
          <w:sz w:val="44"/>
          <w:szCs w:val="44"/>
        </w:rPr>
        <w:t>准予行政许可的决定</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center"/>
        <w:textAlignment w:val="auto"/>
        <w:rPr>
          <w:rFonts w:ascii="Times New Roman" w:hAnsi="Times New Roman" w:eastAsia="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both"/>
        <w:textAlignment w:val="auto"/>
        <w:rPr>
          <w:rFonts w:ascii="Times New Roman" w:hAnsi="Times New Roman" w:eastAsia="方正仿宋_GBK"/>
          <w:color w:val="000000"/>
          <w:kern w:val="0"/>
          <w:sz w:val="32"/>
          <w:szCs w:val="32"/>
        </w:rPr>
      </w:pPr>
      <w:r>
        <w:rPr>
          <w:rFonts w:hint="eastAsia" w:eastAsia="方正仿宋_GBK" w:cs="Times New Roman"/>
          <w:b w:val="0"/>
          <w:color w:val="000000"/>
          <w:kern w:val="0"/>
          <w:sz w:val="32"/>
          <w:szCs w:val="32"/>
          <w:lang w:eastAsia="zh-CN"/>
        </w:rPr>
        <w:t>长江三峡集团重庆能源投资有限公司</w:t>
      </w:r>
      <w:r>
        <w:rPr>
          <w:rFonts w:ascii="Times New Roman" w:hAnsi="Times New Roman" w:eastAsia="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你单位提交的</w:t>
      </w:r>
      <w:r>
        <w:rPr>
          <w:rFonts w:hint="eastAsia" w:ascii="Times New Roman" w:hAnsi="Times New Roman" w:eastAsia="方正仿宋_GBK" w:cs="Times New Roman"/>
          <w:color w:val="auto"/>
          <w:kern w:val="0"/>
          <w:sz w:val="32"/>
          <w:szCs w:val="32"/>
          <w:lang w:eastAsia="zh-CN"/>
        </w:rPr>
        <w:t>黔江五福岭风电二期项目水土保持方案</w:t>
      </w:r>
      <w:r>
        <w:rPr>
          <w:rFonts w:hint="default" w:ascii="Times New Roman" w:hAnsi="Times New Roman" w:eastAsia="方正仿宋_GBK" w:cs="Times New Roman"/>
          <w:color w:val="auto"/>
          <w:kern w:val="0"/>
          <w:sz w:val="32"/>
          <w:szCs w:val="32"/>
          <w:lang w:eastAsia="zh-CN"/>
        </w:rPr>
        <w:t>审批申请（项目代码：</w:t>
      </w:r>
      <w:r>
        <w:rPr>
          <w:rFonts w:hint="eastAsia" w:ascii="Times New Roman" w:hAnsi="Times New Roman" w:eastAsia="方正仿宋_GBK" w:cs="Times New Roman"/>
          <w:color w:val="auto"/>
          <w:kern w:val="0"/>
          <w:sz w:val="32"/>
          <w:szCs w:val="32"/>
          <w:lang w:val="en-US" w:eastAsia="zh-CN"/>
        </w:rPr>
        <w:t>2301</w:t>
      </w:r>
      <w:r>
        <w:rPr>
          <w:rFonts w:hint="eastAsia"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500114</w:t>
      </w:r>
      <w:r>
        <w:rPr>
          <w:rFonts w:hint="eastAsia"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04</w:t>
      </w:r>
      <w:r>
        <w:rPr>
          <w:rFonts w:hint="eastAsia"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01</w:t>
      </w:r>
      <w:r>
        <w:rPr>
          <w:rFonts w:hint="eastAsia"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382648</w:t>
      </w:r>
      <w:r>
        <w:rPr>
          <w:rFonts w:hint="default" w:ascii="Times New Roman" w:hAnsi="Times New Roman" w:eastAsia="方正仿宋_GBK" w:cs="Times New Roman"/>
          <w:color w:val="auto"/>
          <w:kern w:val="0"/>
          <w:sz w:val="32"/>
          <w:szCs w:val="32"/>
          <w:lang w:eastAsia="zh-CN"/>
        </w:rPr>
        <w:t>）和《</w:t>
      </w:r>
      <w:r>
        <w:rPr>
          <w:rFonts w:hint="eastAsia" w:ascii="Times New Roman" w:hAnsi="Times New Roman" w:eastAsia="方正仿宋_GBK" w:cs="Times New Roman"/>
          <w:color w:val="auto"/>
          <w:kern w:val="0"/>
          <w:sz w:val="32"/>
          <w:szCs w:val="32"/>
          <w:lang w:eastAsia="zh-CN"/>
        </w:rPr>
        <w:t>黔江五福岭风电二期项目水土保持方案</w:t>
      </w:r>
      <w:r>
        <w:rPr>
          <w:rFonts w:hint="default" w:ascii="Times New Roman" w:hAnsi="Times New Roman" w:eastAsia="方正仿宋_GBK" w:cs="Times New Roman"/>
          <w:color w:val="auto"/>
          <w:kern w:val="0"/>
          <w:sz w:val="32"/>
          <w:szCs w:val="32"/>
          <w:lang w:eastAsia="zh-CN"/>
        </w:rPr>
        <w:t>报告书》收悉。经审查，该申请符合法定条件，根据《中华人民共和国行政许可法》第三十八条第一款、《水行政许可实施办法》第三十二条第一项规定，决定准予行政许可。</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一</w:t>
      </w:r>
      <w:r>
        <w:rPr>
          <w:rFonts w:ascii="Times New Roman" w:hAnsi="Times New Roman" w:eastAsia="方正黑体_GBK"/>
          <w:color w:val="auto"/>
          <w:kern w:val="0"/>
          <w:sz w:val="32"/>
          <w:szCs w:val="32"/>
        </w:rPr>
        <w:t>、水土保持方案总体意见</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eastAsia="zh-CN"/>
        </w:rPr>
        <w:t>（一）</w:t>
      </w:r>
      <w:r>
        <w:rPr>
          <w:rFonts w:hint="eastAsia" w:ascii="Times New Roman" w:hAnsi="Times New Roman" w:eastAsia="方正仿宋_GBK" w:cs="Times New Roman"/>
          <w:color w:val="auto"/>
          <w:kern w:val="0"/>
          <w:sz w:val="32"/>
          <w:szCs w:val="32"/>
        </w:rPr>
        <w:t>方案编制依据的法律法规、部委规章、规范性文件、规范标准和技术文件及采用的资料基本正确。</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bCs/>
          <w:color w:val="auto"/>
          <w:kern w:val="0"/>
          <w:sz w:val="32"/>
          <w:szCs w:val="32"/>
        </w:rPr>
      </w:pPr>
      <w:r>
        <w:rPr>
          <w:rFonts w:hint="default" w:ascii="Times New Roman" w:hAnsi="Times New Roman" w:eastAsia="方正仿宋_GBK" w:cs="Times New Roman"/>
          <w:bCs/>
          <w:color w:val="auto"/>
          <w:kern w:val="0"/>
          <w:sz w:val="32"/>
          <w:szCs w:val="32"/>
        </w:rPr>
        <w:t>（二）同意方案设计水平年为</w:t>
      </w:r>
      <w:r>
        <w:rPr>
          <w:rFonts w:hint="eastAsia" w:ascii="Times New Roman" w:hAnsi="Times New Roman" w:eastAsia="方正仿宋_GBK" w:cs="Times New Roman"/>
          <w:bCs/>
          <w:color w:val="auto"/>
          <w:kern w:val="0"/>
          <w:sz w:val="32"/>
          <w:szCs w:val="32"/>
          <w:lang w:val="en-US" w:eastAsia="zh-CN"/>
        </w:rPr>
        <w:t>202</w:t>
      </w:r>
      <w:r>
        <w:rPr>
          <w:rFonts w:hint="eastAsia" w:eastAsia="方正仿宋_GBK" w:cs="Times New Roman"/>
          <w:bCs/>
          <w:color w:val="auto"/>
          <w:kern w:val="0"/>
          <w:sz w:val="32"/>
          <w:szCs w:val="32"/>
          <w:lang w:val="en-US" w:eastAsia="zh-CN"/>
        </w:rPr>
        <w:t>5</w:t>
      </w:r>
      <w:r>
        <w:rPr>
          <w:rFonts w:hint="default" w:ascii="Times New Roman" w:hAnsi="Times New Roman" w:eastAsia="方正仿宋_GBK" w:cs="Times New Roman"/>
          <w:bCs/>
          <w:color w:val="auto"/>
          <w:kern w:val="0"/>
          <w:sz w:val="32"/>
          <w:szCs w:val="32"/>
        </w:rPr>
        <w:t>年</w:t>
      </w:r>
      <w:r>
        <w:rPr>
          <w:rFonts w:ascii="Times New Roman" w:hAnsi="Times New Roman" w:eastAsia="方正仿宋_GBK"/>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ascii="Times New Roman" w:hAnsi="Times New Roman" w:eastAsia="方正仿宋_GBK"/>
          <w:bCs/>
          <w:color w:val="auto"/>
          <w:kern w:val="0"/>
          <w:sz w:val="32"/>
          <w:szCs w:val="32"/>
        </w:rPr>
        <w:t>（</w:t>
      </w:r>
      <w:r>
        <w:rPr>
          <w:rFonts w:hint="eastAsia" w:ascii="Times New Roman" w:hAnsi="Times New Roman" w:eastAsia="方正仿宋_GBK"/>
          <w:bCs/>
          <w:color w:val="auto"/>
          <w:kern w:val="0"/>
          <w:sz w:val="32"/>
          <w:szCs w:val="32"/>
        </w:rPr>
        <w:t>三</w:t>
      </w:r>
      <w:r>
        <w:rPr>
          <w:rFonts w:ascii="Times New Roman" w:hAnsi="Times New Roman" w:eastAsia="方正仿宋_GBK"/>
          <w:bCs/>
          <w:color w:val="auto"/>
          <w:kern w:val="0"/>
          <w:sz w:val="32"/>
          <w:szCs w:val="32"/>
        </w:rPr>
        <w:t>）</w:t>
      </w:r>
      <w:r>
        <w:rPr>
          <w:rFonts w:hint="default" w:ascii="Times New Roman" w:hAnsi="Times New Roman" w:eastAsia="方正仿宋_GBK" w:cs="Times New Roman"/>
          <w:bCs/>
          <w:color w:val="auto"/>
          <w:kern w:val="0"/>
          <w:sz w:val="32"/>
          <w:szCs w:val="32"/>
        </w:rPr>
        <w:t>同意水土流失防治责任范围的界定，</w:t>
      </w:r>
      <w:r>
        <w:rPr>
          <w:rFonts w:hint="default" w:ascii="Times New Roman" w:hAnsi="Times New Roman" w:eastAsia="方正仿宋_GBK" w:cs="Times New Roman"/>
          <w:color w:val="auto"/>
          <w:kern w:val="0"/>
          <w:sz w:val="32"/>
          <w:szCs w:val="32"/>
        </w:rPr>
        <w:t>水土流失防治责任范围面积为</w:t>
      </w:r>
      <w:r>
        <w:rPr>
          <w:rFonts w:hint="eastAsia" w:eastAsia="方正仿宋_GBK" w:cs="Times New Roman"/>
          <w:color w:val="auto"/>
          <w:kern w:val="0"/>
          <w:sz w:val="32"/>
          <w:szCs w:val="32"/>
          <w:lang w:val="en-US" w:eastAsia="zh-CN"/>
        </w:rPr>
        <w:t>48.03</w:t>
      </w:r>
      <w:r>
        <w:rPr>
          <w:rFonts w:hint="default" w:ascii="Times New Roman" w:hAnsi="Times New Roman" w:eastAsia="方正仿宋_GBK" w:cs="Times New Roman"/>
          <w:color w:val="auto"/>
          <w:kern w:val="0"/>
          <w:sz w:val="32"/>
          <w:szCs w:val="32"/>
        </w:rPr>
        <w:t>hm</w:t>
      </w:r>
      <w:r>
        <w:rPr>
          <w:rFonts w:hint="default" w:ascii="Times New Roman" w:hAnsi="Times New Roman" w:eastAsia="方正仿宋_GBK" w:cs="Times New Roman"/>
          <w:color w:val="auto"/>
          <w:kern w:val="0"/>
          <w:sz w:val="32"/>
          <w:szCs w:val="32"/>
          <w:vertAlign w:val="superscript"/>
        </w:rPr>
        <w:t>2</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（四）</w:t>
      </w:r>
      <w:r>
        <w:rPr>
          <w:rFonts w:hint="eastAsia" w:ascii="Times New Roman" w:hAnsi="Times New Roman" w:eastAsia="方正仿宋_GBK" w:cs="Times New Roman"/>
          <w:b w:val="0"/>
          <w:color w:val="auto"/>
          <w:kern w:val="0"/>
          <w:sz w:val="32"/>
          <w:szCs w:val="32"/>
        </w:rPr>
        <w:t>同意项目水土流失防治标准等级执行西南紫色土区建设类项目一级标准</w:t>
      </w:r>
      <w:r>
        <w:rPr>
          <w:rFonts w:ascii="Times New Roman" w:hAnsi="Times New Roman" w:eastAsia="方正仿宋_GBK" w:cs="Times New Roman"/>
          <w:b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（五）</w:t>
      </w:r>
      <w:r>
        <w:rPr>
          <w:rFonts w:hint="default" w:ascii="Times New Roman" w:hAnsi="Times New Roman" w:eastAsia="方正仿宋_GBK" w:cs="Times New Roman"/>
          <w:color w:val="auto"/>
          <w:kern w:val="0"/>
          <w:sz w:val="32"/>
          <w:szCs w:val="32"/>
        </w:rPr>
        <w:t>同意水土流失防治目标。其中：水土流失治理度97</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，土壤流失控制比1.0，渣土防护率9</w:t>
      </w:r>
      <w:r>
        <w:rPr>
          <w:rFonts w:hint="eastAsia" w:eastAsia="方正仿宋_GBK" w:cs="Times New Roman"/>
          <w:color w:val="auto"/>
          <w:kern w:val="0"/>
          <w:sz w:val="32"/>
          <w:szCs w:val="32"/>
          <w:lang w:val="en-US" w:eastAsia="zh-CN"/>
        </w:rPr>
        <w:t>0</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，表土保护率92</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，林草植被恢复率97</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，林草覆盖率2</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bCs/>
          <w:color w:val="auto"/>
          <w:kern w:val="0"/>
          <w:sz w:val="32"/>
          <w:szCs w:val="32"/>
        </w:rPr>
      </w:pPr>
      <w:r>
        <w:rPr>
          <w:rFonts w:hint="eastAsia" w:ascii="Times New Roman" w:hAnsi="Times New Roman" w:eastAsia="方正仿宋_GBK"/>
          <w:bCs/>
          <w:color w:val="auto"/>
          <w:kern w:val="0"/>
          <w:sz w:val="32"/>
          <w:szCs w:val="32"/>
        </w:rPr>
        <w:t>（六）基本同意水土流失</w:t>
      </w:r>
      <w:r>
        <w:rPr>
          <w:rFonts w:ascii="Times New Roman" w:hAnsi="Times New Roman" w:eastAsia="方正仿宋_GBK"/>
          <w:bCs/>
          <w:color w:val="auto"/>
          <w:kern w:val="0"/>
          <w:sz w:val="32"/>
          <w:szCs w:val="32"/>
        </w:rPr>
        <w:t>防治分区和分区防治措施体系。</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color w:val="auto"/>
          <w:kern w:val="0"/>
          <w:sz w:val="32"/>
          <w:szCs w:val="32"/>
        </w:rPr>
      </w:pPr>
      <w:r>
        <w:rPr>
          <w:rFonts w:hint="eastAsia" w:ascii="Times New Roman" w:hAnsi="Times New Roman" w:eastAsia="方正仿宋_GBK"/>
          <w:bCs/>
          <w:color w:val="auto"/>
          <w:kern w:val="0"/>
          <w:sz w:val="32"/>
          <w:szCs w:val="32"/>
        </w:rPr>
        <w:t>（七）基本</w:t>
      </w:r>
      <w:r>
        <w:rPr>
          <w:rFonts w:ascii="Times New Roman" w:hAnsi="Times New Roman" w:eastAsia="方正仿宋_GBK"/>
          <w:bCs/>
          <w:color w:val="auto"/>
          <w:kern w:val="0"/>
          <w:sz w:val="32"/>
          <w:szCs w:val="32"/>
        </w:rPr>
        <w:t>同意水土保持监测时段、内容和方法。</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二</w:t>
      </w:r>
      <w:r>
        <w:rPr>
          <w:rFonts w:ascii="Times New Roman" w:hAnsi="Times New Roman" w:eastAsia="方正黑体_GBK"/>
          <w:color w:val="auto"/>
          <w:kern w:val="0"/>
          <w:sz w:val="32"/>
          <w:szCs w:val="32"/>
        </w:rPr>
        <w:t>、水土保持方案投资</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bCs/>
          <w:color w:val="FF0000"/>
          <w:kern w:val="0"/>
          <w:sz w:val="32"/>
          <w:szCs w:val="32"/>
          <w:lang w:eastAsia="zh-CN" w:bidi="ar"/>
        </w:rPr>
      </w:pPr>
      <w:r>
        <w:rPr>
          <w:rFonts w:hint="eastAsia" w:ascii="Times New Roman" w:hAnsi="Times New Roman" w:eastAsia="方正仿宋_GBK"/>
          <w:bCs/>
          <w:color w:val="auto"/>
          <w:kern w:val="0"/>
          <w:sz w:val="32"/>
          <w:szCs w:val="32"/>
          <w:lang w:bidi="ar"/>
        </w:rPr>
        <w:t>水土保持方案工程静态总投资1537.43万元，其中：主体已列418.29万元，方案新增1119.14万元（其中：工程措施费147.43万元，植物措施费69.58万元，监测措施费36.25万元，施工临时措施费614.77万元，独立费用124.33万元，基本预备费59.54万元，水土保持补偿费67.24万元</w:t>
      </w:r>
      <w:r>
        <w:rPr>
          <w:rFonts w:hint="eastAsia" w:eastAsia="方正仿宋_GBK"/>
          <w:bCs/>
          <w:color w:val="auto"/>
          <w:kern w:val="0"/>
          <w:sz w:val="32"/>
          <w:szCs w:val="32"/>
          <w:lang w:eastAsia="zh-CN" w:bidi="ar"/>
        </w:rPr>
        <w:t>）</w:t>
      </w:r>
      <w:r>
        <w:rPr>
          <w:rFonts w:hint="eastAsia" w:ascii="Times New Roman" w:hAnsi="Times New Roman" w:eastAsia="方正仿宋_GBK"/>
          <w:bCs/>
          <w:color w:val="auto"/>
          <w:kern w:val="0"/>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黑体_GBK"/>
          <w:color w:val="auto"/>
          <w:kern w:val="0"/>
          <w:sz w:val="32"/>
          <w:szCs w:val="32"/>
        </w:rPr>
      </w:pPr>
      <w:r>
        <w:rPr>
          <w:rFonts w:hint="eastAsia" w:ascii="Times New Roman" w:hAnsi="Times New Roman" w:eastAsia="方正黑体_GBK"/>
          <w:color w:val="auto"/>
          <w:kern w:val="0"/>
          <w:sz w:val="32"/>
          <w:szCs w:val="32"/>
        </w:rPr>
        <w:t>三</w:t>
      </w:r>
      <w:r>
        <w:rPr>
          <w:rFonts w:ascii="Times New Roman" w:hAnsi="Times New Roman" w:eastAsia="方正黑体_GBK"/>
          <w:color w:val="auto"/>
          <w:kern w:val="0"/>
          <w:sz w:val="32"/>
          <w:szCs w:val="32"/>
        </w:rPr>
        <w:t>、工作要求</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（一）根据水土保持法律法规和规范标准，认真做好项目建设过程中水土流失防治工作，切实落实水土保持</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三同时</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制度。</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（三）严格控制施工扰动范围，禁止随意占压破坏地貌植被。加强对施工单位的管理，在招投标文件和施工合同中明确施工单位的水土保持责任，强化奖惩制度，规范施工行为。</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（五）按照水土保持监理标准和规范开展水土保持工程施工监理，确保水土保持工程建设质量和进度。</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（六）项目开工前向主管税务机关申报缴纳水土保持补偿费。</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hint="eastAsia" w:ascii="Times New Roman" w:hAnsi="Times New Roman" w:eastAsia="方正仿宋_GBK" w:cs="Times New Roman"/>
          <w:snapToGrid w:val="0"/>
          <w:color w:val="auto"/>
          <w:kern w:val="0"/>
          <w:sz w:val="32"/>
          <w:szCs w:val="32"/>
          <w:lang w:eastAsia="zh-CN"/>
        </w:rPr>
      </w:pPr>
      <w:r>
        <w:rPr>
          <w:rFonts w:hint="default" w:ascii="Times New Roman" w:hAnsi="Times New Roman" w:eastAsia="方正仿宋_GBK" w:cs="Times New Roman"/>
          <w:snapToGrid w:val="0"/>
          <w:color w:val="auto"/>
          <w:kern w:val="0"/>
          <w:sz w:val="32"/>
          <w:szCs w:val="32"/>
        </w:rPr>
        <w:t>（七）本项目的地点、规模如发生重大变化，或者水土保持方案实施过程中水土保持措施发生重大变更的，应按</w:t>
      </w:r>
      <w:r>
        <w:rPr>
          <w:rFonts w:hint="eastAsia" w:ascii="Times New Roman" w:hAnsi="Times New Roman" w:eastAsia="方正仿宋_GBK"/>
          <w:snapToGrid w:val="0"/>
          <w:color w:val="auto"/>
          <w:kern w:val="0"/>
          <w:sz w:val="32"/>
          <w:szCs w:val="32"/>
        </w:rPr>
        <w:t>照“</w:t>
      </w:r>
      <w:r>
        <w:rPr>
          <w:rFonts w:hint="eastAsia" w:ascii="Times New Roman" w:hAnsi="Times New Roman" w:eastAsia="方正仿宋_GBK" w:cs="Times New Roman"/>
          <w:snapToGrid w:val="0"/>
          <w:color w:val="auto"/>
          <w:kern w:val="0"/>
          <w:sz w:val="32"/>
          <w:szCs w:val="32"/>
          <w:lang w:eastAsia="zh-CN"/>
        </w:rPr>
        <w:t>水利部第</w:t>
      </w:r>
      <w:r>
        <w:rPr>
          <w:rFonts w:hint="eastAsia" w:ascii="Times New Roman" w:hAnsi="Times New Roman" w:eastAsia="方正仿宋_GBK" w:cs="Times New Roman"/>
          <w:snapToGrid w:val="0"/>
          <w:color w:val="auto"/>
          <w:kern w:val="0"/>
          <w:sz w:val="32"/>
          <w:szCs w:val="32"/>
          <w:lang w:val="en-US" w:eastAsia="zh-CN"/>
        </w:rPr>
        <w:t>53号令</w:t>
      </w:r>
      <w:r>
        <w:rPr>
          <w:rFonts w:hint="eastAsia" w:ascii="Times New Roman" w:hAnsi="Times New Roman" w:eastAsia="方正仿宋_GBK" w:cs="Times New Roman"/>
          <w:snapToGrid w:val="0"/>
          <w:color w:val="auto"/>
          <w:kern w:val="0"/>
          <w:sz w:val="32"/>
          <w:szCs w:val="32"/>
          <w:lang w:eastAsia="zh-CN"/>
        </w:rPr>
        <w:t>”规定办理。确需</w:t>
      </w:r>
      <w:r>
        <w:rPr>
          <w:rFonts w:hint="default" w:ascii="Times New Roman" w:hAnsi="Times New Roman" w:eastAsia="方正仿宋_GBK" w:cs="Times New Roman"/>
          <w:i w:val="0"/>
          <w:caps w:val="0"/>
          <w:snapToGrid w:val="0"/>
          <w:color w:val="auto"/>
          <w:spacing w:val="0"/>
          <w:kern w:val="0"/>
          <w:sz w:val="32"/>
          <w:szCs w:val="32"/>
          <w:shd w:val="clear" w:color="auto" w:fill="auto"/>
        </w:rPr>
        <w:t>在水土保持方案确定的弃渣场以外新设弃渣场的，或者因弃渣量增加导致弃渣场等级提高的，生产建设单位应</w:t>
      </w:r>
      <w:r>
        <w:rPr>
          <w:rFonts w:hint="default" w:ascii="Times New Roman" w:hAnsi="Times New Roman" w:eastAsia="方正仿宋_GBK"/>
          <w:snapToGrid w:val="0"/>
          <w:color w:val="auto"/>
          <w:kern w:val="0"/>
          <w:sz w:val="32"/>
          <w:szCs w:val="32"/>
        </w:rPr>
        <w:t>当开展弃渣减量化、资源化论证，在弃渣前编制水土保持方案补充报告，</w:t>
      </w:r>
      <w:r>
        <w:rPr>
          <w:rFonts w:hint="default" w:ascii="Times New Roman" w:hAnsi="Times New Roman" w:eastAsia="方正仿宋_GBK"/>
          <w:snapToGrid w:val="0"/>
          <w:color w:val="auto"/>
          <w:kern w:val="0"/>
          <w:sz w:val="32"/>
          <w:szCs w:val="32"/>
          <w:lang w:eastAsia="zh-CN"/>
        </w:rPr>
        <w:t>并完成弃渣场变更审批手续</w:t>
      </w:r>
      <w:r>
        <w:rPr>
          <w:rFonts w:hint="eastAsia" w:ascii="Times New Roman" w:hAnsi="Times New Roman" w:eastAsia="方正仿宋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default" w:ascii="Times New Roman" w:hAnsi="Times New Roman" w:eastAsia="方正仿宋_GBK" w:cs="Times New Roman"/>
          <w:snapToGrid w:val="0"/>
          <w:color w:val="auto"/>
          <w:kern w:val="0"/>
          <w:sz w:val="32"/>
          <w:szCs w:val="32"/>
        </w:rPr>
      </w:pPr>
      <w:r>
        <w:rPr>
          <w:rFonts w:hint="default" w:ascii="Times New Roman" w:hAnsi="Times New Roman" w:eastAsia="方正仿宋_GBK" w:cs="Times New Roman"/>
          <w:snapToGrid w:val="0"/>
          <w:color w:val="auto"/>
          <w:kern w:val="0"/>
          <w:sz w:val="32"/>
          <w:szCs w:val="32"/>
        </w:rPr>
        <w:t>（八）严格按照批准的水土保持方案和后续设计落实各项水土保持措施，合理安排施工时序和水土保持措施实施进度，严格控制施工期间水土流失。</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snapToGrid w:val="0"/>
          <w:color w:val="auto"/>
          <w:kern w:val="0"/>
          <w:sz w:val="32"/>
          <w:szCs w:val="32"/>
        </w:rPr>
      </w:pPr>
      <w:r>
        <w:rPr>
          <w:rFonts w:hint="default" w:ascii="Times New Roman" w:hAnsi="Times New Roman" w:eastAsia="方正仿宋_GBK" w:cs="Times New Roman"/>
          <w:snapToGrid w:val="0"/>
          <w:color w:val="auto"/>
          <w:kern w:val="0"/>
          <w:sz w:val="32"/>
          <w:szCs w:val="32"/>
        </w:rPr>
        <w:t>（九）</w:t>
      </w:r>
      <w:r>
        <w:rPr>
          <w:rFonts w:hint="default" w:ascii="Times New Roman" w:hAnsi="Times New Roman" w:eastAsia="方正仿宋_GBK" w:cs="Times New Roman"/>
          <w:color w:val="auto"/>
          <w:kern w:val="0"/>
          <w:sz w:val="32"/>
          <w:szCs w:val="32"/>
        </w:rPr>
        <w:t>工程完工后、项目投产使用前应及时组织开展水土保持设施自主验收，并在水土保持设施自主验收通过3个月内，向我局报备验收材料（包括</w:t>
      </w:r>
      <w:r>
        <w:rPr>
          <w:rFonts w:hint="default" w:ascii="Times New Roman" w:hAnsi="Times New Roman" w:eastAsia="方正仿宋_GBK" w:cs="Times New Roman"/>
          <w:snapToGrid w:val="0"/>
          <w:color w:val="auto"/>
          <w:kern w:val="0"/>
          <w:sz w:val="32"/>
          <w:szCs w:val="32"/>
        </w:rPr>
        <w:t>水土保持设施验收鉴定书、水土保持设</w:t>
      </w:r>
      <w:r>
        <w:rPr>
          <w:rFonts w:ascii="Times New Roman" w:hAnsi="Times New Roman" w:eastAsia="方正仿宋_GBK"/>
          <w:snapToGrid w:val="0"/>
          <w:color w:val="auto"/>
          <w:kern w:val="0"/>
          <w:sz w:val="32"/>
          <w:szCs w:val="32"/>
        </w:rPr>
        <w:t>施验收报告和水土保持监测总结报告等）。</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firstLine="640" w:firstLineChars="200"/>
        <w:jc w:val="both"/>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（十）本行政许可决定有效期为</w:t>
      </w:r>
      <w:r>
        <w:rPr>
          <w:rFonts w:hint="eastAsia" w:ascii="Times New Roman" w:hAnsi="Times New Roman" w:eastAsia="方正仿宋_GBK"/>
          <w:snapToGrid w:val="0"/>
          <w:color w:val="auto"/>
          <w:kern w:val="0"/>
          <w:sz w:val="32"/>
          <w:szCs w:val="32"/>
          <w:lang w:val="en-US" w:eastAsia="zh-CN"/>
        </w:rPr>
        <w:t>3</w:t>
      </w:r>
      <w:r>
        <w:rPr>
          <w:rFonts w:ascii="Times New Roman" w:hAnsi="Times New Roman" w:eastAsia="方正仿宋_GBK"/>
          <w:snapToGrid w:val="0"/>
          <w:color w:val="auto"/>
          <w:kern w:val="0"/>
          <w:sz w:val="32"/>
          <w:szCs w:val="32"/>
        </w:rPr>
        <w:t>年，</w:t>
      </w:r>
      <w:r>
        <w:rPr>
          <w:rFonts w:hint="eastAsia" w:ascii="Times New Roman" w:hAnsi="Times New Roman" w:eastAsia="方正仿宋_GBK"/>
          <w:snapToGrid w:val="0"/>
          <w:color w:val="auto"/>
          <w:kern w:val="0"/>
          <w:sz w:val="32"/>
          <w:szCs w:val="32"/>
          <w:lang w:eastAsia="zh-CN"/>
        </w:rPr>
        <w:t>水土保持方案</w:t>
      </w:r>
      <w:r>
        <w:rPr>
          <w:rFonts w:ascii="Times New Roman" w:hAnsi="Times New Roman" w:eastAsia="方正仿宋_GBK"/>
          <w:snapToGrid w:val="0"/>
          <w:color w:val="auto"/>
          <w:kern w:val="0"/>
          <w:sz w:val="32"/>
          <w:szCs w:val="32"/>
        </w:rPr>
        <w:t>自</w:t>
      </w:r>
      <w:r>
        <w:rPr>
          <w:rFonts w:hint="eastAsia" w:ascii="Times New Roman" w:hAnsi="Times New Roman" w:eastAsia="方正仿宋_GBK"/>
          <w:snapToGrid w:val="0"/>
          <w:color w:val="auto"/>
          <w:kern w:val="0"/>
          <w:sz w:val="32"/>
          <w:szCs w:val="32"/>
          <w:lang w:val="en-US" w:eastAsia="zh-CN"/>
        </w:rPr>
        <w:t>批准之</w:t>
      </w:r>
      <w:r>
        <w:rPr>
          <w:rFonts w:ascii="Times New Roman" w:hAnsi="Times New Roman" w:eastAsia="方正仿宋_GBK"/>
          <w:snapToGrid w:val="0"/>
          <w:color w:val="auto"/>
          <w:kern w:val="0"/>
          <w:sz w:val="32"/>
          <w:szCs w:val="32"/>
        </w:rPr>
        <w:t>日起</w:t>
      </w:r>
      <w:r>
        <w:rPr>
          <w:rFonts w:hint="eastAsia" w:ascii="Times New Roman" w:hAnsi="Times New Roman" w:eastAsia="方正仿宋_GBK"/>
          <w:snapToGrid w:val="0"/>
          <w:color w:val="auto"/>
          <w:kern w:val="0"/>
          <w:sz w:val="32"/>
          <w:szCs w:val="32"/>
          <w:lang w:eastAsia="zh-CN"/>
        </w:rPr>
        <w:t>满</w:t>
      </w:r>
      <w:r>
        <w:rPr>
          <w:rFonts w:hint="eastAsia" w:ascii="Times New Roman" w:hAnsi="Times New Roman" w:eastAsia="方正仿宋_GBK"/>
          <w:snapToGrid w:val="0"/>
          <w:color w:val="auto"/>
          <w:kern w:val="0"/>
          <w:sz w:val="32"/>
          <w:szCs w:val="32"/>
          <w:lang w:val="en-US" w:eastAsia="zh-CN"/>
        </w:rPr>
        <w:t>3年，生产建设项目方开工建设的，其水土保持方案报我局重新审核</w:t>
      </w:r>
      <w:r>
        <w:rPr>
          <w:rFonts w:ascii="Times New Roman" w:hAnsi="Times New Roman" w:eastAsia="方正仿宋_GBK"/>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right="0" w:firstLine="640" w:firstLineChars="2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附件：1．</w:t>
      </w:r>
      <w:r>
        <w:rPr>
          <w:rFonts w:hint="eastAsia" w:eastAsia="方正仿宋_GBK" w:cs="方正仿宋_GBK"/>
          <w:bCs/>
          <w:color w:val="auto"/>
          <w:kern w:val="0"/>
          <w:sz w:val="32"/>
          <w:szCs w:val="32"/>
          <w:lang w:eastAsia="zh-CN"/>
        </w:rPr>
        <w:t>黔江五福岭风电二期项目</w:t>
      </w:r>
      <w:r>
        <w:rPr>
          <w:rFonts w:hint="eastAsia" w:ascii="Times New Roman" w:hAnsi="Times New Roman" w:eastAsia="方正仿宋_GBK" w:cs="方正仿宋_GBK"/>
          <w:bCs/>
          <w:color w:val="auto"/>
          <w:spacing w:val="0"/>
          <w:kern w:val="0"/>
          <w:sz w:val="32"/>
          <w:szCs w:val="32"/>
        </w:rPr>
        <w:t>水土保持方案</w:t>
      </w:r>
      <w:r>
        <w:rPr>
          <w:rFonts w:hint="eastAsia" w:ascii="Times New Roman" w:hAnsi="Times New Roman" w:eastAsia="方正仿宋_GBK" w:cs="方正仿宋_GBK"/>
          <w:bCs/>
          <w:snapToGrid w:val="0"/>
          <w:color w:val="auto"/>
          <w:spacing w:val="0"/>
          <w:kern w:val="0"/>
          <w:sz w:val="32"/>
          <w:szCs w:val="32"/>
        </w:rPr>
        <w:t>特性表</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right="0" w:firstLine="1600" w:firstLineChars="5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w:t>
      </w:r>
      <w:r>
        <w:rPr>
          <w:rFonts w:hint="eastAsia" w:eastAsia="方正仿宋_GBK" w:cs="方正仿宋_GBK"/>
          <w:snapToGrid w:val="0"/>
          <w:color w:val="auto"/>
          <w:kern w:val="0"/>
          <w:sz w:val="32"/>
          <w:szCs w:val="32"/>
          <w:lang w:eastAsia="zh-CN"/>
        </w:rPr>
        <w:t>黔江五福岭风电二期项目</w:t>
      </w:r>
      <w:r>
        <w:rPr>
          <w:rFonts w:hint="eastAsia" w:ascii="Times New Roman" w:hAnsi="Times New Roman" w:eastAsia="方正仿宋_GBK" w:cs="方正仿宋_GBK"/>
          <w:snapToGrid w:val="0"/>
          <w:color w:val="auto"/>
          <w:spacing w:val="0"/>
          <w:kern w:val="0"/>
          <w:sz w:val="32"/>
          <w:szCs w:val="32"/>
        </w:rPr>
        <w:t>水土保持方案报告</w:t>
      </w:r>
      <w:r>
        <w:rPr>
          <w:rFonts w:hint="eastAsia" w:ascii="Times New Roman" w:hAnsi="Times New Roman" w:eastAsia="方正仿宋_GBK" w:cs="方正仿宋_GBK"/>
          <w:snapToGrid w:val="0"/>
          <w:color w:val="auto"/>
          <w:kern w:val="0"/>
          <w:sz w:val="32"/>
          <w:szCs w:val="32"/>
        </w:rPr>
        <w:t>书专</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right="0" w:firstLine="2080" w:firstLineChars="65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家评审意见</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0" w:firstLineChars="0"/>
        <w:jc w:val="both"/>
        <w:textAlignment w:val="auto"/>
        <w:rPr>
          <w:rFonts w:hint="eastAsia" w:ascii="Times New Roman" w:hAnsi="Times New Roman" w:eastAsia="方正仿宋_GBK"/>
          <w:snapToGrid w:val="0"/>
          <w:color w:val="auto"/>
          <w:kern w:val="0"/>
          <w:sz w:val="32"/>
          <w:szCs w:val="32"/>
        </w:rPr>
      </w:pPr>
    </w:p>
    <w:p>
      <w:pPr>
        <w:adjustRightInd w:val="0"/>
        <w:snapToGrid w:val="0"/>
        <w:spacing w:beforeLines="0" w:afterLines="0" w:line="594" w:lineRule="exact"/>
        <w:ind w:firstLine="0" w:firstLineChars="0"/>
        <w:rPr>
          <w:rFonts w:hint="eastAsia" w:ascii="Times New Roman" w:hAnsi="Times New Roman" w:eastAsia="方正仿宋_GBK" w:cs="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0" w:firstLineChars="20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重庆市水利局</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0" w:firstLineChars="2000"/>
        <w:jc w:val="both"/>
        <w:textAlignment w:val="auto"/>
        <w:rPr>
          <w:rFonts w:hint="eastAsia" w:ascii="Times New Roman" w:hAnsi="Times New Roman" w:eastAsia="方正仿宋_GBK" w:cs="方正仿宋_GBK"/>
          <w:snapToGrid w:val="0"/>
          <w:color w:val="auto"/>
          <w:kern w:val="0"/>
          <w:sz w:val="32"/>
          <w:szCs w:val="32"/>
        </w:rPr>
      </w:pPr>
      <w:r>
        <w:rPr>
          <w:rFonts w:hint="eastAsia" w:ascii="Times New Roman" w:hAnsi="Times New Roman" w:eastAsia="方正仿宋_GBK" w:cs="方正仿宋_GBK"/>
          <w:snapToGrid w:val="0"/>
          <w:color w:val="auto"/>
          <w:kern w:val="0"/>
          <w:sz w:val="32"/>
          <w:szCs w:val="32"/>
        </w:rPr>
        <w:t>202</w:t>
      </w:r>
      <w:r>
        <w:rPr>
          <w:rFonts w:hint="default" w:ascii="Times New Roman" w:hAnsi="Times New Roman" w:eastAsia="方正仿宋_GBK" w:cs="方正仿宋_GBK"/>
          <w:snapToGrid w:val="0"/>
          <w:color w:val="auto"/>
          <w:kern w:val="0"/>
          <w:sz w:val="32"/>
          <w:szCs w:val="32"/>
          <w:lang w:val="en-US" w:eastAsia="zh-CN"/>
        </w:rPr>
        <w:t>3</w:t>
      </w:r>
      <w:r>
        <w:rPr>
          <w:rFonts w:hint="eastAsia" w:ascii="Times New Roman" w:hAnsi="Times New Roman" w:eastAsia="方正仿宋_GBK" w:cs="方正仿宋_GBK"/>
          <w:snapToGrid w:val="0"/>
          <w:color w:val="auto"/>
          <w:kern w:val="0"/>
          <w:sz w:val="32"/>
          <w:szCs w:val="32"/>
        </w:rPr>
        <w:t>年</w:t>
      </w:r>
      <w:r>
        <w:rPr>
          <w:rFonts w:hint="default" w:eastAsia="方正仿宋_GBK" w:cs="方正仿宋_GBK"/>
          <w:snapToGrid w:val="0"/>
          <w:color w:val="auto"/>
          <w:kern w:val="0"/>
          <w:sz w:val="32"/>
          <w:szCs w:val="32"/>
          <w:lang w:val="en-US" w:eastAsia="zh-CN"/>
        </w:rPr>
        <w:t>8</w:t>
      </w:r>
      <w:r>
        <w:rPr>
          <w:rFonts w:hint="eastAsia" w:ascii="Times New Roman" w:hAnsi="Times New Roman" w:eastAsia="方正仿宋_GBK" w:cs="方正仿宋_GBK"/>
          <w:snapToGrid w:val="0"/>
          <w:color w:val="auto"/>
          <w:kern w:val="0"/>
          <w:sz w:val="32"/>
          <w:szCs w:val="32"/>
        </w:rPr>
        <w:t>月</w:t>
      </w:r>
      <w:r>
        <w:rPr>
          <w:rFonts w:hint="eastAsia" w:eastAsia="方正仿宋_GBK" w:cs="方正仿宋_GBK"/>
          <w:snapToGrid w:val="0"/>
          <w:color w:val="auto"/>
          <w:kern w:val="0"/>
          <w:sz w:val="32"/>
          <w:szCs w:val="32"/>
          <w:lang w:val="en-US" w:eastAsia="zh-CN"/>
        </w:rPr>
        <w:t>28</w:t>
      </w:r>
      <w:bookmarkStart w:id="3" w:name="_GoBack"/>
      <w:bookmarkEnd w:id="3"/>
      <w:r>
        <w:rPr>
          <w:rFonts w:hint="eastAsia" w:ascii="Times New Roman" w:hAnsi="Times New Roman" w:eastAsia="方正仿宋_GBK" w:cs="方正仿宋_GBK"/>
          <w:snapToGrid w:val="0"/>
          <w:color w:val="auto"/>
          <w:kern w:val="0"/>
          <w:sz w:val="32"/>
          <w:szCs w:val="32"/>
        </w:rPr>
        <w:t>日</w:t>
      </w:r>
    </w:p>
    <w:p>
      <w:pPr>
        <w:rPr>
          <w:rFonts w:ascii="Times New Roman" w:hAnsi="Times New Roman" w:eastAsia="宋体"/>
          <w:color w:val="auto"/>
          <w:kern w:val="0"/>
          <w:sz w:val="24"/>
          <w:szCs w:val="20"/>
        </w:rPr>
      </w:pP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pPr>
      <w:r>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t>（此件</w:t>
      </w:r>
      <w:r>
        <w:rPr>
          <w:rFonts w:hint="eastAsia" w:ascii="Times New Roman" w:hAnsi="Times New Roman" w:eastAsia="方正仿宋_GBK"/>
          <w:b w:val="0"/>
          <w:snapToGrid w:val="0"/>
          <w:color w:val="000000" w:themeColor="text1"/>
          <w:spacing w:val="0"/>
          <w:w w:val="100"/>
          <w:kern w:val="0"/>
          <w:sz w:val="32"/>
          <w:szCs w:val="32"/>
          <w:lang w:eastAsia="zh-CN"/>
          <w14:textFill>
            <w14:solidFill>
              <w14:schemeClr w14:val="tx1"/>
            </w14:solidFill>
          </w14:textFill>
        </w:rPr>
        <w:t>主动</w:t>
      </w:r>
      <w:r>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t>公开发布）</w:t>
      </w:r>
    </w:p>
    <w:p>
      <w:pPr>
        <w:keepNext w:val="0"/>
        <w:keepLines w:val="0"/>
        <w:pageBreakBefore w:val="0"/>
        <w:widowControl w:val="0"/>
        <w:kinsoku/>
        <w:wordWrap/>
        <w:overflowPunct/>
        <w:topLinePunct w:val="0"/>
        <w:autoSpaceDE/>
        <w:autoSpaceDN/>
        <w:bidi w:val="0"/>
        <w:adjustRightInd w:val="0"/>
        <w:snapToGrid w:val="0"/>
        <w:spacing w:beforeLines="0" w:afterLines="0" w:line="594" w:lineRule="exact"/>
        <w:ind w:left="0" w:leftChars="0" w:right="0" w:firstLine="640" w:firstLineChars="200"/>
        <w:jc w:val="both"/>
        <w:textAlignment w:val="auto"/>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pPr>
      <w:r>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t>（联系人：</w:t>
      </w:r>
      <w:r>
        <w:rPr>
          <w:rFonts w:hint="eastAsia" w:ascii="Times New Roman" w:hAnsi="Times New Roman" w:eastAsia="方正仿宋_GBK"/>
          <w:b w:val="0"/>
          <w:snapToGrid w:val="0"/>
          <w:color w:val="000000" w:themeColor="text1"/>
          <w:spacing w:val="0"/>
          <w:w w:val="100"/>
          <w:kern w:val="0"/>
          <w:sz w:val="32"/>
          <w:szCs w:val="32"/>
          <w:lang w:eastAsia="zh-CN"/>
          <w14:textFill>
            <w14:solidFill>
              <w14:schemeClr w14:val="tx1"/>
            </w14:solidFill>
          </w14:textFill>
        </w:rPr>
        <w:t>张春才</w:t>
      </w:r>
      <w:r>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t>；联系电话：023</w:t>
      </w:r>
      <w:r>
        <w:rPr>
          <w:rFonts w:hint="eastAsia" w:ascii="Times New Roman" w:hAnsi="Times New Roman" w:eastAsia="方正仿宋_GBK"/>
          <w:b w:val="0"/>
          <w:snapToGrid w:val="0"/>
          <w:color w:val="000000" w:themeColor="text1"/>
          <w:spacing w:val="0"/>
          <w:w w:val="100"/>
          <w:kern w:val="0"/>
          <w:sz w:val="32"/>
          <w:szCs w:val="32"/>
          <w:lang w:eastAsia="zh-CN"/>
          <w14:textFill>
            <w14:solidFill>
              <w14:schemeClr w14:val="tx1"/>
            </w14:solidFill>
          </w14:textFill>
        </w:rPr>
        <w:t>—</w:t>
      </w:r>
      <w:r>
        <w:rPr>
          <w:rFonts w:hint="eastAsia" w:ascii="Times New Roman" w:hAnsi="Times New Roman" w:eastAsia="方正仿宋_GBK"/>
          <w:b w:val="0"/>
          <w:snapToGrid w:val="0"/>
          <w:color w:val="000000" w:themeColor="text1"/>
          <w:spacing w:val="0"/>
          <w:w w:val="100"/>
          <w:kern w:val="0"/>
          <w:sz w:val="32"/>
          <w:szCs w:val="32"/>
          <w:lang w:val="en-US" w:eastAsia="zh-CN"/>
          <w14:textFill>
            <w14:solidFill>
              <w14:schemeClr w14:val="tx1"/>
            </w14:solidFill>
          </w14:textFill>
        </w:rPr>
        <w:t>88707091</w:t>
      </w:r>
      <w:r>
        <w:rPr>
          <w:rFonts w:ascii="Times New Roman" w:hAnsi="Times New Roman" w:eastAsia="方正仿宋_GBK"/>
          <w:b w:val="0"/>
          <w:snapToGrid w:val="0"/>
          <w:color w:val="000000" w:themeColor="text1"/>
          <w:spacing w:val="0"/>
          <w:w w:val="100"/>
          <w:kern w:val="0"/>
          <w:sz w:val="32"/>
          <w:szCs w:val="32"/>
          <w14:textFill>
            <w14:solidFill>
              <w14:schemeClr w14:val="tx1"/>
            </w14:solidFill>
          </w14:textFill>
        </w:rPr>
        <w:t>）</w:t>
      </w:r>
    </w:p>
    <w:p>
      <w:pPr>
        <w:rPr>
          <w:kern w:val="0"/>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0" w:firstLineChars="0"/>
        <w:jc w:val="both"/>
        <w:textAlignment w:val="auto"/>
        <w:rPr>
          <w:rFonts w:hint="eastAsia" w:ascii="Times New Roman" w:hAnsi="Times New Roman" w:eastAsia="方正黑体_GBK"/>
          <w:b w:val="0"/>
          <w:color w:val="auto"/>
          <w:sz w:val="32"/>
          <w:szCs w:val="32"/>
          <w:lang w:val="en-US" w:eastAsia="zh-CN"/>
        </w:rPr>
      </w:pPr>
      <w:r>
        <w:rPr>
          <w:rFonts w:hint="eastAsia" w:ascii="Times New Roman" w:hAnsi="Times New Roman" w:eastAsia="方正仿宋_GBK" w:cs="方正仿宋"/>
          <w:b w:val="0"/>
          <w:color w:val="FF0000"/>
          <w:sz w:val="32"/>
          <w:szCs w:val="36"/>
        </w:rPr>
        <w:br w:type="page"/>
      </w:r>
      <w:r>
        <w:rPr>
          <w:rFonts w:hint="eastAsia" w:ascii="Times New Roman" w:hAnsi="Times New Roman" w:eastAsia="方正黑体_GBK" w:cs="方正黑体_GBK"/>
          <w:b w:val="0"/>
          <w:color w:val="auto"/>
          <w:sz w:val="32"/>
          <w:szCs w:val="32"/>
        </w:rPr>
        <w:t>附件</w:t>
      </w:r>
      <w:r>
        <w:rPr>
          <w:rFonts w:hint="eastAsia" w:ascii="Times New Roman" w:hAnsi="Times New Roman" w:eastAsia="方正黑体_GBK" w:cs="方正黑体_GBK"/>
          <w:b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ind w:left="0" w:leftChars="0" w:firstLine="0" w:firstLineChars="0"/>
        <w:jc w:val="center"/>
        <w:textAlignment w:val="auto"/>
        <w:rPr>
          <w:rFonts w:hint="eastAsia" w:ascii="Times New Roman" w:hAnsi="Times New Roman" w:eastAsia="方正小标宋_GBK" w:cs="方正小标宋_GBK"/>
          <w:bCs/>
          <w:snapToGrid w:val="0"/>
          <w:color w:val="auto"/>
          <w:spacing w:val="0"/>
          <w:w w:val="100"/>
          <w:kern w:val="0"/>
          <w:sz w:val="44"/>
          <w:szCs w:val="44"/>
        </w:rPr>
      </w:pPr>
      <w:r>
        <w:rPr>
          <w:rFonts w:hint="eastAsia" w:eastAsia="方正小标宋_GBK" w:cs="方正小标宋_GBK"/>
          <w:bCs/>
          <w:color w:val="auto"/>
          <w:spacing w:val="0"/>
          <w:w w:val="100"/>
          <w:sz w:val="44"/>
          <w:szCs w:val="44"/>
          <w:lang w:eastAsia="zh-CN"/>
        </w:rPr>
        <w:t>黔江五福岭风电二期项目</w:t>
      </w:r>
      <w:r>
        <w:rPr>
          <w:rFonts w:hint="eastAsia" w:ascii="Times New Roman" w:hAnsi="Times New Roman" w:eastAsia="方正小标宋_GBK" w:cs="方正小标宋_GBK"/>
          <w:bCs/>
          <w:color w:val="auto"/>
          <w:spacing w:val="0"/>
          <w:w w:val="100"/>
          <w:sz w:val="44"/>
          <w:szCs w:val="44"/>
        </w:rPr>
        <w:t>水土保持方案</w:t>
      </w:r>
      <w:r>
        <w:rPr>
          <w:rFonts w:hint="eastAsia" w:ascii="Times New Roman" w:hAnsi="Times New Roman" w:eastAsia="方正小标宋_GBK" w:cs="方正小标宋_GBK"/>
          <w:bCs/>
          <w:snapToGrid w:val="0"/>
          <w:color w:val="auto"/>
          <w:spacing w:val="0"/>
          <w:w w:val="100"/>
          <w:kern w:val="0"/>
          <w:sz w:val="44"/>
          <w:szCs w:val="44"/>
        </w:rPr>
        <w:t>特性表</w:t>
      </w:r>
    </w:p>
    <w:tbl>
      <w:tblPr>
        <w:tblStyle w:val="17"/>
        <w:tblW w:w="92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319"/>
        <w:gridCol w:w="551"/>
        <w:gridCol w:w="1161"/>
        <w:gridCol w:w="1075"/>
        <w:gridCol w:w="703"/>
        <w:gridCol w:w="633"/>
        <w:gridCol w:w="831"/>
        <w:gridCol w:w="1101"/>
        <w:gridCol w:w="561"/>
        <w:gridCol w:w="57"/>
        <w:gridCol w:w="806"/>
        <w:gridCol w:w="7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项目名称</w:t>
            </w:r>
          </w:p>
        </w:tc>
        <w:tc>
          <w:tcPr>
            <w:tcW w:w="4954" w:type="dxa"/>
            <w:gridSpan w:val="6"/>
            <w:vAlign w:val="center"/>
          </w:tcPr>
          <w:p>
            <w:pPr>
              <w:pStyle w:val="81"/>
              <w:keepNext w:val="0"/>
              <w:keepLines w:val="0"/>
              <w:suppressLineNumbers w:val="0"/>
              <w:spacing w:before="0" w:beforeAutospacing="0" w:after="0" w:afterAutospacing="0"/>
              <w:ind w:left="-72" w:right="-72"/>
              <w:rPr>
                <w:sz w:val="20"/>
                <w:szCs w:val="20"/>
              </w:rPr>
            </w:pPr>
            <w:bookmarkStart w:id="0" w:name="_Hlk40703808"/>
            <w:r>
              <w:rPr>
                <w:rFonts w:hint="eastAsia"/>
                <w:sz w:val="20"/>
                <w:szCs w:val="20"/>
              </w:rPr>
              <w:t>黔江五福岭</w:t>
            </w:r>
            <w:r>
              <w:rPr>
                <w:sz w:val="20"/>
                <w:szCs w:val="20"/>
              </w:rPr>
              <w:t>风电</w:t>
            </w:r>
            <w:r>
              <w:rPr>
                <w:rFonts w:hint="eastAsia"/>
                <w:sz w:val="20"/>
                <w:szCs w:val="20"/>
              </w:rPr>
              <w:t>二期</w:t>
            </w:r>
            <w:r>
              <w:rPr>
                <w:sz w:val="20"/>
                <w:szCs w:val="20"/>
              </w:rPr>
              <w:t>项目</w:t>
            </w:r>
            <w:bookmarkEnd w:id="0"/>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流域管理机构</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涉及省市</w:t>
            </w:r>
          </w:p>
        </w:tc>
        <w:tc>
          <w:tcPr>
            <w:tcW w:w="171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重庆市</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涉及地市或个数</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涉及县或个数</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黔江区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项目规模</w:t>
            </w:r>
          </w:p>
        </w:tc>
        <w:tc>
          <w:tcPr>
            <w:tcW w:w="171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风力发电总装机容量100.0MW，发电机组18组。</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总投资（万元）</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61877</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土建投资（万元）</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lang w:bidi="ar"/>
              </w:rPr>
              <w:t>13831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动工时间</w:t>
            </w:r>
          </w:p>
        </w:tc>
        <w:tc>
          <w:tcPr>
            <w:tcW w:w="171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2023年9月</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完工时间</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2024年</w:t>
            </w:r>
            <w:r>
              <w:rPr>
                <w:rFonts w:hint="eastAsia"/>
                <w:sz w:val="20"/>
                <w:szCs w:val="20"/>
              </w:rPr>
              <w:t>1</w:t>
            </w:r>
            <w:r>
              <w:rPr>
                <w:sz w:val="20"/>
                <w:szCs w:val="20"/>
              </w:rPr>
              <w:t>0月</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设计水平年</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2025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967"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工程占地（hm</w:t>
            </w:r>
            <w:r>
              <w:rPr>
                <w:sz w:val="20"/>
                <w:szCs w:val="20"/>
                <w:vertAlign w:val="superscript"/>
              </w:rPr>
              <w:t>2</w:t>
            </w:r>
            <w:r>
              <w:rPr>
                <w:sz w:val="20"/>
                <w:szCs w:val="20"/>
              </w:rPr>
              <w:t>）</w:t>
            </w:r>
          </w:p>
        </w:tc>
        <w:tc>
          <w:tcPr>
            <w:tcW w:w="171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48.03</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永久占地（hm</w:t>
            </w:r>
            <w:r>
              <w:rPr>
                <w:sz w:val="20"/>
                <w:szCs w:val="20"/>
                <w:vertAlign w:val="superscript"/>
              </w:rPr>
              <w:t>2</w:t>
            </w:r>
            <w:r>
              <w:rPr>
                <w:sz w:val="20"/>
                <w:szCs w:val="20"/>
              </w:rPr>
              <w:t>）</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2.26</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临时占地（hm</w:t>
            </w:r>
            <w:r>
              <w:rPr>
                <w:sz w:val="20"/>
                <w:szCs w:val="20"/>
                <w:vertAlign w:val="superscript"/>
              </w:rPr>
              <w:t>2</w:t>
            </w:r>
            <w:r>
              <w:rPr>
                <w:sz w:val="20"/>
                <w:szCs w:val="20"/>
              </w:rPr>
              <w:t>）</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45</w:t>
            </w:r>
            <w:r>
              <w:rPr>
                <w:rFonts w:hint="eastAsia"/>
                <w:sz w:val="20"/>
                <w:szCs w:val="20"/>
              </w:rPr>
              <w:t>.</w:t>
            </w:r>
            <w:r>
              <w:rPr>
                <w:sz w:val="20"/>
                <w:szCs w:val="20"/>
              </w:rPr>
              <w:t>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2679" w:type="dxa"/>
            <w:gridSpan w:val="4"/>
            <w:vMerge w:val="restart"/>
            <w:vAlign w:val="center"/>
          </w:tcPr>
          <w:p>
            <w:pPr>
              <w:pStyle w:val="81"/>
              <w:keepNext w:val="0"/>
              <w:keepLines w:val="0"/>
              <w:suppressLineNumbers w:val="0"/>
              <w:spacing w:before="0" w:beforeAutospacing="0" w:after="0" w:afterAutospacing="0"/>
              <w:ind w:left="-72" w:right="-72"/>
              <w:rPr>
                <w:sz w:val="20"/>
                <w:szCs w:val="20"/>
              </w:rPr>
            </w:pPr>
            <w:r>
              <w:rPr>
                <w:sz w:val="20"/>
                <w:szCs w:val="20"/>
              </w:rPr>
              <w:t>土石方量（万m</w:t>
            </w:r>
            <w:r>
              <w:rPr>
                <w:sz w:val="20"/>
                <w:szCs w:val="20"/>
                <w:vertAlign w:val="superscript"/>
              </w:rPr>
              <w:t>3</w:t>
            </w:r>
            <w:r>
              <w:rPr>
                <w:sz w:val="20"/>
                <w:szCs w:val="20"/>
              </w:rPr>
              <w:t>）</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挖方量</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填方量</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借方量</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弃方量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61.37</w:t>
            </w:r>
          </w:p>
        </w:tc>
        <w:tc>
          <w:tcPr>
            <w:tcW w:w="146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42.02</w:t>
            </w:r>
          </w:p>
        </w:tc>
        <w:tc>
          <w:tcPr>
            <w:tcW w:w="166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0.00</w:t>
            </w:r>
          </w:p>
        </w:tc>
        <w:tc>
          <w:tcPr>
            <w:tcW w:w="166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19.35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vertAlign w:val="superscript"/>
              </w:rPr>
            </w:pPr>
            <w:r>
              <w:rPr>
                <w:sz w:val="20"/>
                <w:szCs w:val="20"/>
              </w:rPr>
              <w:t>重点防治区名称</w:t>
            </w:r>
          </w:p>
        </w:tc>
        <w:tc>
          <w:tcPr>
            <w:tcW w:w="6565" w:type="dxa"/>
            <w:gridSpan w:val="9"/>
            <w:vAlign w:val="center"/>
          </w:tcPr>
          <w:p>
            <w:pPr>
              <w:pStyle w:val="81"/>
              <w:keepNext w:val="0"/>
              <w:keepLines w:val="0"/>
              <w:suppressLineNumbers w:val="0"/>
              <w:spacing w:before="0" w:beforeAutospacing="0" w:after="0" w:afterAutospacing="0"/>
              <w:ind w:left="-72" w:right="-72"/>
              <w:rPr>
                <w:sz w:val="20"/>
                <w:szCs w:val="20"/>
              </w:rPr>
            </w:pPr>
            <w:r>
              <w:rPr>
                <w:sz w:val="20"/>
                <w:szCs w:val="20"/>
              </w:rPr>
              <w:t>“乌江赤水河上中游国家级水土流失重点治理区”、“重庆市水土流失重点预防区”、“重庆市水土流失重点治理区”</w:t>
            </w:r>
            <w:r>
              <w:rPr>
                <w:rFonts w:hint="eastAsia"/>
                <w:sz w:val="20"/>
                <w:szCs w:val="20"/>
              </w:rPr>
              <w:t>、 “黔江区阿蓬江-（段溪河、细沙河、金溪河、南溪河、黔江河）流域区级水土流失重点治理区”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地貌类型</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中山</w:t>
            </w:r>
          </w:p>
        </w:tc>
        <w:tc>
          <w:tcPr>
            <w:tcW w:w="3183" w:type="dxa"/>
            <w:gridSpan w:val="5"/>
            <w:vAlign w:val="center"/>
          </w:tcPr>
          <w:p>
            <w:pPr>
              <w:pStyle w:val="81"/>
              <w:keepNext w:val="0"/>
              <w:keepLines w:val="0"/>
              <w:suppressLineNumbers w:val="0"/>
              <w:spacing w:before="0" w:beforeAutospacing="0" w:after="0" w:afterAutospacing="0"/>
              <w:ind w:left="-72" w:right="-72"/>
              <w:rPr>
                <w:sz w:val="20"/>
                <w:szCs w:val="20"/>
              </w:rPr>
            </w:pPr>
            <w:r>
              <w:rPr>
                <w:sz w:val="20"/>
                <w:szCs w:val="20"/>
              </w:rPr>
              <w:t>水土保持区划</w:t>
            </w:r>
          </w:p>
        </w:tc>
        <w:tc>
          <w:tcPr>
            <w:tcW w:w="160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土壤侵蚀类型</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水力侵蚀</w:t>
            </w:r>
          </w:p>
        </w:tc>
        <w:tc>
          <w:tcPr>
            <w:tcW w:w="3183" w:type="dxa"/>
            <w:gridSpan w:val="5"/>
            <w:vAlign w:val="center"/>
          </w:tcPr>
          <w:p>
            <w:pPr>
              <w:pStyle w:val="81"/>
              <w:keepNext w:val="0"/>
              <w:keepLines w:val="0"/>
              <w:suppressLineNumbers w:val="0"/>
              <w:spacing w:before="0" w:beforeAutospacing="0" w:after="0" w:afterAutospacing="0"/>
              <w:ind w:left="-72" w:right="-72"/>
              <w:rPr>
                <w:sz w:val="20"/>
                <w:szCs w:val="20"/>
              </w:rPr>
            </w:pPr>
            <w:r>
              <w:rPr>
                <w:sz w:val="20"/>
                <w:szCs w:val="20"/>
              </w:rPr>
              <w:t>土壤侵蚀强度</w:t>
            </w:r>
          </w:p>
        </w:tc>
        <w:tc>
          <w:tcPr>
            <w:tcW w:w="160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防治责任范围（hm</w:t>
            </w:r>
            <w:r>
              <w:rPr>
                <w:sz w:val="20"/>
                <w:szCs w:val="20"/>
                <w:vertAlign w:val="superscript"/>
              </w:rPr>
              <w:t>2</w:t>
            </w:r>
            <w:r>
              <w:rPr>
                <w:sz w:val="20"/>
                <w:szCs w:val="20"/>
              </w:rPr>
              <w:t>）</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48.03</w:t>
            </w:r>
          </w:p>
        </w:tc>
        <w:tc>
          <w:tcPr>
            <w:tcW w:w="3183" w:type="dxa"/>
            <w:gridSpan w:val="5"/>
            <w:vAlign w:val="center"/>
          </w:tcPr>
          <w:p>
            <w:pPr>
              <w:pStyle w:val="81"/>
              <w:keepNext w:val="0"/>
              <w:keepLines w:val="0"/>
              <w:suppressLineNumbers w:val="0"/>
              <w:spacing w:before="0" w:beforeAutospacing="0" w:after="0" w:afterAutospacing="0"/>
              <w:ind w:left="-72" w:right="-72"/>
              <w:rPr>
                <w:sz w:val="20"/>
                <w:szCs w:val="20"/>
              </w:rPr>
            </w:pPr>
            <w:r>
              <w:rPr>
                <w:sz w:val="20"/>
                <w:szCs w:val="20"/>
              </w:rPr>
              <w:t>容许土壤流失量[t/（km</w:t>
            </w:r>
            <w:r>
              <w:rPr>
                <w:sz w:val="20"/>
                <w:szCs w:val="20"/>
                <w:vertAlign w:val="superscript"/>
              </w:rPr>
              <w:t>2</w:t>
            </w:r>
            <w:r>
              <w:rPr>
                <w:sz w:val="20"/>
                <w:szCs w:val="20"/>
              </w:rPr>
              <w:t>·a）]</w:t>
            </w:r>
          </w:p>
        </w:tc>
        <w:tc>
          <w:tcPr>
            <w:tcW w:w="1604"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土壤流失预测总量（t）</w:t>
            </w:r>
          </w:p>
        </w:tc>
        <w:tc>
          <w:tcPr>
            <w:tcW w:w="1778" w:type="dxa"/>
            <w:gridSpan w:val="2"/>
            <w:vAlign w:val="center"/>
          </w:tcPr>
          <w:p>
            <w:pPr>
              <w:pStyle w:val="81"/>
              <w:keepNext w:val="0"/>
              <w:keepLines w:val="0"/>
              <w:suppressLineNumbers w:val="0"/>
              <w:spacing w:before="0" w:beforeAutospacing="0" w:after="0" w:afterAutospacing="0"/>
              <w:ind w:left="-72" w:right="-72"/>
              <w:rPr>
                <w:sz w:val="20"/>
                <w:szCs w:val="20"/>
              </w:rPr>
            </w:pPr>
            <w:r>
              <w:rPr>
                <w:bCs/>
                <w:sz w:val="20"/>
                <w:szCs w:val="20"/>
              </w:rPr>
              <w:t>4999</w:t>
            </w:r>
          </w:p>
        </w:tc>
        <w:tc>
          <w:tcPr>
            <w:tcW w:w="3183" w:type="dxa"/>
            <w:gridSpan w:val="5"/>
            <w:vAlign w:val="center"/>
          </w:tcPr>
          <w:p>
            <w:pPr>
              <w:pStyle w:val="81"/>
              <w:keepNext w:val="0"/>
              <w:keepLines w:val="0"/>
              <w:suppressLineNumbers w:val="0"/>
              <w:spacing w:before="0" w:beforeAutospacing="0" w:after="0" w:afterAutospacing="0"/>
              <w:ind w:left="-72" w:right="-72"/>
              <w:rPr>
                <w:sz w:val="20"/>
                <w:szCs w:val="20"/>
              </w:rPr>
            </w:pPr>
            <w:r>
              <w:rPr>
                <w:sz w:val="20"/>
                <w:szCs w:val="20"/>
              </w:rPr>
              <w:t>新增土壤流失量（t）</w:t>
            </w:r>
          </w:p>
        </w:tc>
        <w:tc>
          <w:tcPr>
            <w:tcW w:w="1604" w:type="dxa"/>
            <w:gridSpan w:val="2"/>
            <w:vAlign w:val="center"/>
          </w:tcPr>
          <w:p>
            <w:pPr>
              <w:pStyle w:val="81"/>
              <w:keepNext w:val="0"/>
              <w:keepLines w:val="0"/>
              <w:suppressLineNumbers w:val="0"/>
              <w:spacing w:before="0" w:beforeAutospacing="0" w:after="0" w:afterAutospacing="0"/>
              <w:ind w:left="-72" w:right="-72"/>
              <w:rPr>
                <w:sz w:val="20"/>
                <w:szCs w:val="20"/>
              </w:rPr>
            </w:pPr>
            <w:r>
              <w:rPr>
                <w:bCs/>
                <w:sz w:val="20"/>
                <w:szCs w:val="20"/>
              </w:rPr>
              <w:t>4050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水土流失防治标准执行等级</w:t>
            </w:r>
          </w:p>
        </w:tc>
        <w:tc>
          <w:tcPr>
            <w:tcW w:w="6565" w:type="dxa"/>
            <w:gridSpan w:val="9"/>
            <w:vAlign w:val="center"/>
          </w:tcPr>
          <w:p>
            <w:pPr>
              <w:pStyle w:val="81"/>
              <w:keepNext w:val="0"/>
              <w:keepLines w:val="0"/>
              <w:suppressLineNumbers w:val="0"/>
              <w:spacing w:before="0" w:beforeAutospacing="0" w:after="0" w:afterAutospacing="0"/>
              <w:ind w:left="-72" w:right="-72"/>
              <w:rPr>
                <w:sz w:val="20"/>
                <w:szCs w:val="20"/>
              </w:rPr>
            </w:pPr>
            <w:r>
              <w:rPr>
                <w:sz w:val="20"/>
                <w:szCs w:val="20"/>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restart"/>
            <w:vAlign w:val="center"/>
          </w:tcPr>
          <w:p>
            <w:pPr>
              <w:pStyle w:val="81"/>
              <w:keepNext w:val="0"/>
              <w:keepLines w:val="0"/>
              <w:suppressLineNumbers w:val="0"/>
              <w:spacing w:before="0" w:beforeAutospacing="0" w:after="0" w:afterAutospacing="0"/>
              <w:ind w:left="-72" w:right="-72"/>
              <w:rPr>
                <w:sz w:val="20"/>
                <w:szCs w:val="20"/>
              </w:rPr>
            </w:pPr>
            <w:r>
              <w:rPr>
                <w:sz w:val="20"/>
                <w:szCs w:val="20"/>
              </w:rPr>
              <w:t>防治目标</w:t>
            </w: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水土流失治理度（%）</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97</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土壤流失控制比</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渣土防护率（%）</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90</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表土保护率（%）</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林草植被恢复率（%）</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97</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林草覆盖率（%）</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2</w:t>
            </w:r>
            <w:r>
              <w:rPr>
                <w:rFonts w:hint="eastAsia"/>
                <w:sz w:val="20"/>
                <w:szCs w:val="20"/>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restart"/>
            <w:vAlign w:val="center"/>
          </w:tcPr>
          <w:p>
            <w:pPr>
              <w:pStyle w:val="81"/>
              <w:keepNext w:val="0"/>
              <w:keepLines w:val="0"/>
              <w:suppressLineNumbers w:val="0"/>
              <w:spacing w:before="0" w:beforeAutospacing="0" w:after="0" w:afterAutospacing="0"/>
              <w:ind w:left="-72" w:right="-72"/>
              <w:rPr>
                <w:sz w:val="20"/>
                <w:szCs w:val="20"/>
              </w:rPr>
            </w:pPr>
            <w:r>
              <w:rPr>
                <w:sz w:val="20"/>
                <w:szCs w:val="20"/>
              </w:rPr>
              <w:t>防治措施及工程量</w:t>
            </w: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防治分区</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工程措施</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植物措施</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rFonts w:eastAsia="宋体"/>
                <w:sz w:val="20"/>
                <w:szCs w:val="20"/>
              </w:rPr>
            </w:pPr>
            <w:r>
              <w:rPr>
                <w:sz w:val="20"/>
                <w:szCs w:val="20"/>
              </w:rPr>
              <w:t>风机平台</w:t>
            </w:r>
          </w:p>
        </w:tc>
        <w:tc>
          <w:tcPr>
            <w:tcW w:w="2411" w:type="dxa"/>
            <w:gridSpan w:val="3"/>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方案新增浆砌石排水沟</w:t>
            </w:r>
            <w:r>
              <w:rPr>
                <w:sz w:val="20"/>
                <w:szCs w:val="20"/>
                <w:lang w:val="en-US"/>
              </w:rPr>
              <w:t>排水沟800</w:t>
            </w:r>
            <w:r>
              <w:rPr>
                <w:rFonts w:hint="eastAsia"/>
                <w:sz w:val="20"/>
                <w:szCs w:val="20"/>
                <w:lang w:val="en-US"/>
              </w:rPr>
              <w:t>m，沉沙池7座</w:t>
            </w:r>
            <w:r>
              <w:rPr>
                <w:sz w:val="20"/>
                <w:szCs w:val="20"/>
                <w:lang w:val="en-US"/>
              </w:rPr>
              <w:t>，表土剥离7.43hm</w:t>
            </w:r>
            <w:r>
              <w:rPr>
                <w:sz w:val="20"/>
                <w:szCs w:val="20"/>
                <w:vertAlign w:val="superscript"/>
                <w:lang w:val="en-US"/>
              </w:rPr>
              <w:t>2</w:t>
            </w:r>
            <w:r>
              <w:rPr>
                <w:sz w:val="20"/>
                <w:szCs w:val="20"/>
                <w:lang w:val="en-US"/>
              </w:rPr>
              <w:t>，表土回覆16842m</w:t>
            </w:r>
            <w:r>
              <w:rPr>
                <w:sz w:val="20"/>
                <w:szCs w:val="20"/>
                <w:vertAlign w:val="superscript"/>
                <w:lang w:val="en-US"/>
              </w:rPr>
              <w:t>3</w:t>
            </w:r>
            <w:r>
              <w:rPr>
                <w:rFonts w:hint="eastAsia"/>
                <w:sz w:val="20"/>
                <w:szCs w:val="20"/>
                <w:lang w:val="en-US"/>
              </w:rPr>
              <w:t>，</w:t>
            </w:r>
            <w:r>
              <w:rPr>
                <w:sz w:val="20"/>
                <w:szCs w:val="20"/>
                <w:lang w:val="en-US"/>
              </w:rPr>
              <w:t>土地整治6.71hm</w:t>
            </w:r>
            <w:r>
              <w:rPr>
                <w:sz w:val="20"/>
                <w:szCs w:val="20"/>
                <w:vertAlign w:val="superscript"/>
                <w:lang w:val="en-US"/>
              </w:rPr>
              <w:t>2</w:t>
            </w:r>
            <w:r>
              <w:rPr>
                <w:rFonts w:hint="eastAsia"/>
                <w:sz w:val="20"/>
                <w:szCs w:val="20"/>
                <w:lang w:val="en-US"/>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w:t>
            </w:r>
            <w:r>
              <w:rPr>
                <w:sz w:val="20"/>
                <w:szCs w:val="20"/>
                <w:lang w:val="en-US"/>
              </w:rPr>
              <w:t>撒草绿化6.71hm</w:t>
            </w:r>
            <w:r>
              <w:rPr>
                <w:sz w:val="20"/>
                <w:szCs w:val="20"/>
                <w:vertAlign w:val="superscript"/>
                <w:lang w:val="en-US"/>
              </w:rPr>
              <w:t>2</w:t>
            </w:r>
            <w:r>
              <w:rPr>
                <w:rFonts w:hint="eastAsia"/>
                <w:sz w:val="20"/>
                <w:szCs w:val="20"/>
                <w:lang w:val="en-US"/>
              </w:rPr>
              <w:t>，</w:t>
            </w:r>
            <w:r>
              <w:rPr>
                <w:sz w:val="20"/>
                <w:szCs w:val="20"/>
                <w:lang w:val="en-US"/>
              </w:rPr>
              <w:t>栽植攀爬植物长度1333m</w:t>
            </w:r>
            <w:r>
              <w:rPr>
                <w:rFonts w:hint="eastAsia"/>
                <w:sz w:val="20"/>
                <w:szCs w:val="20"/>
                <w:lang w:val="en-US"/>
              </w:rPr>
              <w:t>（</w:t>
            </w:r>
            <w:r>
              <w:rPr>
                <w:sz w:val="20"/>
                <w:szCs w:val="20"/>
                <w:lang w:val="en-US"/>
              </w:rPr>
              <w:t>2666</w:t>
            </w:r>
            <w:r>
              <w:rPr>
                <w:rFonts w:hint="eastAsia"/>
                <w:sz w:val="20"/>
                <w:szCs w:val="20"/>
                <w:lang w:val="en-US"/>
              </w:rPr>
              <w:t>株）。</w:t>
            </w:r>
          </w:p>
        </w:tc>
        <w:tc>
          <w:tcPr>
            <w:tcW w:w="2222" w:type="dxa"/>
            <w:gridSpan w:val="4"/>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方案新增基坑防护防雨布覆盖7200m</w:t>
            </w:r>
            <w:r>
              <w:rPr>
                <w:sz w:val="20"/>
                <w:szCs w:val="20"/>
                <w:vertAlign w:val="superscript"/>
              </w:rPr>
              <w:t>2</w:t>
            </w:r>
            <w:r>
              <w:rPr>
                <w:sz w:val="20"/>
                <w:szCs w:val="20"/>
              </w:rPr>
              <w:t>，临时堆土</w:t>
            </w:r>
            <w:r>
              <w:rPr>
                <w:rFonts w:hint="eastAsia"/>
                <w:sz w:val="20"/>
                <w:szCs w:val="20"/>
              </w:rPr>
              <w:t>（含表土）</w:t>
            </w:r>
            <w:r>
              <w:rPr>
                <w:sz w:val="20"/>
                <w:szCs w:val="20"/>
              </w:rPr>
              <w:t>防雨布覆盖13880m</w:t>
            </w:r>
            <w:r>
              <w:rPr>
                <w:sz w:val="20"/>
                <w:szCs w:val="20"/>
                <w:vertAlign w:val="superscript"/>
              </w:rPr>
              <w:t>2</w:t>
            </w:r>
            <w:r>
              <w:rPr>
                <w:rFonts w:hint="eastAsia"/>
                <w:sz w:val="20"/>
                <w:szCs w:val="20"/>
              </w:rPr>
              <w:t>，填方边坡无纺布覆盖</w:t>
            </w:r>
            <w:r>
              <w:rPr>
                <w:sz w:val="20"/>
                <w:szCs w:val="20"/>
              </w:rPr>
              <w:t>20446m</w:t>
            </w:r>
            <w:r>
              <w:rPr>
                <w:sz w:val="20"/>
                <w:szCs w:val="20"/>
                <w:vertAlign w:val="superscript"/>
              </w:rPr>
              <w:t>2</w:t>
            </w:r>
            <w:r>
              <w:rPr>
                <w:rFonts w:hint="eastAsia"/>
                <w:sz w:val="20"/>
                <w:szCs w:val="20"/>
              </w:rPr>
              <w:t>，</w:t>
            </w:r>
            <w:r>
              <w:rPr>
                <w:sz w:val="20"/>
                <w:szCs w:val="20"/>
                <w:lang w:val="en-US"/>
              </w:rPr>
              <w:t>编织袋装土</w:t>
            </w:r>
            <w:r>
              <w:rPr>
                <w:rFonts w:hint="eastAsia"/>
                <w:sz w:val="20"/>
                <w:szCs w:val="20"/>
                <w:lang w:val="en-US"/>
              </w:rPr>
              <w:t>拦挡2888</w:t>
            </w:r>
            <w:r>
              <w:rPr>
                <w:sz w:val="20"/>
                <w:szCs w:val="20"/>
                <w:lang w:val="en-US"/>
              </w:rPr>
              <w:t>m（装土与拆除</w:t>
            </w:r>
            <w:r>
              <w:rPr>
                <w:rFonts w:hint="eastAsia"/>
                <w:sz w:val="20"/>
                <w:szCs w:val="20"/>
                <w:lang w:val="en-US"/>
              </w:rPr>
              <w:t>量</w:t>
            </w:r>
            <w:r>
              <w:rPr>
                <w:sz w:val="20"/>
                <w:szCs w:val="20"/>
                <w:lang w:val="en-US"/>
              </w:rPr>
              <w:t>6498</w:t>
            </w:r>
            <w:r>
              <w:rPr>
                <w:rFonts w:hint="eastAsia"/>
                <w:sz w:val="20"/>
                <w:szCs w:val="20"/>
                <w:lang w:val="en-US"/>
              </w:rPr>
              <w:t>m</w:t>
            </w:r>
            <w:r>
              <w:rPr>
                <w:sz w:val="20"/>
                <w:szCs w:val="20"/>
                <w:vertAlign w:val="superscript"/>
                <w:lang w:val="en-US"/>
              </w:rPr>
              <w:t>3</w:t>
            </w:r>
            <w:r>
              <w:rPr>
                <w:sz w:val="20"/>
                <w:szCs w:val="20"/>
                <w:lang w:val="en-US"/>
              </w:rPr>
              <w:t>）</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场区道路</w:t>
            </w:r>
          </w:p>
        </w:tc>
        <w:tc>
          <w:tcPr>
            <w:tcW w:w="2411" w:type="dxa"/>
            <w:gridSpan w:val="3"/>
            <w:vAlign w:val="center"/>
          </w:tcPr>
          <w:p>
            <w:pPr>
              <w:pStyle w:val="81"/>
              <w:keepNext w:val="0"/>
              <w:keepLines w:val="0"/>
              <w:suppressLineNumbers w:val="0"/>
              <w:spacing w:before="0" w:beforeAutospacing="0" w:after="0" w:afterAutospacing="0"/>
              <w:ind w:left="-72" w:right="-72"/>
              <w:jc w:val="both"/>
              <w:rPr>
                <w:smallCaps w:val="0"/>
                <w:sz w:val="20"/>
                <w:szCs w:val="20"/>
              </w:rPr>
            </w:pPr>
            <w:r>
              <w:rPr>
                <w:sz w:val="20"/>
                <w:szCs w:val="20"/>
              </w:rPr>
              <w:t>主体已列浆砌石排水沟18956m</w:t>
            </w:r>
            <w:r>
              <w:rPr>
                <w:rFonts w:hint="eastAsia"/>
                <w:sz w:val="20"/>
                <w:szCs w:val="20"/>
              </w:rPr>
              <w:t>；</w:t>
            </w:r>
            <w:r>
              <w:rPr>
                <w:sz w:val="20"/>
                <w:szCs w:val="20"/>
              </w:rPr>
              <w:t>方案新增</w:t>
            </w:r>
            <w:r>
              <w:rPr>
                <w:rFonts w:hint="eastAsia"/>
                <w:sz w:val="20"/>
                <w:szCs w:val="20"/>
              </w:rPr>
              <w:t>沉沙池</w:t>
            </w:r>
            <w:r>
              <w:rPr>
                <w:sz w:val="20"/>
                <w:szCs w:val="20"/>
              </w:rPr>
              <w:t>12座，表土剥离面积30.49hm</w:t>
            </w:r>
            <w:r>
              <w:rPr>
                <w:sz w:val="20"/>
                <w:szCs w:val="20"/>
                <w:vertAlign w:val="superscript"/>
              </w:rPr>
              <w:t>2</w:t>
            </w:r>
            <w:r>
              <w:rPr>
                <w:rFonts w:hint="eastAsia"/>
                <w:sz w:val="20"/>
                <w:szCs w:val="20"/>
              </w:rPr>
              <w:t>，表土回覆</w:t>
            </w:r>
            <w:r>
              <w:rPr>
                <w:sz w:val="20"/>
                <w:szCs w:val="20"/>
              </w:rPr>
              <w:t>32423m</w:t>
            </w:r>
            <w:r>
              <w:rPr>
                <w:rFonts w:hint="eastAsia"/>
                <w:sz w:val="20"/>
                <w:szCs w:val="20"/>
                <w:vertAlign w:val="superscript"/>
              </w:rPr>
              <w:t>3</w:t>
            </w:r>
            <w:r>
              <w:rPr>
                <w:rFonts w:hint="eastAsia"/>
                <w:sz w:val="20"/>
                <w:szCs w:val="20"/>
              </w:rPr>
              <w:t>，</w:t>
            </w:r>
            <w:r>
              <w:rPr>
                <w:sz w:val="20"/>
                <w:szCs w:val="20"/>
              </w:rPr>
              <w:t>土地整治10.84hm</w:t>
            </w:r>
            <w:r>
              <w:rPr>
                <w:sz w:val="20"/>
                <w:szCs w:val="20"/>
                <w:vertAlign w:val="superscript"/>
              </w:rPr>
              <w:t>2</w:t>
            </w:r>
            <w:r>
              <w:rPr>
                <w:rFonts w:hint="eastAsia"/>
                <w:sz w:val="20"/>
                <w:szCs w:val="20"/>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方案新增撒草绿化10.84hm</w:t>
            </w:r>
            <w:r>
              <w:rPr>
                <w:sz w:val="20"/>
                <w:szCs w:val="20"/>
                <w:vertAlign w:val="superscript"/>
              </w:rPr>
              <w:t>2</w:t>
            </w:r>
            <w:r>
              <w:rPr>
                <w:sz w:val="20"/>
                <w:szCs w:val="20"/>
              </w:rPr>
              <w:t>，栽植灌木10.84hm</w:t>
            </w:r>
            <w:r>
              <w:rPr>
                <w:sz w:val="20"/>
                <w:szCs w:val="20"/>
                <w:vertAlign w:val="superscript"/>
              </w:rPr>
              <w:t>2</w:t>
            </w:r>
            <w:r>
              <w:rPr>
                <w:sz w:val="20"/>
                <w:szCs w:val="20"/>
              </w:rPr>
              <w:t>（48182株），栽植攀爬植物长度16935m（33870株）。</w:t>
            </w:r>
          </w:p>
        </w:tc>
        <w:tc>
          <w:tcPr>
            <w:tcW w:w="2222" w:type="dxa"/>
            <w:gridSpan w:val="4"/>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方案新增边坡无纺布</w:t>
            </w:r>
            <w:r>
              <w:rPr>
                <w:rFonts w:hint="eastAsia"/>
                <w:sz w:val="20"/>
                <w:szCs w:val="20"/>
              </w:rPr>
              <w:t>覆盖</w:t>
            </w:r>
            <w:r>
              <w:rPr>
                <w:sz w:val="20"/>
                <w:szCs w:val="20"/>
              </w:rPr>
              <w:t>75887m</w:t>
            </w:r>
            <w:r>
              <w:rPr>
                <w:sz w:val="20"/>
                <w:szCs w:val="20"/>
                <w:vertAlign w:val="superscript"/>
              </w:rPr>
              <w:t>2</w:t>
            </w:r>
            <w:r>
              <w:rPr>
                <w:sz w:val="20"/>
                <w:szCs w:val="20"/>
              </w:rPr>
              <w:t>，电缆沟临时堆土利用无纺布覆盖积40631m</w:t>
            </w:r>
            <w:r>
              <w:rPr>
                <w:sz w:val="20"/>
                <w:szCs w:val="20"/>
                <w:vertAlign w:val="superscript"/>
              </w:rPr>
              <w:t>2</w:t>
            </w:r>
            <w:r>
              <w:rPr>
                <w:sz w:val="20"/>
                <w:szCs w:val="20"/>
              </w:rPr>
              <w:t>，</w:t>
            </w:r>
            <w:r>
              <w:rPr>
                <w:rFonts w:hint="eastAsia"/>
                <w:sz w:val="20"/>
                <w:szCs w:val="20"/>
              </w:rPr>
              <w:t>植生袋</w:t>
            </w:r>
            <w:r>
              <w:rPr>
                <w:sz w:val="20"/>
                <w:szCs w:val="20"/>
              </w:rPr>
              <w:t>拦挡长度16252m。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rFonts w:eastAsia="宋体"/>
                <w:sz w:val="20"/>
                <w:szCs w:val="20"/>
              </w:rPr>
            </w:pPr>
            <w:r>
              <w:rPr>
                <w:sz w:val="20"/>
                <w:szCs w:val="20"/>
              </w:rPr>
              <w:t>集电线路</w:t>
            </w:r>
          </w:p>
        </w:tc>
        <w:tc>
          <w:tcPr>
            <w:tcW w:w="2411" w:type="dxa"/>
            <w:gridSpan w:val="3"/>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方案新增表土剥离</w:t>
            </w:r>
            <w:r>
              <w:rPr>
                <w:snapToGrid w:val="0"/>
                <w:sz w:val="20"/>
                <w:szCs w:val="20"/>
              </w:rPr>
              <w:t>0.93</w:t>
            </w:r>
            <w:r>
              <w:rPr>
                <w:sz w:val="20"/>
                <w:szCs w:val="20"/>
              </w:rPr>
              <w:t>hm</w:t>
            </w:r>
            <w:r>
              <w:rPr>
                <w:sz w:val="20"/>
                <w:szCs w:val="20"/>
                <w:vertAlign w:val="superscript"/>
              </w:rPr>
              <w:t>2</w:t>
            </w:r>
            <w:r>
              <w:rPr>
                <w:rFonts w:hint="eastAsia"/>
                <w:sz w:val="20"/>
                <w:szCs w:val="20"/>
              </w:rPr>
              <w:t>，表土回覆</w:t>
            </w:r>
            <w:r>
              <w:rPr>
                <w:sz w:val="20"/>
                <w:szCs w:val="20"/>
              </w:rPr>
              <w:t>1633m</w:t>
            </w:r>
            <w:r>
              <w:rPr>
                <w:rFonts w:hint="eastAsia"/>
                <w:sz w:val="20"/>
                <w:szCs w:val="20"/>
                <w:vertAlign w:val="superscript"/>
              </w:rPr>
              <w:t>3</w:t>
            </w:r>
            <w:r>
              <w:rPr>
                <w:rFonts w:hint="eastAsia"/>
                <w:sz w:val="20"/>
                <w:szCs w:val="20"/>
              </w:rPr>
              <w:t>，</w:t>
            </w:r>
            <w:r>
              <w:rPr>
                <w:sz w:val="20"/>
                <w:szCs w:val="20"/>
              </w:rPr>
              <w:t>土地整治</w:t>
            </w:r>
            <w:r>
              <w:rPr>
                <w:rFonts w:hint="eastAsia"/>
                <w:sz w:val="20"/>
                <w:szCs w:val="20"/>
                <w:lang w:val="en-US" w:eastAsia="zh-CN"/>
              </w:rPr>
              <w:t>1.19</w:t>
            </w:r>
            <w:r>
              <w:rPr>
                <w:sz w:val="20"/>
                <w:szCs w:val="20"/>
              </w:rPr>
              <w:t>hm</w:t>
            </w:r>
            <w:r>
              <w:rPr>
                <w:sz w:val="20"/>
                <w:szCs w:val="20"/>
                <w:vertAlign w:val="superscript"/>
              </w:rPr>
              <w:t>2</w:t>
            </w:r>
            <w:r>
              <w:rPr>
                <w:sz w:val="20"/>
                <w:szCs w:val="20"/>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方案新增撒草绿化</w:t>
            </w:r>
            <w:r>
              <w:rPr>
                <w:rFonts w:hint="eastAsia"/>
                <w:sz w:val="20"/>
                <w:szCs w:val="20"/>
                <w:lang w:val="en-US" w:eastAsia="zh-CN"/>
              </w:rPr>
              <w:t>1.19</w:t>
            </w:r>
            <w:r>
              <w:rPr>
                <w:sz w:val="20"/>
                <w:szCs w:val="20"/>
              </w:rPr>
              <w:t>hm</w:t>
            </w:r>
            <w:r>
              <w:rPr>
                <w:sz w:val="20"/>
                <w:szCs w:val="20"/>
                <w:vertAlign w:val="superscript"/>
              </w:rPr>
              <w:t>2</w:t>
            </w:r>
            <w:r>
              <w:rPr>
                <w:sz w:val="20"/>
                <w:szCs w:val="20"/>
              </w:rPr>
              <w:t>。栽植灌木</w:t>
            </w:r>
            <w:r>
              <w:rPr>
                <w:rFonts w:hint="eastAsia"/>
                <w:sz w:val="20"/>
                <w:szCs w:val="20"/>
                <w:lang w:val="en-US" w:eastAsia="zh-CN"/>
              </w:rPr>
              <w:t>0.35</w:t>
            </w:r>
            <w:r>
              <w:rPr>
                <w:sz w:val="20"/>
                <w:szCs w:val="20"/>
              </w:rPr>
              <w:t>hm</w:t>
            </w:r>
            <w:r>
              <w:rPr>
                <w:sz w:val="20"/>
                <w:szCs w:val="20"/>
                <w:vertAlign w:val="superscript"/>
              </w:rPr>
              <w:t>2</w:t>
            </w:r>
            <w:r>
              <w:rPr>
                <w:sz w:val="20"/>
                <w:szCs w:val="20"/>
              </w:rPr>
              <w:t>（</w:t>
            </w:r>
            <w:r>
              <w:rPr>
                <w:rFonts w:hint="eastAsia"/>
                <w:sz w:val="20"/>
                <w:szCs w:val="20"/>
                <w:lang w:val="en-US" w:eastAsia="zh-CN"/>
              </w:rPr>
              <w:t>1573</w:t>
            </w:r>
            <w:r>
              <w:rPr>
                <w:sz w:val="20"/>
                <w:szCs w:val="20"/>
              </w:rPr>
              <w:t>株）</w:t>
            </w:r>
          </w:p>
        </w:tc>
        <w:tc>
          <w:tcPr>
            <w:tcW w:w="2222" w:type="dxa"/>
            <w:gridSpan w:val="4"/>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方案新增临时堆土防雨布</w:t>
            </w:r>
            <w:r>
              <w:rPr>
                <w:rFonts w:hint="eastAsia"/>
                <w:sz w:val="20"/>
                <w:szCs w:val="20"/>
              </w:rPr>
              <w:t>覆盖</w:t>
            </w:r>
            <w:r>
              <w:rPr>
                <w:rFonts w:hint="eastAsia"/>
                <w:sz w:val="20"/>
                <w:szCs w:val="20"/>
                <w:lang w:val="en-US" w:eastAsia="zh-CN"/>
              </w:rPr>
              <w:t>8118</w:t>
            </w:r>
            <w:r>
              <w:rPr>
                <w:sz w:val="20"/>
                <w:szCs w:val="20"/>
              </w:rPr>
              <w:t>m</w:t>
            </w:r>
            <w:r>
              <w:rPr>
                <w:sz w:val="20"/>
                <w:szCs w:val="20"/>
                <w:vertAlign w:val="superscript"/>
              </w:rPr>
              <w:t>2</w:t>
            </w:r>
            <w:r>
              <w:rPr>
                <w:rFonts w:hint="eastAsia"/>
                <w:sz w:val="20"/>
                <w:szCs w:val="20"/>
              </w:rPr>
              <w:t>，</w:t>
            </w:r>
            <w:r>
              <w:rPr>
                <w:rFonts w:hint="eastAsia"/>
                <w:sz w:val="20"/>
                <w:szCs w:val="20"/>
                <w:lang w:eastAsia="zh-CN"/>
              </w:rPr>
              <w:t>边坡无纺布覆盖</w:t>
            </w:r>
            <w:r>
              <w:rPr>
                <w:sz w:val="20"/>
                <w:szCs w:val="20"/>
              </w:rPr>
              <w:t>16620m</w:t>
            </w:r>
            <w:r>
              <w:rPr>
                <w:sz w:val="20"/>
                <w:szCs w:val="20"/>
                <w:vertAlign w:val="superscript"/>
              </w:rPr>
              <w:t>2</w:t>
            </w:r>
            <w:r>
              <w:rPr>
                <w:rFonts w:hint="eastAsia"/>
                <w:sz w:val="20"/>
                <w:szCs w:val="20"/>
              </w:rPr>
              <w:t>，</w:t>
            </w:r>
            <w:r>
              <w:rPr>
                <w:sz w:val="20"/>
                <w:szCs w:val="20"/>
                <w:lang w:val="en-US"/>
              </w:rPr>
              <w:t>编织袋装土拦挡</w:t>
            </w:r>
            <w:r>
              <w:rPr>
                <w:rFonts w:hint="eastAsia"/>
                <w:sz w:val="20"/>
                <w:szCs w:val="20"/>
                <w:lang w:val="en-US"/>
              </w:rPr>
              <w:t>1</w:t>
            </w:r>
            <w:r>
              <w:rPr>
                <w:sz w:val="20"/>
                <w:szCs w:val="20"/>
                <w:lang w:val="en-US"/>
              </w:rPr>
              <w:t>6662m</w:t>
            </w:r>
            <w:r>
              <w:rPr>
                <w:rFonts w:hint="eastAsia"/>
                <w:sz w:val="20"/>
                <w:szCs w:val="20"/>
                <w:lang w:val="en-US"/>
              </w:rPr>
              <w:t>（装土</w:t>
            </w:r>
            <w:r>
              <w:rPr>
                <w:sz w:val="20"/>
                <w:szCs w:val="20"/>
                <w:lang w:val="en-US"/>
              </w:rPr>
              <w:t>和拆除量</w:t>
            </w:r>
            <w:r>
              <w:rPr>
                <w:rFonts w:hint="eastAsia"/>
                <w:sz w:val="20"/>
                <w:szCs w:val="20"/>
                <w:lang w:val="en-US"/>
              </w:rPr>
              <w:t>1483</w:t>
            </w:r>
            <w:r>
              <w:rPr>
                <w:sz w:val="20"/>
                <w:szCs w:val="20"/>
                <w:lang w:val="en-US"/>
              </w:rPr>
              <w:t>m</w:t>
            </w:r>
            <w:r>
              <w:rPr>
                <w:sz w:val="20"/>
                <w:szCs w:val="20"/>
                <w:vertAlign w:val="superscript"/>
                <w:lang w:val="en-US"/>
              </w:rPr>
              <w:t>3</w:t>
            </w:r>
            <w:r>
              <w:rPr>
                <w:rFonts w:hint="eastAsia"/>
                <w:sz w:val="20"/>
                <w:szCs w:val="20"/>
                <w:lang w:val="en-US"/>
              </w:rPr>
              <w:t>）</w:t>
            </w: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升压站区</w:t>
            </w:r>
          </w:p>
        </w:tc>
        <w:tc>
          <w:tcPr>
            <w:tcW w:w="2411" w:type="dxa"/>
            <w:gridSpan w:val="3"/>
            <w:vAlign w:val="center"/>
          </w:tcPr>
          <w:p>
            <w:pPr>
              <w:pStyle w:val="81"/>
              <w:keepNext w:val="0"/>
              <w:keepLines w:val="0"/>
              <w:suppressLineNumbers w:val="0"/>
              <w:spacing w:before="0" w:beforeAutospacing="0" w:after="0" w:afterAutospacing="0"/>
              <w:ind w:left="-72" w:right="-72"/>
              <w:jc w:val="both"/>
              <w:rPr>
                <w:sz w:val="20"/>
                <w:szCs w:val="20"/>
                <w:lang w:val="en-US"/>
              </w:rPr>
            </w:pPr>
            <w:r>
              <w:rPr>
                <w:sz w:val="20"/>
                <w:szCs w:val="20"/>
              </w:rPr>
              <w:t>主体已列浆砌石排水沟</w:t>
            </w:r>
            <w:r>
              <w:rPr>
                <w:sz w:val="20"/>
                <w:szCs w:val="20"/>
                <w:lang w:val="en-US"/>
              </w:rPr>
              <w:t>503</w:t>
            </w:r>
            <w:r>
              <w:rPr>
                <w:rFonts w:hint="eastAsia"/>
                <w:sz w:val="20"/>
                <w:szCs w:val="20"/>
                <w:lang w:val="en-US"/>
              </w:rPr>
              <w:t>m；方案新增</w:t>
            </w:r>
            <w:r>
              <w:rPr>
                <w:rFonts w:hint="eastAsia"/>
                <w:sz w:val="20"/>
                <w:szCs w:val="20"/>
              </w:rPr>
              <w:t>沉沙池</w:t>
            </w:r>
            <w:r>
              <w:rPr>
                <w:sz w:val="20"/>
                <w:szCs w:val="20"/>
                <w:lang w:val="en-US"/>
              </w:rPr>
              <w:t>1</w:t>
            </w:r>
            <w:r>
              <w:rPr>
                <w:rFonts w:hint="eastAsia"/>
                <w:sz w:val="20"/>
                <w:szCs w:val="20"/>
                <w:lang w:val="en-US"/>
              </w:rPr>
              <w:t>座，表土剥离</w:t>
            </w:r>
            <w:r>
              <w:rPr>
                <w:sz w:val="20"/>
                <w:szCs w:val="20"/>
                <w:lang w:val="en-US"/>
              </w:rPr>
              <w:t>0.93hm</w:t>
            </w:r>
            <w:r>
              <w:rPr>
                <w:sz w:val="20"/>
                <w:szCs w:val="20"/>
                <w:vertAlign w:val="superscript"/>
                <w:lang w:val="en-US"/>
              </w:rPr>
              <w:t>2</w:t>
            </w:r>
            <w:r>
              <w:rPr>
                <w:rFonts w:hint="eastAsia"/>
                <w:sz w:val="20"/>
                <w:szCs w:val="20"/>
                <w:lang w:val="en-US"/>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w:t>
            </w:r>
          </w:p>
        </w:tc>
        <w:tc>
          <w:tcPr>
            <w:tcW w:w="2222" w:type="dxa"/>
            <w:gridSpan w:val="4"/>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方案新增临时堆土防雨布覆盖600m</w:t>
            </w:r>
            <w:r>
              <w:rPr>
                <w:sz w:val="20"/>
                <w:szCs w:val="20"/>
                <w:vertAlign w:val="superscript"/>
              </w:rPr>
              <w:t>2</w:t>
            </w:r>
            <w:r>
              <w:rPr>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施工生产生活区</w:t>
            </w:r>
          </w:p>
        </w:tc>
        <w:tc>
          <w:tcPr>
            <w:tcW w:w="2411" w:type="dxa"/>
            <w:gridSpan w:val="3"/>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w:t>
            </w:r>
            <w:r>
              <w:rPr>
                <w:sz w:val="20"/>
                <w:szCs w:val="20"/>
                <w:lang w:val="en-US"/>
              </w:rPr>
              <w:t>1.06hm</w:t>
            </w:r>
            <w:r>
              <w:rPr>
                <w:sz w:val="20"/>
                <w:szCs w:val="20"/>
                <w:vertAlign w:val="superscript"/>
                <w:lang w:val="en-US"/>
              </w:rPr>
              <w:t>2</w:t>
            </w:r>
            <w:r>
              <w:rPr>
                <w:sz w:val="20"/>
                <w:szCs w:val="20"/>
                <w:lang w:val="en-US"/>
              </w:rPr>
              <w:t>，表土回覆量2753m</w:t>
            </w:r>
            <w:r>
              <w:rPr>
                <w:sz w:val="20"/>
                <w:szCs w:val="20"/>
                <w:vertAlign w:val="superscript"/>
                <w:lang w:val="en-US"/>
              </w:rPr>
              <w:t>3</w:t>
            </w:r>
            <w:r>
              <w:rPr>
                <w:rFonts w:hint="eastAsia"/>
                <w:sz w:val="20"/>
                <w:szCs w:val="20"/>
                <w:lang w:val="en-US"/>
              </w:rPr>
              <w:t>，土地复耕</w:t>
            </w:r>
            <w:r>
              <w:rPr>
                <w:sz w:val="20"/>
                <w:szCs w:val="20"/>
                <w:lang w:val="en-US"/>
              </w:rPr>
              <w:t>0.75hm</w:t>
            </w:r>
            <w:r>
              <w:rPr>
                <w:sz w:val="20"/>
                <w:szCs w:val="20"/>
                <w:vertAlign w:val="superscript"/>
                <w:lang w:val="en-US"/>
              </w:rPr>
              <w:t>2</w:t>
            </w:r>
            <w:r>
              <w:rPr>
                <w:rFonts w:hint="eastAsia"/>
                <w:sz w:val="20"/>
                <w:szCs w:val="20"/>
                <w:lang w:val="en-US"/>
              </w:rPr>
              <w:t>，</w:t>
            </w:r>
            <w:r>
              <w:rPr>
                <w:sz w:val="20"/>
                <w:szCs w:val="20"/>
                <w:lang w:val="en-US"/>
              </w:rPr>
              <w:t>土地整治0.32hm</w:t>
            </w:r>
            <w:r>
              <w:rPr>
                <w:sz w:val="20"/>
                <w:szCs w:val="20"/>
                <w:vertAlign w:val="superscript"/>
                <w:lang w:val="en-US"/>
              </w:rPr>
              <w:t>2</w:t>
            </w:r>
            <w:r>
              <w:rPr>
                <w:rFonts w:hint="eastAsia"/>
                <w:sz w:val="20"/>
                <w:szCs w:val="20"/>
                <w:lang w:val="en-US"/>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z w:val="20"/>
                <w:szCs w:val="20"/>
              </w:rPr>
            </w:pPr>
            <w:r>
              <w:rPr>
                <w:sz w:val="20"/>
                <w:szCs w:val="20"/>
              </w:rPr>
              <w:t>方案新增</w:t>
            </w:r>
            <w:r>
              <w:rPr>
                <w:sz w:val="20"/>
                <w:szCs w:val="20"/>
                <w:lang w:val="en-US"/>
              </w:rPr>
              <w:t>撒草绿化0.32hm</w:t>
            </w:r>
            <w:r>
              <w:rPr>
                <w:sz w:val="20"/>
                <w:szCs w:val="20"/>
                <w:vertAlign w:val="superscript"/>
                <w:lang w:val="en-US"/>
              </w:rPr>
              <w:t>2</w:t>
            </w:r>
            <w:r>
              <w:rPr>
                <w:sz w:val="20"/>
                <w:szCs w:val="20"/>
                <w:lang w:val="en-US"/>
              </w:rPr>
              <w:t>，栽植灌木0.32hm</w:t>
            </w:r>
            <w:r>
              <w:rPr>
                <w:sz w:val="20"/>
                <w:szCs w:val="20"/>
                <w:vertAlign w:val="superscript"/>
                <w:lang w:val="en-US"/>
              </w:rPr>
              <w:t>2</w:t>
            </w:r>
            <w:r>
              <w:rPr>
                <w:sz w:val="20"/>
                <w:szCs w:val="20"/>
                <w:lang w:val="en-US"/>
              </w:rPr>
              <w:t>（1423株）。</w:t>
            </w:r>
          </w:p>
        </w:tc>
        <w:tc>
          <w:tcPr>
            <w:tcW w:w="2222" w:type="dxa"/>
            <w:gridSpan w:val="4"/>
          </w:tcPr>
          <w:p>
            <w:pPr>
              <w:pStyle w:val="81"/>
              <w:keepNext w:val="0"/>
              <w:keepLines w:val="0"/>
              <w:suppressLineNumbers w:val="0"/>
              <w:spacing w:before="0" w:beforeAutospacing="0" w:after="0" w:afterAutospacing="0"/>
              <w:ind w:left="-72" w:right="-72"/>
              <w:jc w:val="both"/>
              <w:rPr>
                <w:sz w:val="20"/>
                <w:szCs w:val="20"/>
                <w:lang w:val="en-US"/>
              </w:rPr>
            </w:pPr>
            <w:r>
              <w:rPr>
                <w:sz w:val="20"/>
                <w:szCs w:val="20"/>
              </w:rPr>
              <w:t>方案新增</w:t>
            </w:r>
            <w:r>
              <w:rPr>
                <w:sz w:val="20"/>
                <w:szCs w:val="20"/>
                <w:lang w:val="en-US"/>
              </w:rPr>
              <w:t>临时排水沟650m，临时沉沙池2座，材料防雨布覆盖</w:t>
            </w:r>
            <w:r>
              <w:rPr>
                <w:rFonts w:hint="eastAsia"/>
                <w:sz w:val="20"/>
                <w:szCs w:val="20"/>
                <w:lang w:val="en-US"/>
              </w:rPr>
              <w:t>8</w:t>
            </w:r>
            <w:r>
              <w:rPr>
                <w:sz w:val="20"/>
                <w:szCs w:val="20"/>
                <w:lang w:val="en-US"/>
              </w:rPr>
              <w:t>00m</w:t>
            </w:r>
            <w:r>
              <w:rPr>
                <w:sz w:val="20"/>
                <w:szCs w:val="20"/>
                <w:vertAlign w:val="superscript"/>
                <w:lang w:val="en-US"/>
              </w:rPr>
              <w:t>2</w:t>
            </w:r>
            <w:r>
              <w:rPr>
                <w:rFonts w:hint="eastAsia"/>
                <w:sz w:val="20"/>
                <w:szCs w:val="20"/>
                <w:lang w:val="en-US"/>
              </w:rPr>
              <w:t>，表土防雨布覆盖</w:t>
            </w:r>
            <w:r>
              <w:rPr>
                <w:sz w:val="20"/>
                <w:szCs w:val="20"/>
                <w:lang w:val="en-US"/>
              </w:rPr>
              <w:t>901m</w:t>
            </w:r>
            <w:r>
              <w:rPr>
                <w:sz w:val="20"/>
                <w:szCs w:val="20"/>
                <w:vertAlign w:val="superscript"/>
                <w:lang w:val="en-US"/>
              </w:rPr>
              <w:t>2</w:t>
            </w:r>
            <w:r>
              <w:rPr>
                <w:rFonts w:hint="eastAsia"/>
                <w:sz w:val="20"/>
                <w:szCs w:val="20"/>
                <w:lang w:val="en-US"/>
              </w:rPr>
              <w:t>，</w:t>
            </w:r>
            <w:r>
              <w:rPr>
                <w:sz w:val="20"/>
                <w:szCs w:val="20"/>
                <w:lang w:val="en-US"/>
              </w:rPr>
              <w:t>编织袋装土拦挡</w:t>
            </w:r>
            <w:r>
              <w:rPr>
                <w:rFonts w:hint="eastAsia"/>
                <w:sz w:val="20"/>
                <w:szCs w:val="20"/>
                <w:lang w:val="en-US"/>
              </w:rPr>
              <w:t>2</w:t>
            </w:r>
            <w:r>
              <w:rPr>
                <w:sz w:val="20"/>
                <w:szCs w:val="20"/>
                <w:lang w:val="en-US"/>
              </w:rPr>
              <w:t>19m</w:t>
            </w:r>
            <w:r>
              <w:rPr>
                <w:rFonts w:hint="eastAsia"/>
                <w:sz w:val="20"/>
                <w:szCs w:val="20"/>
                <w:lang w:val="en-US"/>
              </w:rPr>
              <w:t>（装土</w:t>
            </w:r>
            <w:r>
              <w:rPr>
                <w:sz w:val="20"/>
                <w:szCs w:val="20"/>
                <w:lang w:val="en-US"/>
              </w:rPr>
              <w:t>和拆除量219m</w:t>
            </w:r>
            <w:r>
              <w:rPr>
                <w:sz w:val="20"/>
                <w:szCs w:val="20"/>
                <w:vertAlign w:val="superscript"/>
                <w:lang w:val="en-US"/>
              </w:rPr>
              <w:t>3</w:t>
            </w:r>
            <w:r>
              <w:rPr>
                <w:rFonts w:hint="eastAsia"/>
                <w:sz w:val="20"/>
                <w:szCs w:val="20"/>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弃渣场</w:t>
            </w:r>
          </w:p>
        </w:tc>
        <w:tc>
          <w:tcPr>
            <w:tcW w:w="2411" w:type="dxa"/>
            <w:gridSpan w:val="3"/>
            <w:vAlign w:val="center"/>
          </w:tcPr>
          <w:p>
            <w:pPr>
              <w:pStyle w:val="81"/>
              <w:keepNext w:val="0"/>
              <w:keepLines w:val="0"/>
              <w:suppressLineNumbers w:val="0"/>
              <w:spacing w:before="0" w:beforeAutospacing="0" w:after="0" w:afterAutospacing="0"/>
              <w:ind w:left="-72" w:right="-72"/>
              <w:jc w:val="both"/>
              <w:rPr>
                <w:smallCaps w:val="0"/>
                <w:sz w:val="20"/>
                <w:szCs w:val="20"/>
                <w:lang w:val="en-US"/>
              </w:rPr>
            </w:pPr>
            <w:r>
              <w:rPr>
                <w:sz w:val="20"/>
                <w:szCs w:val="20"/>
              </w:rPr>
              <w:t>主体已列浆砌石挡渣墙</w:t>
            </w:r>
            <w:r>
              <w:rPr>
                <w:sz w:val="20"/>
                <w:szCs w:val="20"/>
                <w:lang w:val="en-US"/>
              </w:rPr>
              <w:t>21</w:t>
            </w:r>
            <w:r>
              <w:rPr>
                <w:rFonts w:hint="eastAsia"/>
                <w:sz w:val="20"/>
                <w:szCs w:val="20"/>
                <w:lang w:val="en-US"/>
              </w:rPr>
              <w:t>m，</w:t>
            </w:r>
            <w:r>
              <w:rPr>
                <w:sz w:val="20"/>
                <w:szCs w:val="20"/>
                <w:lang w:val="en-US"/>
              </w:rPr>
              <w:t>浆砌石</w:t>
            </w:r>
            <w:r>
              <w:rPr>
                <w:rFonts w:hint="eastAsia"/>
                <w:sz w:val="20"/>
                <w:szCs w:val="20"/>
                <w:lang w:val="en-US"/>
              </w:rPr>
              <w:t>护脚墙</w:t>
            </w:r>
            <w:r>
              <w:rPr>
                <w:sz w:val="20"/>
                <w:szCs w:val="20"/>
                <w:lang w:val="en-US"/>
              </w:rPr>
              <w:t>210</w:t>
            </w:r>
            <w:r>
              <w:rPr>
                <w:rFonts w:hint="eastAsia"/>
                <w:sz w:val="20"/>
                <w:szCs w:val="20"/>
                <w:lang w:val="en-US"/>
              </w:rPr>
              <w:t>m，浆砌石排水沟</w:t>
            </w:r>
            <w:r>
              <w:rPr>
                <w:sz w:val="20"/>
                <w:szCs w:val="20"/>
                <w:lang w:val="en-US"/>
              </w:rPr>
              <w:t>941</w:t>
            </w:r>
            <w:r>
              <w:rPr>
                <w:rFonts w:hint="eastAsia"/>
                <w:sz w:val="20"/>
                <w:szCs w:val="20"/>
                <w:lang w:val="en-US"/>
              </w:rPr>
              <w:t>m，浆砌石马道边沟</w:t>
            </w:r>
            <w:r>
              <w:rPr>
                <w:sz w:val="20"/>
                <w:szCs w:val="20"/>
                <w:lang w:val="en-US"/>
              </w:rPr>
              <w:t>154</w:t>
            </w:r>
            <w:r>
              <w:rPr>
                <w:rFonts w:hint="eastAsia"/>
                <w:sz w:val="20"/>
                <w:szCs w:val="20"/>
                <w:lang w:val="en-US"/>
              </w:rPr>
              <w:t>m，浆砌石沉淀消能池</w:t>
            </w:r>
            <w:r>
              <w:rPr>
                <w:sz w:val="20"/>
                <w:szCs w:val="20"/>
                <w:lang w:val="en-US"/>
              </w:rPr>
              <w:t>2</w:t>
            </w:r>
            <w:r>
              <w:rPr>
                <w:rFonts w:hint="eastAsia"/>
                <w:sz w:val="20"/>
                <w:szCs w:val="20"/>
                <w:lang w:val="en-US"/>
              </w:rPr>
              <w:t>座；方案新增干砌石盲沟</w:t>
            </w:r>
            <w:r>
              <w:rPr>
                <w:sz w:val="20"/>
                <w:szCs w:val="20"/>
                <w:lang w:val="en-US"/>
              </w:rPr>
              <w:t>426</w:t>
            </w:r>
            <w:r>
              <w:rPr>
                <w:rFonts w:hint="eastAsia"/>
                <w:sz w:val="20"/>
                <w:szCs w:val="20"/>
                <w:lang w:val="en-US"/>
              </w:rPr>
              <w:t>m，</w:t>
            </w:r>
            <w:r>
              <w:rPr>
                <w:sz w:val="20"/>
                <w:szCs w:val="20"/>
                <w:lang w:val="en-US"/>
              </w:rPr>
              <w:t>表土剥离2.71hm</w:t>
            </w:r>
            <w:r>
              <w:rPr>
                <w:sz w:val="20"/>
                <w:szCs w:val="20"/>
                <w:vertAlign w:val="superscript"/>
                <w:lang w:val="en-US"/>
              </w:rPr>
              <w:t>2</w:t>
            </w:r>
            <w:r>
              <w:rPr>
                <w:sz w:val="20"/>
                <w:szCs w:val="20"/>
                <w:lang w:val="en-US"/>
              </w:rPr>
              <w:t>，表土回覆6203m</w:t>
            </w:r>
            <w:r>
              <w:rPr>
                <w:sz w:val="20"/>
                <w:szCs w:val="20"/>
                <w:vertAlign w:val="superscript"/>
                <w:lang w:val="en-US"/>
              </w:rPr>
              <w:t>3</w:t>
            </w:r>
            <w:r>
              <w:rPr>
                <w:sz w:val="20"/>
                <w:szCs w:val="20"/>
                <w:lang w:val="en-US"/>
              </w:rPr>
              <w:t>，</w:t>
            </w:r>
            <w:r>
              <w:rPr>
                <w:rFonts w:hint="eastAsia"/>
                <w:sz w:val="20"/>
                <w:szCs w:val="20"/>
                <w:lang w:val="en-US"/>
              </w:rPr>
              <w:t>土地</w:t>
            </w:r>
            <w:r>
              <w:rPr>
                <w:sz w:val="20"/>
                <w:szCs w:val="20"/>
                <w:lang w:val="en-US"/>
              </w:rPr>
              <w:t>复耕0.74hm</w:t>
            </w:r>
            <w:r>
              <w:rPr>
                <w:sz w:val="20"/>
                <w:szCs w:val="20"/>
                <w:vertAlign w:val="superscript"/>
                <w:lang w:val="en-US"/>
              </w:rPr>
              <w:t>2</w:t>
            </w:r>
            <w:r>
              <w:rPr>
                <w:rFonts w:hint="eastAsia"/>
                <w:sz w:val="20"/>
                <w:szCs w:val="20"/>
                <w:lang w:val="en-US"/>
              </w:rPr>
              <w:t>，</w:t>
            </w:r>
            <w:r>
              <w:rPr>
                <w:sz w:val="20"/>
                <w:szCs w:val="20"/>
                <w:lang w:val="en-US"/>
              </w:rPr>
              <w:t>土地整治2.16hm</w:t>
            </w:r>
            <w:r>
              <w:rPr>
                <w:sz w:val="20"/>
                <w:szCs w:val="20"/>
                <w:vertAlign w:val="superscript"/>
                <w:lang w:val="en-US"/>
              </w:rPr>
              <w:t>2</w:t>
            </w:r>
            <w:r>
              <w:rPr>
                <w:rFonts w:hint="eastAsia"/>
                <w:sz w:val="20"/>
                <w:szCs w:val="20"/>
                <w:lang w:val="en-US"/>
              </w:rPr>
              <w:t>。</w:t>
            </w:r>
          </w:p>
        </w:tc>
        <w:tc>
          <w:tcPr>
            <w:tcW w:w="1932" w:type="dxa"/>
            <w:gridSpan w:val="2"/>
            <w:vAlign w:val="center"/>
          </w:tcPr>
          <w:p>
            <w:pPr>
              <w:pStyle w:val="81"/>
              <w:keepNext w:val="0"/>
              <w:keepLines w:val="0"/>
              <w:suppressLineNumbers w:val="0"/>
              <w:spacing w:before="0" w:beforeAutospacing="0" w:after="0" w:afterAutospacing="0"/>
              <w:ind w:left="-72" w:right="-72"/>
              <w:jc w:val="both"/>
              <w:rPr>
                <w:smallCaps w:val="0"/>
                <w:sz w:val="20"/>
                <w:szCs w:val="20"/>
              </w:rPr>
            </w:pPr>
            <w:r>
              <w:rPr>
                <w:sz w:val="20"/>
                <w:szCs w:val="20"/>
              </w:rPr>
              <w:t>方案新增</w:t>
            </w:r>
            <w:r>
              <w:rPr>
                <w:sz w:val="20"/>
                <w:szCs w:val="20"/>
                <w:lang w:val="en-US"/>
              </w:rPr>
              <w:t>撒草绿化2.16hm</w:t>
            </w:r>
            <w:r>
              <w:rPr>
                <w:sz w:val="20"/>
                <w:szCs w:val="20"/>
                <w:vertAlign w:val="superscript"/>
                <w:lang w:val="en-US"/>
              </w:rPr>
              <w:t>2</w:t>
            </w:r>
            <w:r>
              <w:rPr>
                <w:sz w:val="20"/>
                <w:szCs w:val="20"/>
                <w:lang w:val="en-US"/>
              </w:rPr>
              <w:t>，栽植灌木2.16hm</w:t>
            </w:r>
            <w:r>
              <w:rPr>
                <w:sz w:val="20"/>
                <w:szCs w:val="20"/>
                <w:vertAlign w:val="superscript"/>
                <w:lang w:val="en-US"/>
              </w:rPr>
              <w:t>2</w:t>
            </w:r>
            <w:r>
              <w:rPr>
                <w:sz w:val="20"/>
                <w:szCs w:val="20"/>
                <w:lang w:val="en-US"/>
              </w:rPr>
              <w:t>（9595株）。</w:t>
            </w:r>
          </w:p>
        </w:tc>
        <w:tc>
          <w:tcPr>
            <w:tcW w:w="2222" w:type="dxa"/>
            <w:gridSpan w:val="4"/>
            <w:vAlign w:val="center"/>
          </w:tcPr>
          <w:p>
            <w:pPr>
              <w:pStyle w:val="81"/>
              <w:keepNext w:val="0"/>
              <w:keepLines w:val="0"/>
              <w:suppressLineNumbers w:val="0"/>
              <w:spacing w:before="0" w:beforeAutospacing="0" w:after="0" w:afterAutospacing="0"/>
              <w:ind w:left="-72" w:right="-72"/>
              <w:jc w:val="both"/>
              <w:rPr>
                <w:smallCaps w:val="0"/>
                <w:sz w:val="20"/>
                <w:szCs w:val="20"/>
              </w:rPr>
            </w:pPr>
            <w:r>
              <w:rPr>
                <w:sz w:val="20"/>
                <w:szCs w:val="20"/>
              </w:rPr>
              <w:t>方案新增</w:t>
            </w:r>
            <w:r>
              <w:rPr>
                <w:sz w:val="20"/>
                <w:szCs w:val="20"/>
                <w:lang w:val="en-US"/>
              </w:rPr>
              <w:t>表土堆场编织袋装土拦挡</w:t>
            </w:r>
            <w:r>
              <w:rPr>
                <w:rFonts w:hint="eastAsia"/>
                <w:sz w:val="20"/>
                <w:szCs w:val="20"/>
                <w:lang w:val="en-US"/>
              </w:rPr>
              <w:t>1</w:t>
            </w:r>
            <w:r>
              <w:rPr>
                <w:sz w:val="20"/>
                <w:szCs w:val="20"/>
                <w:lang w:val="en-US"/>
              </w:rPr>
              <w:t>07m</w:t>
            </w:r>
            <w:r>
              <w:rPr>
                <w:rFonts w:hint="eastAsia"/>
                <w:sz w:val="20"/>
                <w:szCs w:val="20"/>
                <w:lang w:val="en-US"/>
              </w:rPr>
              <w:t>（装土</w:t>
            </w:r>
            <w:r>
              <w:rPr>
                <w:sz w:val="20"/>
                <w:szCs w:val="20"/>
                <w:lang w:val="en-US"/>
              </w:rPr>
              <w:t>和拆除量107m</w:t>
            </w:r>
            <w:r>
              <w:rPr>
                <w:sz w:val="20"/>
                <w:szCs w:val="20"/>
                <w:vertAlign w:val="superscript"/>
                <w:lang w:val="en-US"/>
              </w:rPr>
              <w:t>3</w:t>
            </w:r>
            <w:r>
              <w:rPr>
                <w:rFonts w:hint="eastAsia"/>
                <w:sz w:val="20"/>
                <w:szCs w:val="20"/>
                <w:lang w:val="en-US"/>
              </w:rPr>
              <w:t>）</w:t>
            </w:r>
            <w:r>
              <w:rPr>
                <w:sz w:val="20"/>
                <w:szCs w:val="20"/>
                <w:lang w:val="en-US"/>
              </w:rPr>
              <w:t>，堆土防雨布覆盖3103m</w:t>
            </w:r>
            <w:r>
              <w:rPr>
                <w:sz w:val="20"/>
                <w:szCs w:val="20"/>
                <w:vertAlign w:val="superscript"/>
                <w:lang w:val="en-US"/>
              </w:rPr>
              <w:t>2</w:t>
            </w:r>
            <w:r>
              <w:rPr>
                <w:sz w:val="20"/>
                <w:szCs w:val="20"/>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648" w:type="dxa"/>
            <w:vMerge w:val="continue"/>
            <w:vAlign w:val="center"/>
          </w:tcPr>
          <w:p>
            <w:pPr>
              <w:pStyle w:val="81"/>
              <w:keepNext w:val="0"/>
              <w:keepLines w:val="0"/>
              <w:suppressLineNumbers w:val="0"/>
              <w:spacing w:before="0" w:beforeAutospacing="0" w:after="0" w:afterAutospacing="0"/>
              <w:ind w:left="-72" w:right="-72"/>
              <w:rPr>
                <w:sz w:val="20"/>
                <w:szCs w:val="20"/>
              </w:rPr>
            </w:pPr>
          </w:p>
        </w:tc>
        <w:tc>
          <w:tcPr>
            <w:tcW w:w="203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投资（万元）</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565.72</w:t>
            </w:r>
          </w:p>
          <w:p>
            <w:pPr>
              <w:pStyle w:val="81"/>
              <w:keepNext w:val="0"/>
              <w:keepLines w:val="0"/>
              <w:suppressLineNumbers w:val="0"/>
              <w:spacing w:before="0" w:beforeAutospacing="0" w:after="0" w:afterAutospacing="0"/>
              <w:ind w:left="-72" w:right="-72"/>
              <w:rPr>
                <w:sz w:val="20"/>
                <w:szCs w:val="20"/>
              </w:rPr>
            </w:pPr>
            <w:r>
              <w:rPr>
                <w:sz w:val="20"/>
                <w:szCs w:val="20"/>
              </w:rPr>
              <w:t>（方案新增147.43万元）</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69</w:t>
            </w:r>
            <w:r>
              <w:rPr>
                <w:rFonts w:hint="eastAsia"/>
                <w:sz w:val="20"/>
                <w:szCs w:val="20"/>
              </w:rPr>
              <w:t>.</w:t>
            </w:r>
            <w:r>
              <w:rPr>
                <w:sz w:val="20"/>
                <w:szCs w:val="20"/>
              </w:rPr>
              <w:t>58</w:t>
            </w:r>
          </w:p>
          <w:p>
            <w:pPr>
              <w:pStyle w:val="81"/>
              <w:keepNext w:val="0"/>
              <w:keepLines w:val="0"/>
              <w:suppressLineNumbers w:val="0"/>
              <w:spacing w:before="0" w:beforeAutospacing="0" w:after="0" w:afterAutospacing="0"/>
              <w:ind w:left="-72" w:right="-72"/>
              <w:rPr>
                <w:sz w:val="20"/>
                <w:szCs w:val="20"/>
              </w:rPr>
            </w:pPr>
            <w:r>
              <w:rPr>
                <w:rFonts w:hint="eastAsia"/>
                <w:sz w:val="20"/>
                <w:szCs w:val="20"/>
              </w:rPr>
              <w:t>（全部为方案新增）</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614.77</w:t>
            </w:r>
          </w:p>
          <w:p>
            <w:pPr>
              <w:pStyle w:val="81"/>
              <w:keepNext w:val="0"/>
              <w:keepLines w:val="0"/>
              <w:suppressLineNumbers w:val="0"/>
              <w:spacing w:before="0" w:beforeAutospacing="0" w:after="0" w:afterAutospacing="0"/>
              <w:ind w:left="-72" w:right="-72"/>
              <w:rPr>
                <w:sz w:val="20"/>
                <w:szCs w:val="20"/>
              </w:rPr>
            </w:pPr>
            <w:r>
              <w:rPr>
                <w:rFonts w:hint="eastAsia"/>
                <w:sz w:val="20"/>
                <w:szCs w:val="20"/>
              </w:rPr>
              <w:t>（全部为方案新增）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水土保持总投资（万元）</w:t>
            </w:r>
          </w:p>
        </w:tc>
        <w:tc>
          <w:tcPr>
            <w:tcW w:w="2411"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1537.43(方案新增投资1119.14万元)</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独立费用（万元）</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124.33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2679"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监理费（万元）</w:t>
            </w:r>
          </w:p>
        </w:tc>
        <w:tc>
          <w:tcPr>
            <w:tcW w:w="1075" w:type="dxa"/>
            <w:vAlign w:val="center"/>
          </w:tcPr>
          <w:p>
            <w:pPr>
              <w:pStyle w:val="81"/>
              <w:keepNext w:val="0"/>
              <w:keepLines w:val="0"/>
              <w:suppressLineNumbers w:val="0"/>
              <w:spacing w:before="0" w:beforeAutospacing="0" w:after="0" w:afterAutospacing="0"/>
              <w:ind w:left="-72" w:right="-72"/>
              <w:rPr>
                <w:sz w:val="20"/>
                <w:szCs w:val="20"/>
              </w:rPr>
            </w:pPr>
            <w:r>
              <w:rPr>
                <w:sz w:val="20"/>
                <w:szCs w:val="20"/>
              </w:rPr>
              <w:t>29.15</w:t>
            </w:r>
          </w:p>
        </w:tc>
        <w:tc>
          <w:tcPr>
            <w:tcW w:w="1336"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监测费(万元)</w:t>
            </w:r>
          </w:p>
        </w:tc>
        <w:tc>
          <w:tcPr>
            <w:tcW w:w="1932" w:type="dxa"/>
            <w:gridSpan w:val="2"/>
            <w:vAlign w:val="center"/>
          </w:tcPr>
          <w:p>
            <w:pPr>
              <w:pStyle w:val="81"/>
              <w:keepNext w:val="0"/>
              <w:keepLines w:val="0"/>
              <w:suppressLineNumbers w:val="0"/>
              <w:spacing w:before="0" w:beforeAutospacing="0" w:after="0" w:afterAutospacing="0"/>
              <w:ind w:left="-72" w:right="-72"/>
              <w:rPr>
                <w:sz w:val="20"/>
                <w:szCs w:val="20"/>
              </w:rPr>
            </w:pPr>
            <w:r>
              <w:rPr>
                <w:sz w:val="20"/>
                <w:szCs w:val="20"/>
              </w:rPr>
              <w:t>36.25</w:t>
            </w:r>
          </w:p>
        </w:tc>
        <w:tc>
          <w:tcPr>
            <w:tcW w:w="1424"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补偿费（万元）</w:t>
            </w:r>
          </w:p>
        </w:tc>
        <w:tc>
          <w:tcPr>
            <w:tcW w:w="798" w:type="dxa"/>
            <w:vAlign w:val="center"/>
          </w:tcPr>
          <w:p>
            <w:pPr>
              <w:pStyle w:val="81"/>
              <w:keepNext w:val="0"/>
              <w:keepLines w:val="0"/>
              <w:suppressLineNumbers w:val="0"/>
              <w:spacing w:before="0" w:beforeAutospacing="0" w:after="0" w:afterAutospacing="0"/>
              <w:ind w:left="-72" w:right="-72"/>
              <w:rPr>
                <w:sz w:val="20"/>
                <w:szCs w:val="20"/>
              </w:rPr>
            </w:pPr>
            <w:r>
              <w:rPr>
                <w:sz w:val="20"/>
                <w:szCs w:val="20"/>
              </w:rPr>
              <w:t>67.24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方案编制单位</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中煤科工重庆设计研究院（集团）有限公司</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建设单位</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长江三峡集团重庆能源投资有限公司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pacing w:val="-10"/>
                <w:sz w:val="20"/>
                <w:szCs w:val="20"/>
              </w:rPr>
              <w:t>法定代表人及电话</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薛巍</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pacing w:val="-10"/>
                <w:sz w:val="20"/>
                <w:szCs w:val="20"/>
              </w:rPr>
              <w:t>法定代表人及电话</w:t>
            </w:r>
          </w:p>
        </w:tc>
        <w:tc>
          <w:tcPr>
            <w:tcW w:w="2222" w:type="dxa"/>
            <w:gridSpan w:val="4"/>
            <w:vAlign w:val="center"/>
          </w:tcPr>
          <w:p>
            <w:pPr>
              <w:pStyle w:val="81"/>
              <w:keepNext w:val="0"/>
              <w:keepLines w:val="0"/>
              <w:suppressLineNumbers w:val="0"/>
              <w:spacing w:before="0" w:beforeAutospacing="0" w:after="0" w:afterAutospacing="0"/>
              <w:ind w:left="-72" w:right="-72"/>
              <w:rPr>
                <w:spacing w:val="-6"/>
                <w:sz w:val="20"/>
                <w:szCs w:val="20"/>
              </w:rPr>
            </w:pPr>
            <w:r>
              <w:rPr>
                <w:rFonts w:hint="eastAsia"/>
                <w:spacing w:val="-6"/>
                <w:sz w:val="20"/>
                <w:szCs w:val="20"/>
              </w:rPr>
              <w:t>张超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地  址</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重庆市渝中区长江二路179号</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地   址</w:t>
            </w:r>
          </w:p>
        </w:tc>
        <w:tc>
          <w:tcPr>
            <w:tcW w:w="2222" w:type="dxa"/>
            <w:gridSpan w:val="4"/>
            <w:vAlign w:val="center"/>
          </w:tcPr>
          <w:p>
            <w:pPr>
              <w:pStyle w:val="81"/>
              <w:keepNext w:val="0"/>
              <w:keepLines w:val="0"/>
              <w:suppressLineNumbers w:val="0"/>
              <w:spacing w:before="0" w:beforeAutospacing="0" w:after="0" w:afterAutospacing="0"/>
              <w:ind w:left="-72" w:right="-72"/>
              <w:rPr>
                <w:spacing w:val="-6"/>
                <w:sz w:val="20"/>
                <w:szCs w:val="20"/>
              </w:rPr>
            </w:pPr>
            <w:r>
              <w:rPr>
                <w:rFonts w:hint="eastAsia"/>
                <w:spacing w:val="-6"/>
                <w:sz w:val="20"/>
                <w:szCs w:val="20"/>
              </w:rPr>
              <w:t>重庆市巴南区鱼洞巴县大道68号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邮政编码</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400016</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邮政编码</w:t>
            </w:r>
          </w:p>
        </w:tc>
        <w:tc>
          <w:tcPr>
            <w:tcW w:w="2222" w:type="dxa"/>
            <w:gridSpan w:val="4"/>
            <w:vAlign w:val="center"/>
          </w:tcPr>
          <w:p>
            <w:pPr>
              <w:pStyle w:val="81"/>
              <w:keepNext w:val="0"/>
              <w:keepLines w:val="0"/>
              <w:suppressLineNumbers w:val="0"/>
              <w:spacing w:before="0" w:beforeAutospacing="0" w:after="0" w:afterAutospacing="0"/>
              <w:ind w:left="-72" w:right="-72"/>
              <w:rPr>
                <w:spacing w:val="-6"/>
                <w:sz w:val="20"/>
                <w:szCs w:val="20"/>
              </w:rPr>
            </w:pPr>
            <w:r>
              <w:rPr>
                <w:rFonts w:hint="eastAsia"/>
                <w:spacing w:val="-6"/>
                <w:sz w:val="20"/>
                <w:szCs w:val="20"/>
                <w:lang w:val="en-US"/>
              </w:rPr>
              <w:t>401320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联系人及电话</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rFonts w:hint="eastAsia"/>
                <w:sz w:val="20"/>
                <w:szCs w:val="20"/>
              </w:rPr>
              <w:t>张学伍</w:t>
            </w:r>
            <w:r>
              <w:rPr>
                <w:sz w:val="20"/>
                <w:szCs w:val="20"/>
              </w:rPr>
              <w:t>/18</w:t>
            </w:r>
            <w:r>
              <w:rPr>
                <w:rFonts w:hint="eastAsia"/>
                <w:sz w:val="20"/>
                <w:szCs w:val="20"/>
                <w:lang w:val="en-US" w:eastAsia="zh-CN"/>
              </w:rPr>
              <w:t>***</w:t>
            </w:r>
            <w:r>
              <w:rPr>
                <w:sz w:val="20"/>
                <w:szCs w:val="20"/>
              </w:rPr>
              <w:t>22</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联系人及电话</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rFonts w:hint="eastAsia"/>
                <w:sz w:val="20"/>
                <w:szCs w:val="20"/>
                <w:lang w:val="en-US"/>
              </w:rPr>
              <w:t>石宇航</w:t>
            </w:r>
            <w:r>
              <w:rPr>
                <w:rFonts w:hint="eastAsia"/>
                <w:sz w:val="20"/>
                <w:szCs w:val="20"/>
              </w:rPr>
              <w:t>/</w:t>
            </w:r>
            <w:r>
              <w:rPr>
                <w:rFonts w:hint="eastAsia"/>
                <w:sz w:val="20"/>
                <w:szCs w:val="20"/>
                <w:lang w:val="en-US"/>
              </w:rPr>
              <w:t>1</w:t>
            </w:r>
            <w:r>
              <w:rPr>
                <w:sz w:val="20"/>
                <w:szCs w:val="20"/>
                <w:lang w:val="en-US"/>
              </w:rPr>
              <w:t>8</w:t>
            </w:r>
            <w:r>
              <w:rPr>
                <w:rFonts w:hint="eastAsia"/>
                <w:sz w:val="20"/>
                <w:szCs w:val="20"/>
                <w:lang w:val="en-US" w:eastAsia="zh-CN"/>
              </w:rPr>
              <w:t>***</w:t>
            </w:r>
            <w:r>
              <w:rPr>
                <w:sz w:val="20"/>
                <w:szCs w:val="20"/>
                <w:lang w:val="en-US"/>
              </w:rPr>
              <w:t>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传  真</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023</w:t>
            </w:r>
            <w:r>
              <w:rPr>
                <w:rFonts w:hint="eastAsia"/>
                <w:sz w:val="20"/>
                <w:szCs w:val="20"/>
              </w:rPr>
              <w:t>-</w:t>
            </w:r>
            <w:r>
              <w:rPr>
                <w:sz w:val="20"/>
                <w:szCs w:val="20"/>
              </w:rPr>
              <w:t>68</w:t>
            </w:r>
            <w:r>
              <w:rPr>
                <w:rFonts w:hint="eastAsia"/>
                <w:sz w:val="20"/>
                <w:szCs w:val="20"/>
                <w:lang w:val="en-US" w:eastAsia="zh-CN"/>
              </w:rPr>
              <w:t>***</w:t>
            </w:r>
            <w:r>
              <w:rPr>
                <w:sz w:val="20"/>
                <w:szCs w:val="20"/>
              </w:rPr>
              <w:t>05</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传  真</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rFonts w:hint="eastAsia"/>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518"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电子信箱</w:t>
            </w:r>
          </w:p>
        </w:tc>
        <w:tc>
          <w:tcPr>
            <w:tcW w:w="2939"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30</w:t>
            </w:r>
            <w:r>
              <w:rPr>
                <w:rFonts w:hint="eastAsia"/>
                <w:sz w:val="20"/>
                <w:szCs w:val="20"/>
                <w:lang w:val="en-US" w:eastAsia="zh-CN"/>
              </w:rPr>
              <w:t>***</w:t>
            </w:r>
            <w:r>
              <w:rPr>
                <w:sz w:val="20"/>
                <w:szCs w:val="20"/>
              </w:rPr>
              <w:t>56@qq.com</w:t>
            </w:r>
          </w:p>
        </w:tc>
        <w:tc>
          <w:tcPr>
            <w:tcW w:w="2565" w:type="dxa"/>
            <w:gridSpan w:val="3"/>
            <w:vAlign w:val="center"/>
          </w:tcPr>
          <w:p>
            <w:pPr>
              <w:pStyle w:val="81"/>
              <w:keepNext w:val="0"/>
              <w:keepLines w:val="0"/>
              <w:suppressLineNumbers w:val="0"/>
              <w:spacing w:before="0" w:beforeAutospacing="0" w:after="0" w:afterAutospacing="0"/>
              <w:ind w:left="-72" w:right="-72"/>
              <w:rPr>
                <w:sz w:val="20"/>
                <w:szCs w:val="20"/>
              </w:rPr>
            </w:pPr>
            <w:r>
              <w:rPr>
                <w:sz w:val="20"/>
                <w:szCs w:val="20"/>
              </w:rPr>
              <w:t>电子信箱</w:t>
            </w:r>
          </w:p>
        </w:tc>
        <w:tc>
          <w:tcPr>
            <w:tcW w:w="2222" w:type="dxa"/>
            <w:gridSpan w:val="4"/>
            <w:vAlign w:val="center"/>
          </w:tcPr>
          <w:p>
            <w:pPr>
              <w:pStyle w:val="81"/>
              <w:keepNext w:val="0"/>
              <w:keepLines w:val="0"/>
              <w:suppressLineNumbers w:val="0"/>
              <w:spacing w:before="0" w:beforeAutospacing="0" w:after="0" w:afterAutospacing="0"/>
              <w:ind w:left="-72" w:right="-72"/>
              <w:rPr>
                <w:sz w:val="20"/>
                <w:szCs w:val="20"/>
              </w:rPr>
            </w:pPr>
            <w:r>
              <w:rPr>
                <w:sz w:val="20"/>
                <w:szCs w:val="20"/>
              </w:rPr>
              <w:t>/</w:t>
            </w:r>
          </w:p>
        </w:tc>
      </w:tr>
    </w:tbl>
    <w:p>
      <w:pPr>
        <w:keepNext w:val="0"/>
        <w:keepLines w:val="0"/>
        <w:pageBreakBefore w:val="0"/>
        <w:kinsoku/>
        <w:wordWrap/>
        <w:overflowPunct/>
        <w:topLinePunct w:val="0"/>
        <w:autoSpaceDE/>
        <w:autoSpaceDN/>
        <w:bidi w:val="0"/>
        <w:adjustRightInd/>
        <w:spacing w:line="240" w:lineRule="auto"/>
        <w:rPr>
          <w:rFonts w:hint="eastAsia" w:ascii="Times New Roman" w:hAnsi="Times New Roman" w:eastAsia="方正黑体_GBK" w:cs="方正黑体_GBK"/>
          <w:b w:val="0"/>
          <w:color w:val="FF0000"/>
          <w:sz w:val="32"/>
          <w:szCs w:val="32"/>
        </w:rPr>
      </w:pPr>
      <w:r>
        <w:rPr>
          <w:rFonts w:hint="eastAsia" w:ascii="Times New Roman" w:hAnsi="Times New Roman" w:eastAsia="方正黑体_GBK" w:cs="方正黑体_GBK"/>
          <w:b w:val="0"/>
          <w:color w:val="FF0000"/>
          <w:sz w:val="32"/>
          <w:szCs w:val="32"/>
        </w:rPr>
        <w:br w:type="page"/>
      </w:r>
    </w:p>
    <w:p>
      <w:pPr>
        <w:snapToGrid w:val="0"/>
        <w:spacing w:line="594" w:lineRule="exact"/>
        <w:rPr>
          <w:rFonts w:hint="eastAsia" w:ascii="Times New Roman" w:hAnsi="Times New Roman" w:eastAsia="方正黑体_GBK" w:cs="Times New Roman"/>
          <w:color w:val="auto"/>
          <w:sz w:val="32"/>
          <w:szCs w:val="32"/>
          <w:lang w:val="en-US" w:eastAsia="zh-CN"/>
        </w:rPr>
      </w:pPr>
      <w:r>
        <w:rPr>
          <w:rFonts w:ascii="Times New Roman" w:hAnsi="Times New Roman" w:eastAsia="方正黑体_GBK" w:cs="Times New Roman"/>
          <w:color w:val="auto"/>
          <w:sz w:val="32"/>
          <w:szCs w:val="32"/>
        </w:rPr>
        <w:t>附件</w:t>
      </w:r>
      <w:r>
        <w:rPr>
          <w:rFonts w:hint="eastAsia" w:eastAsia="方正黑体_GBK" w:cs="Times New Roman"/>
          <w:color w:val="auto"/>
          <w:sz w:val="32"/>
          <w:szCs w:val="32"/>
          <w:lang w:val="en-US" w:eastAsia="zh-CN"/>
        </w:rPr>
        <w:t>2</w:t>
      </w:r>
    </w:p>
    <w:p>
      <w:pPr>
        <w:snapToGrid w:val="0"/>
        <w:spacing w:line="594" w:lineRule="exact"/>
        <w:jc w:val="center"/>
        <w:rPr>
          <w:rFonts w:hint="eastAsia" w:ascii="Times New Roman" w:hAnsi="Times New Roman" w:eastAsia="方正小标宋_GBK" w:cs="Times New Roman"/>
          <w:bCs/>
          <w:color w:val="auto"/>
          <w:sz w:val="44"/>
          <w:szCs w:val="44"/>
          <w:lang w:eastAsia="zh-CN"/>
        </w:rPr>
      </w:pPr>
    </w:p>
    <w:p>
      <w:pPr>
        <w:snapToGrid w:val="0"/>
        <w:spacing w:line="594" w:lineRule="exact"/>
        <w:jc w:val="center"/>
        <w:rPr>
          <w:rFonts w:ascii="Times New Roman" w:hAnsi="Times New Roman" w:eastAsia="方正小标宋_GBK" w:cs="Times New Roman"/>
          <w:color w:val="auto"/>
          <w:sz w:val="44"/>
          <w:szCs w:val="44"/>
        </w:rPr>
      </w:pPr>
      <w:r>
        <w:rPr>
          <w:rFonts w:hint="eastAsia" w:ascii="Times New Roman" w:hAnsi="Times New Roman" w:eastAsia="方正小标宋_GBK" w:cs="Times New Roman"/>
          <w:bCs/>
          <w:color w:val="auto"/>
          <w:sz w:val="44"/>
          <w:szCs w:val="44"/>
          <w:lang w:eastAsia="zh-CN"/>
        </w:rPr>
        <w:t>黔江五福岭风电二期项目</w:t>
      </w:r>
      <w:r>
        <w:rPr>
          <w:rFonts w:ascii="Times New Roman" w:hAnsi="Times New Roman" w:eastAsia="方正小标宋_GBK" w:cs="Times New Roman"/>
          <w:color w:val="auto"/>
          <w:sz w:val="44"/>
          <w:szCs w:val="44"/>
        </w:rPr>
        <w:t>水土保持</w:t>
      </w:r>
    </w:p>
    <w:p>
      <w:pPr>
        <w:snapToGrid w:val="0"/>
        <w:spacing w:line="594"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rPr>
        <w:t>方案报告书专家评审意见</w:t>
      </w:r>
    </w:p>
    <w:p>
      <w:pPr>
        <w:snapToGrid w:val="0"/>
        <w:spacing w:line="594" w:lineRule="exact"/>
        <w:ind w:firstLine="640" w:firstLineChars="200"/>
        <w:rPr>
          <w:rFonts w:ascii="Times New Roman" w:hAnsi="Times New Roman" w:eastAsia="方正仿宋_GBK" w:cs="Times New Roman"/>
          <w:sz w:val="32"/>
          <w:szCs w:val="32"/>
        </w:rPr>
      </w:pP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2023年7月21日，重庆市水利局组织召开了《黔江五福岭风电二期项目水土保持方案报告书》（以下简称《水保方案》）专家评审会。长江三峡集团重庆能源投资有限公司（</w:t>
      </w:r>
      <w:r>
        <w:rPr>
          <w:rFonts w:hint="eastAsia" w:ascii="Times New Roman" w:hAnsi="Times New Roman" w:eastAsia="方正仿宋_GBK" w:cs="Times New Roman"/>
          <w:sz w:val="32"/>
          <w:szCs w:val="32"/>
          <w:lang w:eastAsia="zh-CN"/>
        </w:rPr>
        <w:t>以下简称</w:t>
      </w:r>
      <w:r>
        <w:rPr>
          <w:rFonts w:ascii="Times New Roman" w:hAnsi="Times New Roman" w:eastAsia="方正仿宋_GBK" w:cs="Times New Roman"/>
          <w:sz w:val="32"/>
          <w:szCs w:val="32"/>
        </w:rPr>
        <w:t>项目法人）、中煤科工重庆设计研究院（集团）有限公司（</w:t>
      </w:r>
      <w:r>
        <w:rPr>
          <w:rFonts w:hint="eastAsia" w:ascii="Times New Roman" w:hAnsi="Times New Roman" w:eastAsia="方正仿宋_GBK" w:cs="Times New Roman"/>
          <w:sz w:val="32"/>
          <w:szCs w:val="32"/>
          <w:lang w:eastAsia="zh-CN"/>
        </w:rPr>
        <w:t>以下简称</w:t>
      </w:r>
      <w:r>
        <w:rPr>
          <w:rFonts w:ascii="Times New Roman" w:hAnsi="Times New Roman" w:eastAsia="方正仿宋_GBK" w:cs="Times New Roman"/>
          <w:sz w:val="32"/>
          <w:szCs w:val="32"/>
        </w:rPr>
        <w:t>报告编制单位）、中国电建集团成都勘测设计研究院有限公司（主体设计单位）的代表及评审专家参加了会议。会议成立了专家组，专家组成员会前详细审阅了《水保方案》，与会人员会上认真听取了报告编制单位的汇报，进行了深入讨论。根据</w:t>
      </w:r>
      <w:r>
        <w:rPr>
          <w:rFonts w:hint="eastAsia" w:ascii="Times New Roman" w:hAnsi="Times New Roman" w:eastAsia="方正仿宋_GBK" w:cs="Times New Roman"/>
          <w:color w:val="auto"/>
          <w:sz w:val="32"/>
          <w:szCs w:val="32"/>
        </w:rPr>
        <w:t>“办水保〔2023〕177号”</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“渝水〔2018〕267号”和“渝水规范〔2021〕2号”</w:t>
      </w:r>
      <w:r>
        <w:rPr>
          <w:rFonts w:ascii="Times New Roman" w:hAnsi="Times New Roman" w:eastAsia="方正仿宋_GBK" w:cs="Times New Roman"/>
          <w:sz w:val="32"/>
          <w:szCs w:val="32"/>
        </w:rPr>
        <w:t>，各专家对《水保方案》进行了质量评分，质量评定等级合格。报告编制单位会后对《水保方案》进行了修改、补充和完善，项目法人于2023年8月</w:t>
      </w:r>
      <w:r>
        <w:rPr>
          <w:rFonts w:hint="eastAsia" w:ascii="Times New Roman" w:hAnsi="Times New Roman" w:eastAsia="方正仿宋_GBK" w:cs="Times New Roman"/>
          <w:sz w:val="32"/>
          <w:szCs w:val="32"/>
          <w:lang w:val="en-US" w:eastAsia="zh-CN"/>
        </w:rPr>
        <w:t>17</w:t>
      </w:r>
      <w:r>
        <w:rPr>
          <w:rFonts w:ascii="Times New Roman" w:hAnsi="Times New Roman" w:eastAsia="方正仿宋_GBK" w:cs="Times New Roman"/>
          <w:sz w:val="32"/>
          <w:szCs w:val="32"/>
        </w:rPr>
        <w:t>日提交了修改完善后的《水保方案》</w:t>
      </w:r>
      <w:r>
        <w:rPr>
          <w:rFonts w:hint="eastAsia" w:ascii="Times New Roman" w:hAnsi="Times New Roman" w:eastAsia="方正仿宋_GBK" w:cs="Times New Roman"/>
          <w:sz w:val="32"/>
          <w:szCs w:val="32"/>
          <w:lang w:eastAsia="zh-CN"/>
        </w:rPr>
        <w:t>（报批稿）</w:t>
      </w:r>
      <w:r>
        <w:rPr>
          <w:rFonts w:ascii="Times New Roman" w:hAnsi="Times New Roman" w:eastAsia="方正仿宋_GBK" w:cs="Times New Roman"/>
          <w:sz w:val="32"/>
          <w:szCs w:val="32"/>
        </w:rPr>
        <w:t>。经专家组复核，形成专家评审意见如下：</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一、综合说明</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（一）方案编制所依据的法律法规、部委规章、规范性文件、标准规范、技术文件及采用的资料基本正确。</w:t>
      </w:r>
    </w:p>
    <w:p>
      <w:pPr>
        <w:snapToGrid w:val="0"/>
        <w:spacing w:line="594" w:lineRule="exact"/>
        <w:ind w:firstLine="640" w:firstLineChars="20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（二）同意方案设计水平年为2025年。</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（三）同意水土流失防治责任范围界定，该项目水土流失防治责任范围面积为48.03hm</w:t>
      </w:r>
      <w:r>
        <w:rPr>
          <w:rFonts w:ascii="Times New Roman" w:hAnsi="Times New Roman" w:eastAsia="方正仿宋_GBK" w:cs="Times New Roman"/>
          <w:sz w:val="32"/>
          <w:szCs w:val="32"/>
          <w:vertAlign w:val="superscript"/>
        </w:rPr>
        <w:t>2</w:t>
      </w:r>
      <w:r>
        <w:rPr>
          <w:rFonts w:ascii="Times New Roman" w:hAnsi="Times New Roman" w:eastAsia="方正仿宋_GBK" w:cs="Times New Roman"/>
          <w:sz w:val="32"/>
          <w:szCs w:val="32"/>
        </w:rPr>
        <w:t>。</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（四）同意项目水土流失防治标准等级执行西南紫色土区建设类项目一级标准。</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（五）同意项目水土流失防治目标。其中：水土流失治理度97%，土壤流失控制比1.0，渣土防护率90%，表土保护率92%，林草植被恢复率97%，林草覆盖率25%。</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二、项目概况</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（一）项目概况阐述基本清楚。</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黔江五福岭风电二期项目位于重庆市黔江区濯水镇、阿蓬江镇、金洞乡，为新建建设类项目，工程等级为电力工程II级，建设内容包括风力发电场、升压站，及配套的场区道路、集电线路等，</w:t>
      </w:r>
      <w:bookmarkStart w:id="1" w:name="_Hlk45097808"/>
      <w:r>
        <w:rPr>
          <w:rFonts w:ascii="Times New Roman" w:hAnsi="Times New Roman" w:eastAsia="方正仿宋_GBK" w:cs="Times New Roman"/>
          <w:bCs/>
          <w:sz w:val="32"/>
          <w:szCs w:val="32"/>
        </w:rPr>
        <w:t>工程设计总装机容量100.0MW。风力发电场共设置18处风机平台，</w:t>
      </w:r>
      <w:bookmarkEnd w:id="1"/>
      <w:r>
        <w:rPr>
          <w:rFonts w:ascii="Times New Roman" w:hAnsi="Times New Roman" w:eastAsia="方正仿宋_GBK" w:cs="Times New Roman"/>
          <w:bCs/>
          <w:sz w:val="32"/>
          <w:szCs w:val="32"/>
        </w:rPr>
        <w:t>发电机组18组，单机容量为5600kW；新增110kV升压站1座；新建和改建场内道路20.234km/18条；新建35kV集电线路共计39.724km，其中</w:t>
      </w:r>
      <w:r>
        <w:rPr>
          <w:rFonts w:hint="eastAsia" w:ascii="Times New Roman" w:hAnsi="Times New Roman" w:eastAsia="方正仿宋_GBK" w:cs="Times New Roman"/>
          <w:bCs/>
          <w:sz w:val="32"/>
          <w:szCs w:val="32"/>
          <w:lang w:eastAsia="zh-CN"/>
        </w:rPr>
        <w:t>：</w:t>
      </w:r>
      <w:r>
        <w:rPr>
          <w:rFonts w:ascii="Times New Roman" w:hAnsi="Times New Roman" w:eastAsia="方正仿宋_GBK" w:cs="Times New Roman"/>
          <w:bCs/>
          <w:sz w:val="32"/>
          <w:szCs w:val="32"/>
        </w:rPr>
        <w:t>架空线路1.964km（20基塔），地埋电缆37.760km。施工期间，设施工生产生活区2处/1.07hm</w:t>
      </w:r>
      <w:r>
        <w:rPr>
          <w:rFonts w:ascii="Times New Roman" w:hAnsi="Times New Roman" w:eastAsia="方正仿宋_GBK" w:cs="Times New Roman"/>
          <w:bCs/>
          <w:sz w:val="32"/>
          <w:szCs w:val="32"/>
          <w:vertAlign w:val="superscript"/>
        </w:rPr>
        <w:t>2</w:t>
      </w:r>
      <w:r>
        <w:rPr>
          <w:rFonts w:ascii="Times New Roman" w:hAnsi="Times New Roman" w:eastAsia="方正仿宋_GBK" w:cs="Times New Roman"/>
          <w:bCs/>
          <w:sz w:val="32"/>
          <w:szCs w:val="32"/>
        </w:rPr>
        <w:t>，弃渣场2处/2.71hm</w:t>
      </w:r>
      <w:r>
        <w:rPr>
          <w:rFonts w:ascii="Times New Roman" w:hAnsi="Times New Roman" w:eastAsia="方正仿宋_GBK" w:cs="Times New Roman"/>
          <w:bCs/>
          <w:sz w:val="32"/>
          <w:szCs w:val="32"/>
          <w:vertAlign w:val="superscript"/>
        </w:rPr>
        <w:t>2</w:t>
      </w:r>
      <w:r>
        <w:rPr>
          <w:rFonts w:ascii="Times New Roman" w:hAnsi="Times New Roman" w:eastAsia="方正仿宋_GBK" w:cs="Times New Roman"/>
          <w:bCs/>
          <w:sz w:val="32"/>
          <w:szCs w:val="32"/>
        </w:rPr>
        <w:t>；施工用水采用水车拉运，用电需建少量临时电杆，建筑材料外购。</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本项目总占地48.03hm</w:t>
      </w:r>
      <w:r>
        <w:rPr>
          <w:rFonts w:ascii="Times New Roman" w:hAnsi="Times New Roman" w:eastAsia="方正仿宋_GBK" w:cs="Times New Roman"/>
          <w:bCs/>
          <w:sz w:val="32"/>
          <w:szCs w:val="32"/>
          <w:vertAlign w:val="superscript"/>
        </w:rPr>
        <w:t>2</w:t>
      </w:r>
      <w:r>
        <w:rPr>
          <w:rFonts w:ascii="Times New Roman" w:hAnsi="Times New Roman" w:eastAsia="方正仿宋_GBK" w:cs="Times New Roman"/>
          <w:bCs/>
          <w:sz w:val="32"/>
          <w:szCs w:val="32"/>
        </w:rPr>
        <w:t>，其中</w:t>
      </w:r>
      <w:r>
        <w:rPr>
          <w:rFonts w:hint="eastAsia" w:ascii="Times New Roman" w:hAnsi="Times New Roman" w:eastAsia="方正仿宋_GBK" w:cs="Times New Roman"/>
          <w:bCs/>
          <w:sz w:val="32"/>
          <w:szCs w:val="32"/>
          <w:lang w:eastAsia="zh-CN"/>
        </w:rPr>
        <w:t>：</w:t>
      </w:r>
      <w:r>
        <w:rPr>
          <w:rFonts w:ascii="Times New Roman" w:hAnsi="Times New Roman" w:eastAsia="方正仿宋_GBK" w:cs="Times New Roman"/>
          <w:bCs/>
          <w:sz w:val="32"/>
          <w:szCs w:val="32"/>
        </w:rPr>
        <w:t>永久占地2.26hm</w:t>
      </w:r>
      <w:r>
        <w:rPr>
          <w:rFonts w:ascii="Times New Roman" w:hAnsi="Times New Roman" w:eastAsia="方正仿宋_GBK" w:cs="Times New Roman"/>
          <w:bCs/>
          <w:sz w:val="32"/>
          <w:szCs w:val="32"/>
          <w:vertAlign w:val="superscript"/>
        </w:rPr>
        <w:t>2</w:t>
      </w:r>
      <w:r>
        <w:rPr>
          <w:rFonts w:ascii="Times New Roman" w:hAnsi="Times New Roman" w:eastAsia="方正仿宋_GBK" w:cs="Times New Roman"/>
          <w:bCs/>
          <w:sz w:val="32"/>
          <w:szCs w:val="32"/>
        </w:rPr>
        <w:t>，包括风机基础、平台停车区、箱变基础、升压站、集电线路架空铁塔根开占地；临时占地45.77hm</w:t>
      </w:r>
      <w:r>
        <w:rPr>
          <w:rFonts w:ascii="Times New Roman" w:hAnsi="Times New Roman" w:eastAsia="方正仿宋_GBK" w:cs="Times New Roman"/>
          <w:bCs/>
          <w:sz w:val="32"/>
          <w:szCs w:val="32"/>
          <w:vertAlign w:val="superscript"/>
        </w:rPr>
        <w:t>2</w:t>
      </w:r>
      <w:r>
        <w:rPr>
          <w:rFonts w:ascii="Times New Roman" w:hAnsi="Times New Roman" w:eastAsia="方正仿宋_GBK" w:cs="Times New Roman"/>
          <w:bCs/>
          <w:sz w:val="32"/>
          <w:szCs w:val="32"/>
        </w:rPr>
        <w:t>，包括风机吊装场地、场区道路、集电线路施工作业带、施工生产生活区、弃渣场等。</w:t>
      </w:r>
      <w:bookmarkStart w:id="2" w:name="_Hlk40709922"/>
      <w:r>
        <w:rPr>
          <w:rFonts w:ascii="Times New Roman" w:hAnsi="Times New Roman" w:eastAsia="方正仿宋_GBK" w:cs="Times New Roman"/>
          <w:bCs/>
          <w:sz w:val="32"/>
          <w:szCs w:val="32"/>
        </w:rPr>
        <w:t>工程土石方总挖方61.37万m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，总填方42.02万m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，弃方19.35万m</w:t>
      </w:r>
      <w:r>
        <w:rPr>
          <w:rFonts w:ascii="Times New Roman" w:hAnsi="Times New Roman" w:eastAsia="方正仿宋_GBK" w:cs="Times New Roman"/>
          <w:bCs/>
          <w:sz w:val="32"/>
          <w:szCs w:val="32"/>
          <w:vertAlign w:val="superscript"/>
        </w:rPr>
        <w:t>3</w:t>
      </w:r>
      <w:r>
        <w:rPr>
          <w:rFonts w:ascii="Times New Roman" w:hAnsi="Times New Roman" w:eastAsia="方正仿宋_GBK" w:cs="Times New Roman"/>
          <w:bCs/>
          <w:sz w:val="32"/>
          <w:szCs w:val="32"/>
        </w:rPr>
        <w:t>，不对外借方，弃方将运至2座弃渣场处置。</w:t>
      </w:r>
      <w:bookmarkEnd w:id="2"/>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工程计划于2023年9月开工，2024年10月全部建成，总工期14个月；工程估算总投资为61877万元，其中土建投资为13831万元。项目占地范围内无居民房屋和工业厂房，不涉及拆迁安置</w:t>
      </w:r>
      <w:r>
        <w:rPr>
          <w:rFonts w:ascii="Times New Roman" w:hAnsi="Times New Roman" w:eastAsia="方正仿宋_GBK" w:cs="Times New Roman"/>
          <w:sz w:val="32"/>
          <w:szCs w:val="32"/>
        </w:rPr>
        <w:t>。</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（二）项目区地形地貌、地质、气象、水文、土壤、植被等情况阐述较为清楚</w:t>
      </w:r>
      <w:r>
        <w:rPr>
          <w:rFonts w:ascii="Times New Roman" w:hAnsi="Times New Roman" w:eastAsia="方正仿宋_GBK" w:cs="Times New Roman"/>
          <w:bCs/>
          <w:sz w:val="32"/>
          <w:szCs w:val="32"/>
        </w:rPr>
        <w:t>。</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三、项目水土保持评价</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（一）基本同意对主体工程选址（线）的水土保持评价。</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（二）基本同意对工程建设方案与布局、工程占地、土石方平衡、施工方法及工艺的水土保持评价。</w:t>
      </w:r>
    </w:p>
    <w:p>
      <w:pPr>
        <w:snapToGrid w:val="0"/>
        <w:spacing w:line="594" w:lineRule="exact"/>
        <w:ind w:firstLine="640" w:firstLineChars="200"/>
        <w:rPr>
          <w:rFonts w:hint="eastAsia" w:ascii="Times New Roman" w:hAnsi="Times New Roman" w:eastAsia="方正仿宋_GBK" w:cs="方正仿宋_GBK"/>
          <w:sz w:val="32"/>
          <w:szCs w:val="32"/>
        </w:rPr>
      </w:pPr>
      <w:r>
        <w:rPr>
          <w:rFonts w:ascii="Times New Roman" w:hAnsi="Times New Roman" w:eastAsia="方正仿宋_GBK" w:cs="Times New Roman"/>
          <w:sz w:val="32"/>
          <w:szCs w:val="32"/>
        </w:rPr>
        <w:t>（三）</w:t>
      </w:r>
      <w:r>
        <w:rPr>
          <w:rFonts w:ascii="Times New Roman" w:hAnsi="Times New Roman" w:eastAsia="方正仿宋_GBK" w:cs="方正仿宋_GBK"/>
          <w:sz w:val="32"/>
          <w:szCs w:val="32"/>
        </w:rPr>
        <w:t>基本同意对</w:t>
      </w:r>
      <w:r>
        <w:rPr>
          <w:rFonts w:hint="eastAsia" w:ascii="Times New Roman" w:hAnsi="Times New Roman" w:eastAsia="方正仿宋_GBK" w:cs="方正仿宋_GBK"/>
          <w:sz w:val="32"/>
          <w:szCs w:val="32"/>
        </w:rPr>
        <w:t>弃渣场</w:t>
      </w:r>
      <w:r>
        <w:rPr>
          <w:rFonts w:ascii="Times New Roman" w:hAnsi="Times New Roman" w:eastAsia="方正仿宋_GBK" w:cs="方正仿宋_GBK"/>
          <w:sz w:val="32"/>
          <w:szCs w:val="32"/>
        </w:rPr>
        <w:t>设置的水土保持评价。</w:t>
      </w:r>
      <w:r>
        <w:rPr>
          <w:rFonts w:hint="eastAsia" w:ascii="Times New Roman" w:hAnsi="Times New Roman" w:eastAsia="方正仿宋_GBK" w:cs="方正仿宋_GBK"/>
          <w:sz w:val="32"/>
          <w:szCs w:val="32"/>
        </w:rPr>
        <w:t>项目</w:t>
      </w:r>
      <w:r>
        <w:rPr>
          <w:rFonts w:ascii="Times New Roman" w:hAnsi="Times New Roman" w:eastAsia="方正仿宋_GBK" w:cs="方正仿宋_GBK"/>
          <w:sz w:val="32"/>
          <w:szCs w:val="32"/>
        </w:rPr>
        <w:t>设置的</w:t>
      </w:r>
      <w:r>
        <w:rPr>
          <w:rFonts w:hint="eastAsia" w:ascii="Times New Roman" w:hAnsi="Times New Roman" w:eastAsia="方正仿宋_GBK" w:cs="方正仿宋_GBK"/>
          <w:sz w:val="32"/>
          <w:szCs w:val="32"/>
        </w:rPr>
        <w:t>2处</w:t>
      </w:r>
      <w:r>
        <w:rPr>
          <w:rFonts w:ascii="Times New Roman" w:hAnsi="Times New Roman" w:eastAsia="方正仿宋_GBK" w:cs="方正仿宋_GBK"/>
          <w:sz w:val="32"/>
          <w:szCs w:val="32"/>
        </w:rPr>
        <w:t>弃渣场不涉及</w:t>
      </w:r>
      <w:r>
        <w:rPr>
          <w:rFonts w:hint="eastAsia" w:ascii="Times New Roman" w:hAnsi="Times New Roman" w:eastAsia="方正仿宋_GBK" w:cs="方正仿宋_GBK"/>
          <w:sz w:val="32"/>
          <w:szCs w:val="32"/>
        </w:rPr>
        <w:t>基本农田、公益林</w:t>
      </w:r>
      <w:r>
        <w:rPr>
          <w:rFonts w:ascii="Times New Roman" w:hAnsi="Times New Roman" w:eastAsia="方正仿宋_GBK" w:cs="方正仿宋_GBK"/>
          <w:sz w:val="32"/>
          <w:szCs w:val="32"/>
        </w:rPr>
        <w:t>、</w:t>
      </w:r>
      <w:r>
        <w:rPr>
          <w:rFonts w:hint="eastAsia" w:ascii="Times New Roman" w:hAnsi="Times New Roman" w:eastAsia="方正仿宋_GBK" w:cs="方正仿宋_GBK"/>
          <w:sz w:val="32"/>
          <w:szCs w:val="32"/>
        </w:rPr>
        <w:t>生态红线等敏感区域，渣场位于凹</w:t>
      </w:r>
      <w:r>
        <w:rPr>
          <w:rFonts w:ascii="Times New Roman" w:hAnsi="Times New Roman" w:eastAsia="方正仿宋_GBK" w:cs="方正仿宋_GBK"/>
          <w:sz w:val="32"/>
          <w:szCs w:val="32"/>
        </w:rPr>
        <w:t>地或</w:t>
      </w:r>
      <w:r>
        <w:rPr>
          <w:rFonts w:hint="eastAsia" w:ascii="Times New Roman" w:hAnsi="Times New Roman" w:eastAsia="方正仿宋_GBK" w:cs="方正仿宋_GBK"/>
          <w:sz w:val="32"/>
          <w:szCs w:val="32"/>
        </w:rPr>
        <w:t>沟道，不涉及河道、湖泊和水库，避开了对公共设施、基础设施、工业企业、居民点等有重大影响的区域。选址征得了得黔江区林业、规资、水利、生态环保等部门和乡镇、村委会的确认同意，弃渣场选址符合《生产建设项目水土保持技术标准》的规定，弃渣场选址基本合理。</w:t>
      </w:r>
    </w:p>
    <w:p>
      <w:pPr>
        <w:snapToGrid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ascii="Times New Roman" w:hAnsi="Times New Roman" w:eastAsia="方正仿宋_GBK" w:cs="Times New Roman"/>
          <w:sz w:val="32"/>
          <w:szCs w:val="32"/>
        </w:rPr>
        <w:t>基本同意对主体工程设计中水土保持措施的评价及界定。</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四、水土流失分析与预测</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（一）工程建设扰动地表面积</w:t>
      </w:r>
      <w:r>
        <w:rPr>
          <w:rFonts w:ascii="Times New Roman" w:hAnsi="Times New Roman" w:eastAsia="方正仿宋_GBK" w:cs="Times New Roman"/>
          <w:bCs/>
          <w:sz w:val="32"/>
          <w:szCs w:val="32"/>
        </w:rPr>
        <w:t>48.03</w:t>
      </w:r>
      <w:r>
        <w:rPr>
          <w:rFonts w:ascii="Times New Roman" w:hAnsi="Times New Roman" w:eastAsia="方正仿宋_GBK" w:cs="Times New Roman"/>
          <w:sz w:val="32"/>
          <w:szCs w:val="32"/>
        </w:rPr>
        <w:t>hm</w:t>
      </w:r>
      <w:r>
        <w:rPr>
          <w:rFonts w:ascii="Times New Roman" w:hAnsi="Times New Roman" w:eastAsia="方正仿宋_GBK" w:cs="Times New Roman"/>
          <w:sz w:val="32"/>
          <w:szCs w:val="32"/>
          <w:vertAlign w:val="superscript"/>
        </w:rPr>
        <w:t>2</w:t>
      </w:r>
      <w:r>
        <w:rPr>
          <w:rFonts w:ascii="Times New Roman" w:hAnsi="Times New Roman" w:eastAsia="方正仿宋_GBK" w:cs="Times New Roman"/>
          <w:sz w:val="32"/>
          <w:szCs w:val="32"/>
        </w:rPr>
        <w:t>，损坏植被面积</w:t>
      </w:r>
      <w:r>
        <w:rPr>
          <w:rFonts w:ascii="Times New Roman" w:hAnsi="Times New Roman" w:eastAsia="方正仿宋_GBK" w:cs="Times New Roman"/>
          <w:bCs/>
          <w:sz w:val="32"/>
          <w:szCs w:val="32"/>
        </w:rPr>
        <w:t>39.97</w:t>
      </w:r>
      <w:r>
        <w:rPr>
          <w:rFonts w:ascii="Times New Roman" w:hAnsi="Times New Roman" w:eastAsia="方正仿宋_GBK" w:cs="Times New Roman"/>
          <w:sz w:val="32"/>
          <w:szCs w:val="32"/>
        </w:rPr>
        <w:t>hm</w:t>
      </w:r>
      <w:r>
        <w:rPr>
          <w:rFonts w:ascii="Times New Roman" w:hAnsi="Times New Roman" w:eastAsia="方正仿宋_GBK" w:cs="Times New Roman"/>
          <w:sz w:val="32"/>
          <w:szCs w:val="32"/>
          <w:vertAlign w:val="superscript"/>
        </w:rPr>
        <w:t>2</w:t>
      </w:r>
      <w:r>
        <w:rPr>
          <w:rFonts w:ascii="Times New Roman" w:hAnsi="Times New Roman" w:eastAsia="方正仿宋_GBK" w:cs="Times New Roman"/>
          <w:sz w:val="32"/>
          <w:szCs w:val="32"/>
        </w:rPr>
        <w:t>，弃方</w:t>
      </w:r>
      <w:r>
        <w:rPr>
          <w:rFonts w:ascii="Times New Roman" w:hAnsi="Times New Roman" w:eastAsia="方正仿宋_GBK" w:cs="Times New Roman"/>
          <w:bCs/>
          <w:sz w:val="32"/>
          <w:szCs w:val="32"/>
        </w:rPr>
        <w:t>19.35</w:t>
      </w:r>
      <w:r>
        <w:rPr>
          <w:rFonts w:ascii="Times New Roman" w:hAnsi="Times New Roman" w:eastAsia="方正仿宋_GBK" w:cs="Times New Roman"/>
          <w:sz w:val="32"/>
          <w:szCs w:val="32"/>
        </w:rPr>
        <w:t>万m³。</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（二）基本同意土壤流失量预测结果。工程建设可能产生水土流失总量</w:t>
      </w:r>
      <w:r>
        <w:rPr>
          <w:rFonts w:ascii="Times New Roman" w:hAnsi="Times New Roman" w:eastAsia="方正仿宋_GBK" w:cs="Times New Roman"/>
          <w:bCs/>
          <w:sz w:val="32"/>
          <w:szCs w:val="32"/>
        </w:rPr>
        <w:t>4999t，其中新增水土流失量4050t</w:t>
      </w:r>
      <w:r>
        <w:rPr>
          <w:rFonts w:ascii="Times New Roman" w:hAnsi="Times New Roman" w:eastAsia="方正仿宋_GBK" w:cs="Times New Roman"/>
          <w:sz w:val="32"/>
          <w:szCs w:val="32"/>
        </w:rPr>
        <w:t>。</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（三）基本同意水土流失的危害分析和指导性意见。</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五、水土保持措施</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（一）基本同意项目划分为风机平台、场区道路、集电线路、升压站、施工生产生活、弃渣场</w:t>
      </w:r>
      <w:r>
        <w:rPr>
          <w:rFonts w:hint="eastAsia" w:ascii="Times New Roman" w:hAnsi="Times New Roman" w:eastAsia="方正仿宋_GBK" w:cs="Times New Roman"/>
          <w:bCs/>
          <w:sz w:val="32"/>
          <w:szCs w:val="32"/>
          <w:lang w:val="en-US" w:eastAsia="zh-CN"/>
        </w:rPr>
        <w:t>6</w:t>
      </w:r>
      <w:r>
        <w:rPr>
          <w:rFonts w:ascii="Times New Roman" w:hAnsi="Times New Roman" w:eastAsia="方正仿宋_GBK" w:cs="Times New Roman"/>
          <w:bCs/>
          <w:sz w:val="32"/>
          <w:szCs w:val="32"/>
        </w:rPr>
        <w:t>个</w:t>
      </w:r>
      <w:r>
        <w:rPr>
          <w:rFonts w:hint="eastAsia" w:ascii="Times New Roman" w:hAnsi="Times New Roman" w:eastAsia="方正仿宋_GBK" w:cs="Times New Roman"/>
          <w:bCs/>
          <w:sz w:val="32"/>
          <w:szCs w:val="32"/>
          <w:lang w:eastAsia="zh-CN"/>
        </w:rPr>
        <w:t>水土流失防治</w:t>
      </w:r>
      <w:r>
        <w:rPr>
          <w:rFonts w:ascii="Times New Roman" w:hAnsi="Times New Roman" w:eastAsia="方正仿宋_GBK" w:cs="Times New Roman"/>
          <w:bCs/>
          <w:sz w:val="32"/>
          <w:szCs w:val="32"/>
        </w:rPr>
        <w:t>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（二）基本同意由主体工程设计的水土保持措施和方案新增的水土保持措施所组成的水土流失防治措施体系。</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（三）基本同意各防治区防治措施布局。</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风机平台防治区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施工前，剥离区内表土，部分表土用编织袋填装后堆砌于填方边坡坡脚作为临时拦挡，其余表土就近沿场区道路内侧暂时堆存，待风机平台建好后转运至平台内空地进行堆放。施工过程中，采用防雨布对各风机基础开挖形成的临时边坡、临时堆土进行临时覆盖，对裸露填方边坡采用无纺布覆盖。施工期末，在部分平台汇水区域较大的挖方边坡坡脚设置浆砌石排水沟，</w:t>
      </w:r>
      <w:r>
        <w:rPr>
          <w:rFonts w:ascii="Times New Roman" w:hAnsi="Times New Roman" w:eastAsia="方正仿宋_GBK" w:cs="Times New Roman"/>
          <w:bCs/>
          <w:sz w:val="32"/>
          <w:szCs w:val="32"/>
          <w:lang w:val="zh-TW"/>
        </w:rPr>
        <w:t>在坡度较大容易产生冲刷的排水沟末端设置沉沙池</w:t>
      </w:r>
      <w:r>
        <w:rPr>
          <w:rFonts w:ascii="Times New Roman" w:hAnsi="Times New Roman" w:eastAsia="方正仿宋_GBK" w:cs="Times New Roman"/>
          <w:bCs/>
          <w:sz w:val="32"/>
          <w:szCs w:val="32"/>
        </w:rPr>
        <w:t>；对填方边坡、平台区空地结合表土回覆进行土地整治，然后撒草绿化；在挖方边坡坡脚栽植攀爬植物。</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场区道路防治区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施工前，剥离区内表土，将部分表土装入植生袋，码放在填方边坡坡脚作为临时拦挡，剩余的表土直接回覆于临近路基边坡，并拍实平整。待路基形成后，立即对填方边坡实施撒草绿化，并在撒草后采用无纺布覆盖。施工期后期，采用防雨布对道路内侧电缆施工开挖的沟槽土进行临时覆盖；电缆敷设后在道路内侧修筑排水沟，</w:t>
      </w:r>
      <w:r>
        <w:rPr>
          <w:rFonts w:ascii="Times New Roman" w:hAnsi="Times New Roman" w:eastAsia="方正仿宋_GBK" w:cs="Times New Roman"/>
          <w:bCs/>
          <w:sz w:val="32"/>
          <w:szCs w:val="32"/>
          <w:lang w:val="zh-TW"/>
        </w:rPr>
        <w:t>排水沟末端排入自然沟道，在坡度较大容易产生冲刷的排水沟末端设置沉沙池</w:t>
      </w:r>
      <w:r>
        <w:rPr>
          <w:rFonts w:ascii="Times New Roman" w:hAnsi="Times New Roman" w:eastAsia="方正仿宋_GBK" w:cs="Times New Roman"/>
          <w:bCs/>
          <w:sz w:val="32"/>
          <w:szCs w:val="32"/>
        </w:rPr>
        <w:t>；在道路内侧石质路堑坡脚栽植攀爬植物，在外侧填方边坡栽植灌木。</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集电线路防治区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施工前，对塔基基础、电缆沟其他挖填范围内表土进行剥离，架空铁塔剥离表土就近平铺于塔基范围内，电缆沟剥离表土采用编织袋填装作为临时拦挡。施工期间，对塔基基础及沟槽开挖产生的临时堆土采用防雨布覆盖，对裸露边坡采用无纺布覆盖。施工期末，对施工扰动区进行土地整治及撒草绿化，对挖方边坡坡脚栽植攀爬植物。</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4</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升压站防治区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施工前，剥离区内表土，运至临近的施工生产生活区堆放。场地平整后，在升压站四周修筑浆砌石排水沟，排水沟末端设沉沙池。设备基础施工期间，对临时堆土采用防雨布覆盖。</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施工生产生活防治区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施工前，对场内表土进行剥离，将剥离表土临时堆放于场地角落空地，采用防雨布对堆土进行临时覆盖，堆土坡脚采用编织袋装土进行临时拦挡。施工期间，在周边汇水区修建临时排水沟，并在排水沟末端设置临时沉沙池；对区内松散材料采用防雨布覆盖。施工结束后，对占用耕地的结合表土回覆进行土地复耕，对占用林草地的（含临时电杆）在土地整治后进行灌草绿化。</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6</w:t>
      </w:r>
      <w:r>
        <w:rPr>
          <w:rFonts w:hint="eastAsia" w:ascii="Times New Roman" w:hAnsi="Times New Roman" w:eastAsia="方正仿宋_GBK" w:cs="Times New Roman"/>
          <w:bCs/>
          <w:sz w:val="32"/>
          <w:szCs w:val="32"/>
          <w:lang w:val="en-US" w:eastAsia="zh-CN"/>
        </w:rPr>
        <w:t>.</w:t>
      </w:r>
      <w:r>
        <w:rPr>
          <w:rFonts w:ascii="Times New Roman" w:hAnsi="Times New Roman" w:eastAsia="方正仿宋_GBK" w:cs="Times New Roman"/>
          <w:bCs/>
          <w:sz w:val="32"/>
          <w:szCs w:val="32"/>
        </w:rPr>
        <w:t>弃渣场防治区</w:t>
      </w:r>
    </w:p>
    <w:p>
      <w:pPr>
        <w:snapToGrid w:val="0"/>
        <w:spacing w:line="594"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弃渣前，剥离区内表土，运至库尾堆存，采用防雨布对堆土进行临时覆盖，堆土坡脚采用编织袋装土进行临时拦挡；在弃渣场下游修筑浆砌石挡渣墙，在渣体靠近公益林和基本农田处布设护脚墙。库底清理后，在渣场底部汇水区设置干砌石盲沟，在渣场周边设置浆砌石截排水沟，截排水沟末端设沉淀消能池。弃渣完成后，在台阶马道内侧设马道边沟，对弃渣场顶部平台结合表土回覆进行土地复耕或土地整治，以恢复原地貌；对弃渣场台阶边坡结合表土回覆进行土地整治后进行灌草绿化。</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（四）水土保持施工组织设计基本可行</w:t>
      </w:r>
      <w:r>
        <w:rPr>
          <w:rFonts w:ascii="Times New Roman" w:hAnsi="Times New Roman" w:eastAsia="方正仿宋_GBK" w:cs="Times New Roman"/>
          <w:sz w:val="32"/>
          <w:szCs w:val="32"/>
        </w:rPr>
        <w:t>。</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六、水土保持监测</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水土保持监测方案基本可行。</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七、水土保持投资估算及效益分析</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（一）投资估算编制依据正确，费用及定额选择基本合理，编制深度基本满足规范要求。</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（二）经审核，该工程水土保持方案工程静态总投资</w:t>
      </w:r>
      <w:r>
        <w:rPr>
          <w:rFonts w:ascii="Times New Roman" w:hAnsi="Times New Roman" w:eastAsia="方正仿宋_GBK" w:cs="Times New Roman"/>
          <w:bCs/>
          <w:sz w:val="32"/>
          <w:szCs w:val="32"/>
          <w:lang w:bidi="ar"/>
        </w:rPr>
        <w:t>1537.43万元，其中：主体已列</w:t>
      </w:r>
      <w:r>
        <w:rPr>
          <w:rFonts w:ascii="Times New Roman" w:hAnsi="Times New Roman" w:eastAsia="方正仿宋_GBK" w:cs="Times New Roman"/>
          <w:bCs/>
          <w:sz w:val="32"/>
          <w:szCs w:val="32"/>
        </w:rPr>
        <w:t>418.29</w:t>
      </w:r>
      <w:r>
        <w:rPr>
          <w:rFonts w:ascii="Times New Roman" w:hAnsi="Times New Roman" w:eastAsia="方正仿宋_GBK" w:cs="Times New Roman"/>
          <w:bCs/>
          <w:sz w:val="32"/>
          <w:szCs w:val="32"/>
          <w:lang w:bidi="ar"/>
        </w:rPr>
        <w:t>万元，方案新增</w:t>
      </w:r>
      <w:r>
        <w:rPr>
          <w:rFonts w:ascii="Times New Roman" w:hAnsi="Times New Roman" w:eastAsia="方正仿宋_GBK" w:cs="Times New Roman"/>
          <w:bCs/>
          <w:sz w:val="32"/>
          <w:szCs w:val="32"/>
        </w:rPr>
        <w:t>1119.14</w:t>
      </w:r>
      <w:r>
        <w:rPr>
          <w:rFonts w:ascii="Times New Roman" w:hAnsi="Times New Roman" w:eastAsia="方正仿宋_GBK" w:cs="Times New Roman"/>
          <w:bCs/>
          <w:sz w:val="32"/>
          <w:szCs w:val="32"/>
          <w:lang w:bidi="ar"/>
        </w:rPr>
        <w:t>万元（其中：工程措施费</w:t>
      </w:r>
      <w:r>
        <w:rPr>
          <w:rFonts w:ascii="Times New Roman" w:hAnsi="Times New Roman" w:eastAsia="方正仿宋_GBK" w:cs="Times New Roman"/>
          <w:bCs/>
          <w:sz w:val="32"/>
          <w:szCs w:val="32"/>
        </w:rPr>
        <w:t>147.43</w:t>
      </w:r>
      <w:r>
        <w:rPr>
          <w:rFonts w:ascii="Times New Roman" w:hAnsi="Times New Roman" w:eastAsia="方正仿宋_GBK" w:cs="Times New Roman"/>
          <w:bCs/>
          <w:sz w:val="32"/>
          <w:szCs w:val="32"/>
          <w:lang w:bidi="ar"/>
        </w:rPr>
        <w:t>万元，植物措施费</w:t>
      </w:r>
      <w:r>
        <w:rPr>
          <w:rFonts w:ascii="Times New Roman" w:hAnsi="Times New Roman" w:eastAsia="方正仿宋_GBK" w:cs="Times New Roman"/>
          <w:bCs/>
          <w:sz w:val="32"/>
          <w:szCs w:val="32"/>
        </w:rPr>
        <w:t>69.58</w:t>
      </w:r>
      <w:r>
        <w:rPr>
          <w:rFonts w:ascii="Times New Roman" w:hAnsi="Times New Roman" w:eastAsia="方正仿宋_GBK" w:cs="Times New Roman"/>
          <w:bCs/>
          <w:sz w:val="32"/>
          <w:szCs w:val="32"/>
          <w:lang w:bidi="ar"/>
        </w:rPr>
        <w:t>万元，监测措施费</w:t>
      </w:r>
      <w:r>
        <w:rPr>
          <w:rFonts w:ascii="Times New Roman" w:hAnsi="Times New Roman" w:eastAsia="方正仿宋_GBK" w:cs="Times New Roman"/>
          <w:bCs/>
          <w:sz w:val="32"/>
          <w:szCs w:val="32"/>
        </w:rPr>
        <w:t>36.25</w:t>
      </w:r>
      <w:r>
        <w:rPr>
          <w:rFonts w:ascii="Times New Roman" w:hAnsi="Times New Roman" w:eastAsia="方正仿宋_GBK" w:cs="Times New Roman"/>
          <w:bCs/>
          <w:sz w:val="32"/>
          <w:szCs w:val="32"/>
          <w:lang w:bidi="ar"/>
        </w:rPr>
        <w:t>万元，施工临时措施费</w:t>
      </w:r>
      <w:r>
        <w:rPr>
          <w:rFonts w:ascii="Times New Roman" w:hAnsi="Times New Roman" w:eastAsia="方正仿宋_GBK" w:cs="Times New Roman"/>
          <w:bCs/>
          <w:sz w:val="32"/>
          <w:szCs w:val="32"/>
        </w:rPr>
        <w:t>614.77</w:t>
      </w:r>
      <w:r>
        <w:rPr>
          <w:rFonts w:ascii="Times New Roman" w:hAnsi="Times New Roman" w:eastAsia="方正仿宋_GBK" w:cs="Times New Roman"/>
          <w:bCs/>
          <w:sz w:val="32"/>
          <w:szCs w:val="32"/>
          <w:lang w:bidi="ar"/>
        </w:rPr>
        <w:t>万元，独立费用</w:t>
      </w:r>
      <w:r>
        <w:rPr>
          <w:rFonts w:ascii="Times New Roman" w:hAnsi="Times New Roman" w:eastAsia="方正仿宋_GBK" w:cs="Times New Roman"/>
          <w:bCs/>
          <w:sz w:val="32"/>
          <w:szCs w:val="32"/>
        </w:rPr>
        <w:t>124.33</w:t>
      </w:r>
      <w:r>
        <w:rPr>
          <w:rFonts w:ascii="Times New Roman" w:hAnsi="Times New Roman" w:eastAsia="方正仿宋_GBK" w:cs="Times New Roman"/>
          <w:bCs/>
          <w:sz w:val="32"/>
          <w:szCs w:val="32"/>
          <w:lang w:bidi="ar"/>
        </w:rPr>
        <w:t>万元，基本预备费</w:t>
      </w:r>
      <w:r>
        <w:rPr>
          <w:rFonts w:ascii="Times New Roman" w:hAnsi="Times New Roman" w:eastAsia="方正仿宋_GBK" w:cs="Times New Roman"/>
          <w:bCs/>
          <w:sz w:val="32"/>
          <w:szCs w:val="32"/>
        </w:rPr>
        <w:t>59.54</w:t>
      </w:r>
      <w:r>
        <w:rPr>
          <w:rFonts w:ascii="Times New Roman" w:hAnsi="Times New Roman" w:eastAsia="方正仿宋_GBK" w:cs="Times New Roman"/>
          <w:bCs/>
          <w:sz w:val="32"/>
          <w:szCs w:val="32"/>
          <w:lang w:bidi="ar"/>
        </w:rPr>
        <w:t>万元，水土保持补偿费</w:t>
      </w:r>
      <w:r>
        <w:rPr>
          <w:rFonts w:ascii="Times New Roman" w:hAnsi="Times New Roman" w:eastAsia="方正仿宋_GBK" w:cs="Times New Roman"/>
          <w:bCs/>
          <w:sz w:val="32"/>
          <w:szCs w:val="32"/>
        </w:rPr>
        <w:t>67.24</w:t>
      </w:r>
      <w:r>
        <w:rPr>
          <w:rFonts w:ascii="Times New Roman" w:hAnsi="Times New Roman" w:eastAsia="方正仿宋_GBK" w:cs="Times New Roman"/>
          <w:bCs/>
          <w:sz w:val="32"/>
          <w:szCs w:val="32"/>
          <w:lang w:bidi="ar"/>
        </w:rPr>
        <w:t>万元）</w:t>
      </w:r>
      <w:r>
        <w:rPr>
          <w:rFonts w:ascii="Times New Roman" w:hAnsi="Times New Roman" w:eastAsia="方正仿宋_GBK" w:cs="Times New Roman"/>
          <w:sz w:val="32"/>
          <w:szCs w:val="32"/>
        </w:rPr>
        <w:t>，详见附件。</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（三）效益分析方法正确，分析结果基本合理。</w:t>
      </w:r>
    </w:p>
    <w:p>
      <w:pPr>
        <w:snapToGrid w:val="0"/>
        <w:spacing w:line="594"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八、水土保持管理</w:t>
      </w: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基本同意项目组织管理、后续设计、水土保持监测、水土保持监理、水土保持施工、水土保持设施验收等保障措施和要求。</w:t>
      </w:r>
    </w:p>
    <w:p>
      <w:pPr>
        <w:snapToGrid w:val="0"/>
        <w:spacing w:line="594" w:lineRule="exact"/>
        <w:ind w:firstLine="640" w:firstLineChars="200"/>
        <w:rPr>
          <w:rFonts w:ascii="Times New Roman" w:hAnsi="Times New Roman" w:eastAsia="方正仿宋_GBK" w:cs="Times New Roman"/>
          <w:sz w:val="32"/>
          <w:szCs w:val="32"/>
        </w:rPr>
      </w:pPr>
    </w:p>
    <w:p>
      <w:pPr>
        <w:snapToGrid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附件：黔江五福岭风电二期项目水土保持投资估算审核表。</w:t>
      </w:r>
    </w:p>
    <w:p>
      <w:pPr>
        <w:snapToGrid w:val="0"/>
        <w:spacing w:line="594" w:lineRule="exact"/>
        <w:ind w:firstLine="560" w:firstLineChars="200"/>
        <w:jc w:val="both"/>
        <w:rPr>
          <w:rFonts w:ascii="Times New Roman" w:hAnsi="Times New Roman" w:eastAsia="方正仿宋_GBK" w:cs="Times New Roman"/>
          <w:sz w:val="32"/>
          <w:szCs w:val="32"/>
        </w:rPr>
      </w:pPr>
      <w:r>
        <w:rPr>
          <w:rFonts w:ascii="Times New Roman" w:hAnsi="Times New Roman" w:eastAsia="宋体" w:cs="Times New Roman"/>
        </w:rPr>
        <w:drawing>
          <wp:anchor distT="0" distB="0" distL="114300" distR="114300" simplePos="0" relativeHeight="251660288" behindDoc="0" locked="0" layoutInCell="1" allowOverlap="1">
            <wp:simplePos x="0" y="0"/>
            <wp:positionH relativeFrom="column">
              <wp:posOffset>3942080</wp:posOffset>
            </wp:positionH>
            <wp:positionV relativeFrom="paragraph">
              <wp:posOffset>330835</wp:posOffset>
            </wp:positionV>
            <wp:extent cx="933450" cy="504825"/>
            <wp:effectExtent l="0" t="0" r="11430" b="133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33450" cy="504825"/>
                    </a:xfrm>
                    <a:prstGeom prst="rect">
                      <a:avLst/>
                    </a:prstGeom>
                    <a:noFill/>
                    <a:ln>
                      <a:noFill/>
                    </a:ln>
                  </pic:spPr>
                </pic:pic>
              </a:graphicData>
            </a:graphic>
          </wp:anchor>
        </w:drawing>
      </w:r>
    </w:p>
    <w:p>
      <w:pPr>
        <w:snapToGrid w:val="0"/>
        <w:spacing w:line="594" w:lineRule="exact"/>
        <w:ind w:firstLine="4160" w:firstLineChars="13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专家组组长：</w:t>
      </w:r>
    </w:p>
    <w:p>
      <w:pPr>
        <w:snapToGrid w:val="0"/>
        <w:spacing w:line="594" w:lineRule="exact"/>
        <w:ind w:firstLine="5120" w:firstLineChars="1600"/>
        <w:rPr>
          <w:rFonts w:ascii="Times New Roman" w:hAnsi="Times New Roman" w:eastAsia="方正仿宋_GBK"/>
          <w:sz w:val="32"/>
          <w:szCs w:val="32"/>
        </w:rPr>
        <w:sectPr>
          <w:footerReference r:id="rId3" w:type="default"/>
          <w:pgSz w:w="11906" w:h="16838"/>
          <w:pgMar w:top="1985" w:right="1446" w:bottom="1644" w:left="1446" w:header="851" w:footer="992" w:gutter="0"/>
          <w:cols w:space="720" w:num="1"/>
          <w:docGrid w:linePitch="381" w:charSpace="0"/>
        </w:sectPr>
      </w:pPr>
      <w:r>
        <w:rPr>
          <w:rFonts w:ascii="Times New Roman" w:hAnsi="Times New Roman" w:eastAsia="方正仿宋_GBK" w:cs="Times New Roman"/>
          <w:sz w:val="32"/>
          <w:szCs w:val="32"/>
        </w:rPr>
        <w:t>2023年8月</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日</w:t>
      </w:r>
    </w:p>
    <w:p>
      <w:pPr>
        <w:snapToGrid w:val="0"/>
        <w:spacing w:line="594" w:lineRule="exact"/>
        <w:jc w:val="left"/>
        <w:rPr>
          <w:rFonts w:ascii="Times New Roman" w:hAnsi="Times New Roman" w:eastAsia="方正仿宋_GBK" w:cs="Times New Roman"/>
          <w:sz w:val="32"/>
          <w:szCs w:val="32"/>
        </w:rPr>
      </w:pPr>
      <w:r>
        <w:rPr>
          <w:rFonts w:ascii="Times New Roman" w:hAnsi="Times New Roman" w:eastAsia="方正黑体_GBK" w:cs="Times New Roman"/>
          <w:w w:val="100"/>
          <w:sz w:val="32"/>
          <w:szCs w:val="32"/>
        </w:rPr>
        <w:t>附件</w:t>
      </w:r>
    </w:p>
    <w:p>
      <w:pPr>
        <w:snapToGrid w:val="0"/>
        <w:spacing w:line="594" w:lineRule="exact"/>
        <w:jc w:val="center"/>
        <w:rPr>
          <w:rFonts w:ascii="Times New Roman" w:hAnsi="Times New Roman" w:eastAsia="方正小标宋_GBK" w:cs="Times New Roman"/>
          <w:w w:val="100"/>
          <w:sz w:val="36"/>
          <w:szCs w:val="36"/>
        </w:rPr>
      </w:pPr>
    </w:p>
    <w:p>
      <w:pPr>
        <w:snapToGrid w:val="0"/>
        <w:spacing w:line="594" w:lineRule="exact"/>
        <w:jc w:val="center"/>
        <w:rPr>
          <w:rFonts w:ascii="Times New Roman" w:hAnsi="Times New Roman" w:eastAsia="方正小标宋_GBK" w:cs="Times New Roman"/>
          <w:w w:val="100"/>
          <w:sz w:val="44"/>
          <w:szCs w:val="44"/>
        </w:rPr>
      </w:pPr>
      <w:r>
        <w:rPr>
          <w:rFonts w:ascii="Times New Roman" w:hAnsi="Times New Roman" w:eastAsia="方正小标宋_GBK" w:cs="Times New Roman"/>
          <w:w w:val="100"/>
          <w:sz w:val="44"/>
          <w:szCs w:val="44"/>
        </w:rPr>
        <w:t>黔江五福岭风电二期项目水土保持方案</w:t>
      </w:r>
    </w:p>
    <w:p>
      <w:pPr>
        <w:snapToGrid w:val="0"/>
        <w:spacing w:line="594" w:lineRule="exact"/>
        <w:jc w:val="center"/>
        <w:rPr>
          <w:rFonts w:ascii="Times New Roman" w:hAnsi="Times New Roman" w:eastAsia="方正小标宋_GBK" w:cs="Times New Roman"/>
          <w:w w:val="100"/>
          <w:sz w:val="44"/>
          <w:szCs w:val="44"/>
        </w:rPr>
      </w:pPr>
      <w:r>
        <w:rPr>
          <w:rFonts w:ascii="Times New Roman" w:hAnsi="Times New Roman" w:eastAsia="方正小标宋_GBK" w:cs="Times New Roman"/>
          <w:w w:val="100"/>
          <w:sz w:val="44"/>
          <w:szCs w:val="44"/>
        </w:rPr>
        <w:t>投资估算审核表</w:t>
      </w:r>
    </w:p>
    <w:p>
      <w:pPr>
        <w:widowControl/>
        <w:snapToGrid w:val="0"/>
        <w:spacing w:line="594" w:lineRule="exact"/>
        <w:jc w:val="center"/>
        <w:textAlignment w:val="center"/>
        <w:rPr>
          <w:rFonts w:ascii="Times New Roman" w:hAnsi="Times New Roman" w:eastAsia="宋体" w:cs="Times New Roman"/>
          <w:kern w:val="0"/>
          <w:sz w:val="21"/>
          <w:szCs w:val="21"/>
          <w:lang w:bidi="ar"/>
        </w:rPr>
      </w:pPr>
      <w:r>
        <w:rPr>
          <w:rFonts w:hint="eastAsia" w:ascii="Times New Roman" w:hAnsi="Times New Roman" w:eastAsia="宋体" w:cs="Times New Roman"/>
          <w:kern w:val="0"/>
          <w:sz w:val="21"/>
          <w:szCs w:val="21"/>
          <w:lang w:val="en-US" w:eastAsia="zh-CN" w:bidi="ar"/>
        </w:rPr>
        <w:t xml:space="preserve">                                                                    </w:t>
      </w:r>
      <w:r>
        <w:rPr>
          <w:rFonts w:ascii="Times New Roman" w:hAnsi="Times New Roman" w:eastAsia="宋体" w:cs="Times New Roman"/>
          <w:kern w:val="0"/>
          <w:sz w:val="21"/>
          <w:szCs w:val="21"/>
          <w:lang w:bidi="ar"/>
        </w:rPr>
        <w:t>单位：万元</w:t>
      </w:r>
    </w:p>
    <w:tbl>
      <w:tblPr>
        <w:tblStyle w:val="17"/>
        <w:tblW w:w="9452" w:type="dxa"/>
        <w:jc w:val="center"/>
        <w:tblLayout w:type="fixed"/>
        <w:tblCellMar>
          <w:top w:w="0" w:type="dxa"/>
          <w:left w:w="108" w:type="dxa"/>
          <w:bottom w:w="0" w:type="dxa"/>
          <w:right w:w="108" w:type="dxa"/>
        </w:tblCellMar>
      </w:tblPr>
      <w:tblGrid>
        <w:gridCol w:w="812"/>
        <w:gridCol w:w="1796"/>
        <w:gridCol w:w="936"/>
        <w:gridCol w:w="888"/>
        <w:gridCol w:w="996"/>
        <w:gridCol w:w="924"/>
        <w:gridCol w:w="820"/>
        <w:gridCol w:w="1080"/>
        <w:gridCol w:w="1200"/>
      </w:tblGrid>
      <w:tr>
        <w:tblPrEx>
          <w:tblCellMar>
            <w:top w:w="0" w:type="dxa"/>
            <w:left w:w="108" w:type="dxa"/>
            <w:bottom w:w="0" w:type="dxa"/>
            <w:right w:w="108" w:type="dxa"/>
          </w:tblCellMar>
        </w:tblPrEx>
        <w:trPr>
          <w:trHeight w:val="340" w:hRule="atLeast"/>
          <w:tblHeader/>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序号</w:t>
            </w:r>
          </w:p>
        </w:tc>
        <w:tc>
          <w:tcPr>
            <w:tcW w:w="1796" w:type="dxa"/>
            <w:vMerge w:val="restart"/>
            <w:tcBorders>
              <w:top w:val="single" w:color="auto" w:sz="4" w:space="0"/>
              <w:left w:val="nil"/>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工程或</w:t>
            </w: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费用名称</w:t>
            </w:r>
          </w:p>
        </w:tc>
        <w:tc>
          <w:tcPr>
            <w:tcW w:w="2820"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设计投资</w:t>
            </w:r>
          </w:p>
        </w:tc>
        <w:tc>
          <w:tcPr>
            <w:tcW w:w="2824"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审核投资</w:t>
            </w:r>
          </w:p>
        </w:tc>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增减（+/-）</w:t>
            </w:r>
          </w:p>
        </w:tc>
      </w:tr>
      <w:tr>
        <w:tblPrEx>
          <w:tblCellMar>
            <w:top w:w="0" w:type="dxa"/>
            <w:left w:w="108" w:type="dxa"/>
            <w:bottom w:w="0" w:type="dxa"/>
            <w:right w:w="108" w:type="dxa"/>
          </w:tblCellMar>
        </w:tblPrEx>
        <w:trPr>
          <w:trHeight w:val="340" w:hRule="atLeast"/>
          <w:tblHeader/>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p>
        </w:tc>
        <w:tc>
          <w:tcPr>
            <w:tcW w:w="1796" w:type="dxa"/>
            <w:vMerge w:val="continue"/>
            <w:tcBorders>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方案</w:t>
            </w: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新增</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主体</w:t>
            </w: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已列</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小计</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方案</w:t>
            </w: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新增</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主体</w:t>
            </w:r>
          </w:p>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已列</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小计</w:t>
            </w: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第一部分</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工程措施费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147.43</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565.72</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147.43</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565.72</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1</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风机平台</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43.26</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43.26</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43.26</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43.26</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43.26</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2</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场区道路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52.34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365.33</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417.67</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52.34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365.33</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417.67</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52.34</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3</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集电线路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2.31</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2.31</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2.31</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2.31</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2.31</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4</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升压站</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2.27</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6.04</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8.31</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2.27</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6.04</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8.31</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2.27</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5</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施工生产生活区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8.74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8.74</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8.74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　</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8.74</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8.74</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6</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弃渣场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38.51</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46.92</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85.43</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38.51</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46.92</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85.43</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38.51</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第二部分</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植物措施费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69.58</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69.58</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69.58</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69.58</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1</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风机平台</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6.45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6.45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6.45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6.45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2</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场区道路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43.41</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43.41</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43.41</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43.41</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3</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集电线路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12.41</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12.41</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12.41</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12.41</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4</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施工生产生活区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0.94</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0.94</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5</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弃渣场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6.37</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6.37</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6.37</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6.37</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第三部分</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监测措施费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36.25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36.25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36.25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36.25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1</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土建设施</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2</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观测运行费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35.10</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35.10</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35.10</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35.10</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3</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设备折旧费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0.90</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0.90</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0.90</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0.90</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第四部分</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施工临时措施费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614.77</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614.77</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614.77</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614.77</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1</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风机平台</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146.45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146.45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146.45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146.45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2</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场区道路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414.12</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414.12</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414.12</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414.12</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3</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集电线路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38.56</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38.56</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38.56</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38.56</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4</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升压站</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0.25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5</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施工生产生活区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7.59</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7.59</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7.59</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7.59</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6</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弃渣场</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3.45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3.45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3.45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3.45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7</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其他临时工程</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4.35</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4.35</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4.35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第五部分</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独立费用</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124.33</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124.33</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124.33</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124.33</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一</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技术咨询费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73.14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73.14</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73.14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73.14</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二</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工程管理费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51.19</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51.19</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51.19</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51.19</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r>
              <w:rPr>
                <w:rFonts w:hint="default" w:ascii="Times New Roman" w:hAnsi="Times New Roman" w:eastAsia="宋体" w:cs="Times New Roman"/>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I</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第一至五部分合计</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992.36</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418.29</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1410.65</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992.36</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418.29</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1410.65</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II</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基本预备费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59.54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59.54</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59.54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59.54</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III</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val="0"/>
                <w:bCs w:val="0"/>
                <w:kern w:val="24"/>
                <w:sz w:val="21"/>
                <w:szCs w:val="21"/>
                <w:lang w:val="en-US" w:eastAsia="zh-CN" w:bidi="ar-SA"/>
              </w:rPr>
            </w:pPr>
            <w:r>
              <w:rPr>
                <w:rFonts w:hint="eastAsia" w:ascii="Times New Roman" w:hAnsi="Times New Roman" w:eastAsia="宋体" w:cs="宋体"/>
                <w:b w:val="0"/>
                <w:bCs w:val="0"/>
                <w:kern w:val="24"/>
                <w:sz w:val="21"/>
                <w:szCs w:val="21"/>
                <w:lang w:val="en-US" w:eastAsia="zh-CN" w:bidi="ar-SA"/>
              </w:rPr>
              <w:t>水土保持补偿费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67.24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67.24</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67.24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67.24</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kern w:val="24"/>
                <w:sz w:val="21"/>
                <w:szCs w:val="21"/>
                <w:lang w:val="en-US" w:eastAsia="zh-CN" w:bidi="ar-SA"/>
              </w:rPr>
            </w:pPr>
            <w:r>
              <w:rPr>
                <w:rFonts w:hint="default" w:ascii="Times New Roman" w:hAnsi="Times New Roman" w:eastAsia="宋体" w:cs="Times New Roman"/>
                <w:b w:val="0"/>
                <w:bCs w:val="0"/>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　</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静态总投资</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1119.14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1537.43</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1119.14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1537.43</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IV</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价差预备费</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V</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建设期融资利息</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4"/>
                <w:sz w:val="21"/>
                <w:szCs w:val="21"/>
                <w:lang w:val="en-US" w:eastAsia="zh-CN" w:bidi="ar-SA"/>
              </w:rPr>
            </w:pPr>
          </w:p>
        </w:tc>
      </w:tr>
      <w:tr>
        <w:tblPrEx>
          <w:tblCellMar>
            <w:top w:w="0" w:type="dxa"/>
            <w:left w:w="108" w:type="dxa"/>
            <w:bottom w:w="0" w:type="dxa"/>
            <w:right w:w="108" w:type="dxa"/>
          </w:tblCellMar>
        </w:tblPrEx>
        <w:trPr>
          <w:trHeight w:val="340" w:hRule="atLeast"/>
          <w:jc w:val="center"/>
        </w:trPr>
        <w:tc>
          <w:tcPr>
            <w:tcW w:w="812" w:type="dxa"/>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kern w:val="24"/>
                <w:sz w:val="21"/>
                <w:szCs w:val="21"/>
                <w:lang w:val="en-US" w:eastAsia="zh-CN" w:bidi="ar-SA"/>
              </w:rPr>
            </w:pPr>
            <w:r>
              <w:rPr>
                <w:rFonts w:hint="eastAsia" w:ascii="Times New Roman" w:hAnsi="Times New Roman" w:eastAsia="宋体" w:cs="宋体"/>
                <w:kern w:val="24"/>
                <w:sz w:val="21"/>
                <w:szCs w:val="21"/>
                <w:lang w:val="en-US" w:eastAsia="zh-CN" w:bidi="ar-SA"/>
              </w:rPr>
              <w:t>　</w:t>
            </w:r>
          </w:p>
        </w:tc>
        <w:tc>
          <w:tcPr>
            <w:tcW w:w="17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宋体" w:cs="宋体"/>
                <w:b/>
                <w:bCs/>
                <w:kern w:val="24"/>
                <w:sz w:val="21"/>
                <w:szCs w:val="21"/>
                <w:lang w:val="en-US" w:eastAsia="zh-CN" w:bidi="ar-SA"/>
              </w:rPr>
            </w:pPr>
            <w:r>
              <w:rPr>
                <w:rFonts w:hint="eastAsia" w:ascii="Times New Roman" w:hAnsi="Times New Roman" w:eastAsia="宋体" w:cs="宋体"/>
                <w:b/>
                <w:bCs/>
                <w:kern w:val="24"/>
                <w:sz w:val="21"/>
                <w:szCs w:val="21"/>
                <w:lang w:val="en-US" w:eastAsia="zh-CN" w:bidi="ar-SA"/>
              </w:rPr>
              <w:t>总投资</w:t>
            </w:r>
          </w:p>
        </w:tc>
        <w:tc>
          <w:tcPr>
            <w:tcW w:w="93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1119.14</w:t>
            </w:r>
          </w:p>
        </w:tc>
        <w:tc>
          <w:tcPr>
            <w:tcW w:w="888"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996"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1537.43</w:t>
            </w:r>
          </w:p>
        </w:tc>
        <w:tc>
          <w:tcPr>
            <w:tcW w:w="92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1119.14</w:t>
            </w:r>
          </w:p>
        </w:tc>
        <w:tc>
          <w:tcPr>
            <w:tcW w:w="82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418.29</w:t>
            </w:r>
          </w:p>
        </w:tc>
        <w:tc>
          <w:tcPr>
            <w:tcW w:w="108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1537.43</w:t>
            </w:r>
          </w:p>
        </w:tc>
        <w:tc>
          <w:tcPr>
            <w:tcW w:w="1200"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4"/>
                <w:sz w:val="21"/>
                <w:szCs w:val="21"/>
                <w:lang w:val="en-US" w:eastAsia="zh-CN" w:bidi="ar-SA"/>
              </w:rPr>
            </w:pPr>
            <w:r>
              <w:rPr>
                <w:rFonts w:hint="default" w:ascii="Times New Roman" w:hAnsi="Times New Roman" w:eastAsia="宋体" w:cs="Times New Roman"/>
                <w:b/>
                <w:bCs/>
                <w:kern w:val="24"/>
                <w:sz w:val="21"/>
                <w:szCs w:val="21"/>
                <w:lang w:val="en-US" w:eastAsia="zh-CN" w:bidi="ar-SA"/>
              </w:rPr>
              <w:t>0.00</w:t>
            </w:r>
          </w:p>
        </w:tc>
      </w:tr>
    </w:tbl>
    <w:p>
      <w:pPr>
        <w:widowControl/>
        <w:jc w:val="both"/>
        <w:rPr>
          <w:rFonts w:hint="eastAsia" w:ascii="Times New Roman" w:hAnsi="Times New Roman" w:cs="Times New Roman"/>
          <w:color w:val="FF0000"/>
          <w:kern w:val="0"/>
          <w:sz w:val="21"/>
          <w:szCs w:val="21"/>
          <w:lang w:val="en-US" w:eastAsia="zh-CN"/>
        </w:rPr>
      </w:pPr>
    </w:p>
    <w:sectPr>
      <w:footerReference r:id="rId4" w:type="default"/>
      <w:pgSz w:w="11906" w:h="16838"/>
      <w:pgMar w:top="1985" w:right="1446" w:bottom="1644" w:left="1446" w:header="851" w:footer="1474" w:gutter="0"/>
      <w:pgBorders>
        <w:top w:val="none" w:sz="0" w:space="0"/>
        <w:left w:val="none" w:sz="0" w:space="0"/>
        <w:bottom w:val="none" w:sz="0" w:space="0"/>
        <w:right w:val="none" w:sz="0" w:space="0"/>
      </w:pgBorders>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wis721 BT">
    <w:altName w:val="Segoe Script"/>
    <w:panose1 w:val="020B05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仿宋">
    <w:altName w:val="方正仿宋_GBK"/>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Script">
    <w:panose1 w:val="02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DMzFdEAAAADAQAADwAAAAAAAAABACAAAAAiAAAAZHJzL2Rvd25yZXYueG1sUEsBAhQAFAAAAAgA&#10;h07iQCZM3bfzAQAAwgMAAA4AAAAAAAAAAQAgAAAAIAEAAGRycy9lMm9Eb2MueG1sUEsFBgAAAAAG&#10;AAYAWQEAAIUFAAAAAA==&#10;">
              <v:fill on="f" focussize="0,0"/>
              <v:stroke on="f"/>
              <v:imagedata o:title=""/>
              <o:lock v:ext="edit" aspectratio="f"/>
              <v:textbox inset="0mm,0mm,0mm,0mm" style="mso-fit-shape-to-text:t;">
                <w:txbxContent>
                  <w:p>
                    <w:pPr>
                      <w:snapToGrid w:val="0"/>
                      <w:jc w:val="left"/>
                      <w:rPr>
                        <w:rFonts w:ascii="Times New Roman" w:hAnsi="Times New Roman" w:eastAsia="宋体" w:cs="Times New Roman"/>
                        <w:sz w:val="18"/>
                        <w:szCs w:val="18"/>
                      </w:rPr>
                    </w:pPr>
                    <w:r>
                      <w:rPr>
                        <w:rFonts w:hint="eastAsia" w:ascii="宋体" w:hAnsi="宋体" w:eastAsia="宋体" w:cs="宋体"/>
                        <w:szCs w:val="28"/>
                      </w:rPr>
                      <w:t xml:space="preserve">— </w:t>
                    </w:r>
                    <w:r>
                      <w:rPr>
                        <w:rFonts w:hint="eastAsia" w:ascii="宋体" w:hAnsi="宋体" w:eastAsia="宋体" w:cs="宋体"/>
                        <w:szCs w:val="28"/>
                      </w:rPr>
                      <w:fldChar w:fldCharType="begin"/>
                    </w:r>
                    <w:r>
                      <w:rPr>
                        <w:rFonts w:hint="eastAsia" w:ascii="宋体" w:hAnsi="宋体" w:eastAsia="宋体" w:cs="宋体"/>
                        <w:szCs w:val="28"/>
                      </w:rPr>
                      <w:instrText xml:space="preserve"> PAGE  \* MERGEFORMAT </w:instrText>
                    </w:r>
                    <w:r>
                      <w:rPr>
                        <w:rFonts w:hint="eastAsia" w:ascii="宋体" w:hAnsi="宋体" w:eastAsia="宋体" w:cs="宋体"/>
                        <w:szCs w:val="28"/>
                      </w:rPr>
                      <w:fldChar w:fldCharType="separate"/>
                    </w:r>
                    <w:r>
                      <w:rPr>
                        <w:rFonts w:ascii="宋体" w:hAnsi="宋体" w:eastAsia="宋体" w:cs="宋体"/>
                        <w:szCs w:val="28"/>
                      </w:rPr>
                      <w:t>7</w:t>
                    </w:r>
                    <w:r>
                      <w:rPr>
                        <w:rFonts w:hint="eastAsia" w:ascii="宋体" w:hAnsi="宋体" w:eastAsia="宋体" w:cs="宋体"/>
                        <w:szCs w:val="28"/>
                      </w:rPr>
                      <w:fldChar w:fldCharType="end"/>
                    </w:r>
                    <w:r>
                      <w:rPr>
                        <w:rFonts w:hint="eastAsia" w:ascii="宋体" w:hAnsi="宋体" w:eastAsia="宋体" w:cs="宋体"/>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vlmNoswBAAB6AwAADgAAAAAAAAABACAAAAAiAQAAZHJz&#10;L2Uyb0RvYy54bWxQSwUGAAAAAAYABgBZAQAAYAUAAAAA&#10;">
              <v:fill on="f" focussize="0,0"/>
              <v:stroke on="f" weight="1.25pt"/>
              <v:imagedata o:title=""/>
              <o:lock v:ext="edit" aspectratio="f"/>
              <v:textbox inset="0mm,0mm,0mm,0mm" style="mso-fit-shape-to-text:t;">
                <w:txbxContent>
                  <w:p>
                    <w:pPr>
                      <w:pStyle w:val="13"/>
                      <w:rPr>
                        <w:rStyle w:val="19"/>
                        <w:rFonts w:hint="eastAsia" w:asciiTheme="minorEastAsia" w:hAnsiTheme="minorEastAsia" w:eastAsiaTheme="minorEastAsia" w:cstheme="minorEastAsia"/>
                        <w:sz w:val="28"/>
                        <w:szCs w:val="28"/>
                      </w:rPr>
                    </w:pPr>
                    <w:r>
                      <w:rPr>
                        <w:rStyle w:val="19"/>
                        <w:rFonts w:hint="eastAsia" w:asciiTheme="minorEastAsia" w:hAnsiTheme="minorEastAsia" w:eastAsiaTheme="minorEastAsia" w:cstheme="minorEastAsia"/>
                        <w:sz w:val="28"/>
                        <w:szCs w:val="28"/>
                      </w:rPr>
                      <w:t xml:space="preserve">— </w:t>
                    </w:r>
                    <w:r>
                      <w:rPr>
                        <w:rStyle w:val="19"/>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sz w:val="28"/>
                        <w:szCs w:val="28"/>
                      </w:rPr>
                      <w:instrText xml:space="preserve"> PAGE  \* MERGEFORMAT </w:instrText>
                    </w:r>
                    <w:r>
                      <w:rPr>
                        <w:rStyle w:val="19"/>
                        <w:rFonts w:hint="eastAsia" w:asciiTheme="minorEastAsia" w:hAnsiTheme="minorEastAsia" w:eastAsiaTheme="minorEastAsia" w:cstheme="minorEastAsia"/>
                        <w:sz w:val="28"/>
                        <w:szCs w:val="28"/>
                      </w:rPr>
                      <w:fldChar w:fldCharType="separate"/>
                    </w:r>
                    <w:r>
                      <w:rPr>
                        <w:rStyle w:val="19"/>
                        <w:rFonts w:hint="eastAsia" w:asciiTheme="minorEastAsia" w:hAnsiTheme="minorEastAsia" w:eastAsiaTheme="minorEastAsia" w:cstheme="minorEastAsia"/>
                        <w:sz w:val="28"/>
                        <w:szCs w:val="28"/>
                      </w:rPr>
                      <w:t>18</w:t>
                    </w:r>
                    <w:r>
                      <w:rPr>
                        <w:rStyle w:val="19"/>
                        <w:rFonts w:hint="eastAsia" w:asciiTheme="minorEastAsia" w:hAnsiTheme="minorEastAsia" w:eastAsiaTheme="minorEastAsia" w:cstheme="minorEastAsia"/>
                        <w:sz w:val="28"/>
                        <w:szCs w:val="28"/>
                      </w:rPr>
                      <w:fldChar w:fldCharType="end"/>
                    </w:r>
                    <w:r>
                      <w:rPr>
                        <w:rStyle w:val="19"/>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E576A"/>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4AA561E"/>
    <w:rsid w:val="05342C29"/>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F94AD2"/>
    <w:rsid w:val="0F736B0C"/>
    <w:rsid w:val="0F7830AF"/>
    <w:rsid w:val="0FEB31A3"/>
    <w:rsid w:val="10C6291E"/>
    <w:rsid w:val="12207CB7"/>
    <w:rsid w:val="136638AB"/>
    <w:rsid w:val="13763A43"/>
    <w:rsid w:val="14706153"/>
    <w:rsid w:val="15D50686"/>
    <w:rsid w:val="17AD1515"/>
    <w:rsid w:val="191F2D4F"/>
    <w:rsid w:val="19E63E0C"/>
    <w:rsid w:val="1AA11BA9"/>
    <w:rsid w:val="1C690C00"/>
    <w:rsid w:val="1D2C5FE8"/>
    <w:rsid w:val="1DFB7D1C"/>
    <w:rsid w:val="1E69485B"/>
    <w:rsid w:val="1E9C00A0"/>
    <w:rsid w:val="1F3B6715"/>
    <w:rsid w:val="1F5CA05E"/>
    <w:rsid w:val="1F6F63CD"/>
    <w:rsid w:val="1FFD4D5A"/>
    <w:rsid w:val="219C1C67"/>
    <w:rsid w:val="21A73E45"/>
    <w:rsid w:val="220F0EDB"/>
    <w:rsid w:val="23CC7B8D"/>
    <w:rsid w:val="24432410"/>
    <w:rsid w:val="24CA766A"/>
    <w:rsid w:val="24D523AF"/>
    <w:rsid w:val="25C83420"/>
    <w:rsid w:val="275C69CE"/>
    <w:rsid w:val="290A7315"/>
    <w:rsid w:val="29C10E64"/>
    <w:rsid w:val="2A341411"/>
    <w:rsid w:val="2B1706DC"/>
    <w:rsid w:val="2B17EBFE"/>
    <w:rsid w:val="2CBE2431"/>
    <w:rsid w:val="2ECB239C"/>
    <w:rsid w:val="2FEB4B9F"/>
    <w:rsid w:val="2FEB6799"/>
    <w:rsid w:val="30914434"/>
    <w:rsid w:val="31D921A4"/>
    <w:rsid w:val="32BF7018"/>
    <w:rsid w:val="33AFCDDC"/>
    <w:rsid w:val="33BD46DB"/>
    <w:rsid w:val="34581908"/>
    <w:rsid w:val="35020712"/>
    <w:rsid w:val="35065A3A"/>
    <w:rsid w:val="35D5328C"/>
    <w:rsid w:val="370D16B3"/>
    <w:rsid w:val="37C51145"/>
    <w:rsid w:val="37D34713"/>
    <w:rsid w:val="37FFA73D"/>
    <w:rsid w:val="386510FC"/>
    <w:rsid w:val="39BA7744"/>
    <w:rsid w:val="39BFCBD3"/>
    <w:rsid w:val="3AB853C8"/>
    <w:rsid w:val="3B9F2014"/>
    <w:rsid w:val="3BA26649"/>
    <w:rsid w:val="3BEB2DD8"/>
    <w:rsid w:val="3BEFAF9D"/>
    <w:rsid w:val="3C9A35A3"/>
    <w:rsid w:val="3D7F5882"/>
    <w:rsid w:val="3DBB3E02"/>
    <w:rsid w:val="3DD030B8"/>
    <w:rsid w:val="3DDE5100"/>
    <w:rsid w:val="3E63500C"/>
    <w:rsid w:val="3E81138A"/>
    <w:rsid w:val="3EFE8C2A"/>
    <w:rsid w:val="3F7F5A6A"/>
    <w:rsid w:val="3F7F6E9A"/>
    <w:rsid w:val="3FA43F19"/>
    <w:rsid w:val="3FDF6E79"/>
    <w:rsid w:val="41285076"/>
    <w:rsid w:val="426B3A75"/>
    <w:rsid w:val="42AD5BED"/>
    <w:rsid w:val="43396CC2"/>
    <w:rsid w:val="43723646"/>
    <w:rsid w:val="439D17F4"/>
    <w:rsid w:val="46BF18E1"/>
    <w:rsid w:val="46E66BFD"/>
    <w:rsid w:val="473E4D14"/>
    <w:rsid w:val="489A0AE6"/>
    <w:rsid w:val="4A9317A2"/>
    <w:rsid w:val="4B4D65A7"/>
    <w:rsid w:val="4D2370E7"/>
    <w:rsid w:val="4DECC0FF"/>
    <w:rsid w:val="4E7647D3"/>
    <w:rsid w:val="4E8C447A"/>
    <w:rsid w:val="4F502494"/>
    <w:rsid w:val="4FBEF9B5"/>
    <w:rsid w:val="4FC55E23"/>
    <w:rsid w:val="509A7964"/>
    <w:rsid w:val="52165ABF"/>
    <w:rsid w:val="53D72F5A"/>
    <w:rsid w:val="53F02C4A"/>
    <w:rsid w:val="53FDACB5"/>
    <w:rsid w:val="54510FE5"/>
    <w:rsid w:val="56020BB4"/>
    <w:rsid w:val="571E02A3"/>
    <w:rsid w:val="57FD7E1B"/>
    <w:rsid w:val="584843AC"/>
    <w:rsid w:val="5A7E2231"/>
    <w:rsid w:val="5ADF6823"/>
    <w:rsid w:val="5B175D16"/>
    <w:rsid w:val="5B1A0782"/>
    <w:rsid w:val="5C624A97"/>
    <w:rsid w:val="5DDA3951"/>
    <w:rsid w:val="5E5AF9EE"/>
    <w:rsid w:val="5FA95F49"/>
    <w:rsid w:val="5FBF8763"/>
    <w:rsid w:val="5FEBA76B"/>
    <w:rsid w:val="5FEF0E87"/>
    <w:rsid w:val="61CB412D"/>
    <w:rsid w:val="61E274FB"/>
    <w:rsid w:val="61FB70C3"/>
    <w:rsid w:val="63270190"/>
    <w:rsid w:val="63C07097"/>
    <w:rsid w:val="63F6BC28"/>
    <w:rsid w:val="654340E7"/>
    <w:rsid w:val="664F3B20"/>
    <w:rsid w:val="675B5FBD"/>
    <w:rsid w:val="6788382C"/>
    <w:rsid w:val="6826391B"/>
    <w:rsid w:val="6867608D"/>
    <w:rsid w:val="68EF42C4"/>
    <w:rsid w:val="6A7FB000"/>
    <w:rsid w:val="6A956400"/>
    <w:rsid w:val="6ABF5399"/>
    <w:rsid w:val="6B6E072A"/>
    <w:rsid w:val="6BBB6541"/>
    <w:rsid w:val="6C67536A"/>
    <w:rsid w:val="6C777B8B"/>
    <w:rsid w:val="6D4D31CC"/>
    <w:rsid w:val="6E504A7B"/>
    <w:rsid w:val="6EA01D7B"/>
    <w:rsid w:val="6EFE9375"/>
    <w:rsid w:val="6F5A0D30"/>
    <w:rsid w:val="6F5A677D"/>
    <w:rsid w:val="6F9F2C42"/>
    <w:rsid w:val="6FDB23B1"/>
    <w:rsid w:val="6FE6DE43"/>
    <w:rsid w:val="6FFF2707"/>
    <w:rsid w:val="700A63FA"/>
    <w:rsid w:val="71180D83"/>
    <w:rsid w:val="71F95C1E"/>
    <w:rsid w:val="72836946"/>
    <w:rsid w:val="728B5B6F"/>
    <w:rsid w:val="72C3149E"/>
    <w:rsid w:val="73661CF5"/>
    <w:rsid w:val="73AC6CAF"/>
    <w:rsid w:val="73DC4B44"/>
    <w:rsid w:val="743E4BED"/>
    <w:rsid w:val="744A0831"/>
    <w:rsid w:val="746DE58C"/>
    <w:rsid w:val="75050BC9"/>
    <w:rsid w:val="75DFB322"/>
    <w:rsid w:val="75FF1D72"/>
    <w:rsid w:val="76862FBE"/>
    <w:rsid w:val="76AE5741"/>
    <w:rsid w:val="76D34EA5"/>
    <w:rsid w:val="76F61301"/>
    <w:rsid w:val="77052688"/>
    <w:rsid w:val="774E327C"/>
    <w:rsid w:val="779FFD24"/>
    <w:rsid w:val="77BE3158"/>
    <w:rsid w:val="77D116E6"/>
    <w:rsid w:val="77F6D61D"/>
    <w:rsid w:val="788619C9"/>
    <w:rsid w:val="78D4654C"/>
    <w:rsid w:val="797DEB38"/>
    <w:rsid w:val="79AE4707"/>
    <w:rsid w:val="7ABDECA6"/>
    <w:rsid w:val="7AFB0652"/>
    <w:rsid w:val="7B56DDA2"/>
    <w:rsid w:val="7B5C206A"/>
    <w:rsid w:val="7B5F60E6"/>
    <w:rsid w:val="7BDD098F"/>
    <w:rsid w:val="7BEBF7D2"/>
    <w:rsid w:val="7BF66A1A"/>
    <w:rsid w:val="7BF7DAD7"/>
    <w:rsid w:val="7BFE1B7C"/>
    <w:rsid w:val="7CAF6D1A"/>
    <w:rsid w:val="7CB461A6"/>
    <w:rsid w:val="7CDEF532"/>
    <w:rsid w:val="7D7563CA"/>
    <w:rsid w:val="7DAF588E"/>
    <w:rsid w:val="7EBCA161"/>
    <w:rsid w:val="7EF7C809"/>
    <w:rsid w:val="7EFB34CC"/>
    <w:rsid w:val="7EFDE791"/>
    <w:rsid w:val="7F146A1A"/>
    <w:rsid w:val="7F7583FE"/>
    <w:rsid w:val="7FBB89BF"/>
    <w:rsid w:val="7FBF3A79"/>
    <w:rsid w:val="7FEEDE92"/>
    <w:rsid w:val="7FEFABF9"/>
    <w:rsid w:val="7FF2B72A"/>
    <w:rsid w:val="7FF878E2"/>
    <w:rsid w:val="7FFB35A7"/>
    <w:rsid w:val="7FFD9F55"/>
    <w:rsid w:val="9D5E0256"/>
    <w:rsid w:val="9DFF8143"/>
    <w:rsid w:val="9EDFA34A"/>
    <w:rsid w:val="A4A9E009"/>
    <w:rsid w:val="AEDCFD40"/>
    <w:rsid w:val="B5C121B5"/>
    <w:rsid w:val="B5DE0672"/>
    <w:rsid w:val="B5EE9E49"/>
    <w:rsid w:val="B5F7B175"/>
    <w:rsid w:val="B97F7191"/>
    <w:rsid w:val="BBFF5877"/>
    <w:rsid w:val="BBFF66F1"/>
    <w:rsid w:val="BCCF1D1D"/>
    <w:rsid w:val="BD7CAE0B"/>
    <w:rsid w:val="BDFBD4BA"/>
    <w:rsid w:val="BDFF872F"/>
    <w:rsid w:val="BEBB3247"/>
    <w:rsid w:val="BF6E9522"/>
    <w:rsid w:val="BFDF0CA2"/>
    <w:rsid w:val="BFF597B2"/>
    <w:rsid w:val="BFF7D093"/>
    <w:rsid w:val="BFFD2A76"/>
    <w:rsid w:val="BFFE1C57"/>
    <w:rsid w:val="CFDEA72F"/>
    <w:rsid w:val="D6F795FC"/>
    <w:rsid w:val="D6FD671B"/>
    <w:rsid w:val="D7D7DDCC"/>
    <w:rsid w:val="D8DCEDE1"/>
    <w:rsid w:val="DAFBCEB0"/>
    <w:rsid w:val="DB726C3A"/>
    <w:rsid w:val="DBF76714"/>
    <w:rsid w:val="DDA208C1"/>
    <w:rsid w:val="DF6A0073"/>
    <w:rsid w:val="DF780174"/>
    <w:rsid w:val="DFCBC77F"/>
    <w:rsid w:val="DFD77326"/>
    <w:rsid w:val="DFDD30F9"/>
    <w:rsid w:val="DFF5A64B"/>
    <w:rsid w:val="DFFFB97E"/>
    <w:rsid w:val="E3DFABFC"/>
    <w:rsid w:val="E7E2616F"/>
    <w:rsid w:val="E7FF481B"/>
    <w:rsid w:val="EABFCD06"/>
    <w:rsid w:val="EAFB0206"/>
    <w:rsid w:val="ED7CB6BF"/>
    <w:rsid w:val="EE369E02"/>
    <w:rsid w:val="EF6FCD56"/>
    <w:rsid w:val="EF779F32"/>
    <w:rsid w:val="EF9EF7A3"/>
    <w:rsid w:val="EFBBA1E8"/>
    <w:rsid w:val="EFEFCEF3"/>
    <w:rsid w:val="EFFD85C2"/>
    <w:rsid w:val="EFFE7920"/>
    <w:rsid w:val="EFFF2025"/>
    <w:rsid w:val="EFFF494D"/>
    <w:rsid w:val="F277D181"/>
    <w:rsid w:val="F4C9127B"/>
    <w:rsid w:val="F67188B8"/>
    <w:rsid w:val="F6FC2EBA"/>
    <w:rsid w:val="F6FD84FB"/>
    <w:rsid w:val="F71C4126"/>
    <w:rsid w:val="F72F39FB"/>
    <w:rsid w:val="F73DF6FB"/>
    <w:rsid w:val="F7F698A3"/>
    <w:rsid w:val="F7FF3781"/>
    <w:rsid w:val="F9631D36"/>
    <w:rsid w:val="F9AFB6F0"/>
    <w:rsid w:val="F9F9C2D3"/>
    <w:rsid w:val="FA576F15"/>
    <w:rsid w:val="FADC04E4"/>
    <w:rsid w:val="FAF5C0F5"/>
    <w:rsid w:val="FB6E0296"/>
    <w:rsid w:val="FBAD5CE8"/>
    <w:rsid w:val="FBBD53BA"/>
    <w:rsid w:val="FBDF2122"/>
    <w:rsid w:val="FBEE1844"/>
    <w:rsid w:val="FBEF2C87"/>
    <w:rsid w:val="FBF76626"/>
    <w:rsid w:val="FBFF379E"/>
    <w:rsid w:val="FCDB6888"/>
    <w:rsid w:val="FD7E4FEE"/>
    <w:rsid w:val="FDBFFB3F"/>
    <w:rsid w:val="FDEDFE4B"/>
    <w:rsid w:val="FDF51AF1"/>
    <w:rsid w:val="FDF531D4"/>
    <w:rsid w:val="FED93425"/>
    <w:rsid w:val="FF16BD3D"/>
    <w:rsid w:val="FF5EF1C1"/>
    <w:rsid w:val="FF7DB9F7"/>
    <w:rsid w:val="FF7E9A41"/>
    <w:rsid w:val="FFCF68DB"/>
    <w:rsid w:val="FFDB89D3"/>
    <w:rsid w:val="FFFC8C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2">
    <w:name w:val="heading 3"/>
    <w:basedOn w:val="1"/>
    <w:next w:val="1"/>
    <w:link w:val="22"/>
    <w:qFormat/>
    <w:uiPriority w:val="0"/>
    <w:pPr>
      <w:keepNext/>
      <w:keepLines/>
      <w:widowControl/>
      <w:adjustRightInd w:val="0"/>
      <w:snapToGrid w:val="0"/>
      <w:spacing w:before="120" w:beforeLines="0" w:after="120" w:afterLines="0" w:line="460" w:lineRule="atLeast"/>
      <w:jc w:val="left"/>
      <w:outlineLvl w:val="2"/>
    </w:pPr>
    <w:rPr>
      <w:rFonts w:ascii="宋体" w:hAnsi="宋体"/>
      <w:b/>
      <w:sz w:val="24"/>
      <w:szCs w:val="20"/>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Cs w:val="28"/>
    </w:rPr>
  </w:style>
  <w:style w:type="character" w:default="1" w:styleId="18">
    <w:name w:val="Default Paragraph Font"/>
    <w:qFormat/>
    <w:uiPriority w:val="0"/>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1"/>
      <w:szCs w:val="24"/>
    </w:rPr>
  </w:style>
  <w:style w:type="paragraph" w:styleId="6">
    <w:name w:val="Normal Indent"/>
    <w:basedOn w:val="1"/>
    <w:next w:val="1"/>
    <w:link w:val="23"/>
    <w:qFormat/>
    <w:uiPriority w:val="0"/>
    <w:pPr>
      <w:ind w:firstLine="420"/>
    </w:pPr>
    <w:rPr>
      <w:rFonts w:ascii="宋体"/>
      <w:szCs w:val="20"/>
    </w:rPr>
  </w:style>
  <w:style w:type="paragraph" w:styleId="7">
    <w:name w:val="Document Map"/>
    <w:basedOn w:val="1"/>
    <w:link w:val="24"/>
    <w:qFormat/>
    <w:uiPriority w:val="0"/>
    <w:pPr>
      <w:shd w:val="clear" w:color="auto" w:fill="000080"/>
    </w:pPr>
  </w:style>
  <w:style w:type="paragraph" w:styleId="8">
    <w:name w:val="annotation text"/>
    <w:basedOn w:val="1"/>
    <w:link w:val="25"/>
    <w:qFormat/>
    <w:uiPriority w:val="0"/>
    <w:pPr>
      <w:widowControl/>
      <w:jc w:val="left"/>
    </w:pPr>
    <w:rPr>
      <w:rFonts w:ascii="宋体" w:hAnsi="宋体" w:cs="宋体"/>
      <w:kern w:val="0"/>
      <w:sz w:val="24"/>
    </w:rPr>
  </w:style>
  <w:style w:type="paragraph" w:styleId="9">
    <w:name w:val="Body Text"/>
    <w:basedOn w:val="1"/>
    <w:next w:val="1"/>
    <w:link w:val="26"/>
    <w:qFormat/>
    <w:uiPriority w:val="0"/>
    <w:pPr>
      <w:spacing w:after="120" w:afterLines="0"/>
    </w:pPr>
    <w:rPr>
      <w:sz w:val="21"/>
    </w:rPr>
  </w:style>
  <w:style w:type="paragraph" w:styleId="10">
    <w:name w:val="Body Text Indent"/>
    <w:basedOn w:val="1"/>
    <w:semiHidden/>
    <w:unhideWhenUsed/>
    <w:qFormat/>
    <w:uiPriority w:val="99"/>
    <w:pPr>
      <w:spacing w:after="120"/>
      <w:ind w:left="420" w:leftChars="200"/>
    </w:pPr>
  </w:style>
  <w:style w:type="paragraph" w:styleId="11">
    <w:name w:val="Body Text Indent 2"/>
    <w:basedOn w:val="1"/>
    <w:qFormat/>
    <w:uiPriority w:val="0"/>
    <w:pPr>
      <w:spacing w:after="120" w:afterLines="0" w:line="480" w:lineRule="auto"/>
      <w:ind w:left="420" w:leftChars="200"/>
    </w:pPr>
    <w:rPr>
      <w:sz w:val="21"/>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annotation subject"/>
    <w:basedOn w:val="8"/>
    <w:next w:val="8"/>
    <w:semiHidden/>
    <w:qFormat/>
    <w:uiPriority w:val="0"/>
    <w:pPr>
      <w:widowControl w:val="0"/>
    </w:pPr>
    <w:rPr>
      <w:rFonts w:ascii="Times New Roman" w:hAnsi="Times New Roman" w:cs="Times New Roman"/>
      <w:b/>
      <w:bCs/>
      <w:kern w:val="2"/>
      <w:sz w:val="28"/>
    </w:rPr>
  </w:style>
  <w:style w:type="paragraph" w:styleId="16">
    <w:name w:val="Body Text First Indent"/>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character" w:customStyle="1" w:styleId="22">
    <w:name w:val="标题 3 字符"/>
    <w:link w:val="2"/>
    <w:qFormat/>
    <w:uiPriority w:val="0"/>
    <w:rPr>
      <w:rFonts w:ascii="宋体" w:hAnsi="宋体" w:eastAsia="宋体"/>
      <w:b/>
      <w:kern w:val="2"/>
      <w:sz w:val="24"/>
      <w:lang w:val="en-US" w:eastAsia="zh-CN" w:bidi="ar-SA"/>
    </w:rPr>
  </w:style>
  <w:style w:type="character" w:customStyle="1" w:styleId="23">
    <w:name w:val="正文缩进 字符"/>
    <w:link w:val="6"/>
    <w:qFormat/>
    <w:uiPriority w:val="0"/>
    <w:rPr>
      <w:rFonts w:ascii="宋体" w:eastAsia="宋体"/>
      <w:kern w:val="2"/>
      <w:sz w:val="28"/>
      <w:lang w:val="en-US" w:eastAsia="zh-CN" w:bidi="ar-SA"/>
    </w:rPr>
  </w:style>
  <w:style w:type="character" w:customStyle="1" w:styleId="24">
    <w:name w:val="文档结构图 字符"/>
    <w:link w:val="7"/>
    <w:qFormat/>
    <w:uiPriority w:val="0"/>
    <w:rPr>
      <w:rFonts w:eastAsia="宋体"/>
      <w:kern w:val="2"/>
      <w:sz w:val="28"/>
      <w:szCs w:val="24"/>
      <w:lang w:val="en-US" w:eastAsia="zh-CN" w:bidi="ar-SA"/>
    </w:rPr>
  </w:style>
  <w:style w:type="character" w:customStyle="1" w:styleId="25">
    <w:name w:val="批注文字 字符"/>
    <w:link w:val="8"/>
    <w:qFormat/>
    <w:uiPriority w:val="0"/>
    <w:rPr>
      <w:rFonts w:ascii="宋体" w:hAnsi="宋体" w:eastAsia="宋体" w:cs="宋体"/>
      <w:sz w:val="24"/>
      <w:szCs w:val="24"/>
      <w:lang w:val="en-US" w:eastAsia="zh-CN" w:bidi="ar-SA"/>
    </w:rPr>
  </w:style>
  <w:style w:type="character" w:customStyle="1" w:styleId="26">
    <w:name w:val="正文文本 字符"/>
    <w:link w:val="9"/>
    <w:qFormat/>
    <w:uiPriority w:val="0"/>
    <w:rPr>
      <w:rFonts w:eastAsia="宋体"/>
      <w:kern w:val="2"/>
      <w:sz w:val="21"/>
      <w:szCs w:val="24"/>
      <w:lang w:val="en-US" w:eastAsia="zh-CN" w:bidi="ar-SA"/>
    </w:rPr>
  </w:style>
  <w:style w:type="character" w:customStyle="1" w:styleId="27">
    <w:name w:val="报告文本 Char"/>
    <w:link w:val="28"/>
    <w:qFormat/>
    <w:uiPriority w:val="0"/>
    <w:rPr>
      <w:kern w:val="24"/>
      <w:sz w:val="24"/>
      <w:szCs w:val="22"/>
    </w:rPr>
  </w:style>
  <w:style w:type="paragraph" w:customStyle="1" w:styleId="28">
    <w:name w:val="报告文本"/>
    <w:basedOn w:val="1"/>
    <w:link w:val="27"/>
    <w:qFormat/>
    <w:uiPriority w:val="0"/>
    <w:pPr>
      <w:spacing w:line="500" w:lineRule="exact"/>
      <w:ind w:firstLine="200" w:firstLineChars="200"/>
    </w:pPr>
    <w:rPr>
      <w:kern w:val="24"/>
      <w:sz w:val="24"/>
      <w:szCs w:val="22"/>
    </w:rPr>
  </w:style>
  <w:style w:type="character" w:customStyle="1" w:styleId="29">
    <w:name w:val="样式12 Char Char"/>
    <w:link w:val="30"/>
    <w:qFormat/>
    <w:uiPriority w:val="0"/>
    <w:rPr>
      <w:rFonts w:ascii="Swis721 BT" w:hAnsi="Swis721 BT" w:eastAsia="黑体"/>
      <w:color w:val="000000"/>
      <w:kern w:val="2"/>
      <w:sz w:val="28"/>
      <w:szCs w:val="28"/>
      <w:lang w:val="en-US" w:eastAsia="zh-CN" w:bidi="ar-SA"/>
    </w:rPr>
  </w:style>
  <w:style w:type="paragraph" w:customStyle="1" w:styleId="30">
    <w:name w:val="样式12"/>
    <w:basedOn w:val="1"/>
    <w:link w:val="29"/>
    <w:qFormat/>
    <w:uiPriority w:val="0"/>
    <w:pPr>
      <w:spacing w:before="93" w:beforeLines="30" w:after="93" w:afterLines="30" w:line="355" w:lineRule="auto"/>
      <w:outlineLvl w:val="2"/>
    </w:pPr>
    <w:rPr>
      <w:rFonts w:ascii="Swis721 BT" w:hAnsi="Swis721 BT" w:eastAsia="黑体"/>
      <w:color w:val="000000"/>
      <w:szCs w:val="28"/>
    </w:rPr>
  </w:style>
  <w:style w:type="character" w:customStyle="1" w:styleId="31">
    <w:name w:val="样式25 Char Char"/>
    <w:link w:val="32"/>
    <w:qFormat/>
    <w:uiPriority w:val="0"/>
    <w:rPr>
      <w:kern w:val="2"/>
      <w:sz w:val="26"/>
      <w:szCs w:val="22"/>
    </w:rPr>
  </w:style>
  <w:style w:type="paragraph" w:customStyle="1" w:styleId="32">
    <w:name w:val="样式25"/>
    <w:basedOn w:val="1"/>
    <w:link w:val="31"/>
    <w:qFormat/>
    <w:uiPriority w:val="0"/>
    <w:pPr>
      <w:spacing w:line="480" w:lineRule="exact"/>
      <w:ind w:firstLine="520" w:firstLineChars="200"/>
    </w:pPr>
    <w:rPr>
      <w:sz w:val="26"/>
      <w:szCs w:val="22"/>
    </w:rPr>
  </w:style>
  <w:style w:type="character" w:customStyle="1" w:styleId="33">
    <w:name w:val="都福路文本"/>
    <w:qFormat/>
    <w:uiPriority w:val="0"/>
    <w:rPr>
      <w:rFonts w:ascii="宋体" w:hAnsi="宋体" w:eastAsia="宋体"/>
      <w:color w:val="0000FF"/>
      <w:kern w:val="0"/>
      <w:sz w:val="24"/>
      <w:lang w:val="en-US" w:eastAsia="zh-CN"/>
    </w:rPr>
  </w:style>
  <w:style w:type="character" w:customStyle="1" w:styleId="34">
    <w:name w:val=" Char Char25"/>
    <w:qFormat/>
    <w:uiPriority w:val="0"/>
    <w:rPr>
      <w:rFonts w:eastAsia="宋体"/>
      <w:kern w:val="2"/>
      <w:sz w:val="21"/>
      <w:szCs w:val="24"/>
      <w:lang w:val="en-US" w:eastAsia="zh-CN" w:bidi="ar-SA"/>
    </w:rPr>
  </w:style>
  <w:style w:type="character" w:customStyle="1" w:styleId="35">
    <w:name w:val="font91"/>
    <w:qFormat/>
    <w:uiPriority w:val="0"/>
    <w:rPr>
      <w:rFonts w:hint="eastAsia" w:ascii="宋体" w:hAnsi="宋体" w:eastAsia="宋体" w:cs="宋体"/>
      <w:color w:val="000000"/>
      <w:sz w:val="20"/>
      <w:szCs w:val="20"/>
      <w:u w:val="none"/>
    </w:rPr>
  </w:style>
  <w:style w:type="character" w:customStyle="1" w:styleId="36">
    <w:name w:val="正文2"/>
    <w:qFormat/>
    <w:uiPriority w:val="0"/>
    <w:rPr>
      <w:rFonts w:eastAsia="宋体"/>
      <w:color w:val="0000FF"/>
    </w:rPr>
  </w:style>
  <w:style w:type="character" w:customStyle="1" w:styleId="37">
    <w:name w:val="font101"/>
    <w:qFormat/>
    <w:uiPriority w:val="0"/>
    <w:rPr>
      <w:rFonts w:hint="eastAsia" w:ascii="宋体" w:hAnsi="宋体" w:eastAsia="宋体" w:cs="宋体"/>
      <w:color w:val="000000"/>
      <w:sz w:val="20"/>
      <w:szCs w:val="20"/>
      <w:u w:val="none"/>
    </w:rPr>
  </w:style>
  <w:style w:type="character" w:customStyle="1" w:styleId="38">
    <w:name w:val="font51"/>
    <w:basedOn w:val="18"/>
    <w:qFormat/>
    <w:uiPriority w:val="0"/>
    <w:rPr>
      <w:rFonts w:hint="default" w:ascii="Times New Roman" w:hAnsi="Times New Roman" w:cs="Times New Roman"/>
      <w:b/>
      <w:bCs/>
      <w:color w:val="000000"/>
      <w:sz w:val="18"/>
      <w:szCs w:val="18"/>
      <w:u w:val="none"/>
    </w:rPr>
  </w:style>
  <w:style w:type="character" w:customStyle="1" w:styleId="39">
    <w:name w:val="文本条款 Char"/>
    <w:qFormat/>
    <w:uiPriority w:val="0"/>
    <w:rPr>
      <w:kern w:val="2"/>
      <w:sz w:val="21"/>
    </w:rPr>
  </w:style>
  <w:style w:type="character" w:customStyle="1" w:styleId="40">
    <w:name w:val="font81"/>
    <w:qFormat/>
    <w:uiPriority w:val="0"/>
    <w:rPr>
      <w:rFonts w:hint="default" w:ascii="Times New Roman" w:hAnsi="Times New Roman" w:cs="Times New Roman"/>
      <w:color w:val="000000"/>
      <w:sz w:val="20"/>
      <w:szCs w:val="20"/>
      <w:u w:val="none"/>
    </w:rPr>
  </w:style>
  <w:style w:type="character" w:customStyle="1" w:styleId="41">
    <w:name w:val="font71"/>
    <w:basedOn w:val="18"/>
    <w:qFormat/>
    <w:uiPriority w:val="0"/>
    <w:rPr>
      <w:rFonts w:hint="default" w:ascii="Times New Roman" w:hAnsi="Times New Roman" w:cs="Times New Roman"/>
      <w:color w:val="000000"/>
      <w:sz w:val="20"/>
      <w:szCs w:val="20"/>
      <w:u w:val="none"/>
    </w:rPr>
  </w:style>
  <w:style w:type="character" w:customStyle="1" w:styleId="42">
    <w:name w:val="样式4 Char Char"/>
    <w:link w:val="43"/>
    <w:qFormat/>
    <w:uiPriority w:val="0"/>
    <w:rPr>
      <w:rFonts w:ascii="宋体" w:hAnsi="宋体" w:eastAsia="仿宋_GB2312"/>
      <w:kern w:val="2"/>
      <w:sz w:val="28"/>
      <w:szCs w:val="28"/>
      <w:lang w:val="en-US" w:eastAsia="zh-CN" w:bidi="ar-SA"/>
    </w:rPr>
  </w:style>
  <w:style w:type="paragraph" w:customStyle="1" w:styleId="43">
    <w:name w:val="样式4"/>
    <w:basedOn w:val="1"/>
    <w:link w:val="42"/>
    <w:qFormat/>
    <w:uiPriority w:val="0"/>
    <w:pPr>
      <w:adjustRightInd w:val="0"/>
      <w:snapToGrid w:val="0"/>
      <w:spacing w:line="355" w:lineRule="auto"/>
      <w:ind w:firstLine="560" w:firstLineChars="200"/>
    </w:pPr>
    <w:rPr>
      <w:rFonts w:ascii="宋体" w:hAnsi="宋体" w:eastAsia="仿宋_GB2312"/>
      <w:szCs w:val="28"/>
    </w:rPr>
  </w:style>
  <w:style w:type="character" w:customStyle="1" w:styleId="44">
    <w:name w:val="样式1 Char Char"/>
    <w:link w:val="45"/>
    <w:qFormat/>
    <w:uiPriority w:val="0"/>
    <w:rPr>
      <w:rFonts w:eastAsia="宋体"/>
      <w:color w:val="000000"/>
      <w:sz w:val="21"/>
      <w:szCs w:val="21"/>
      <w:lang w:val="en-US" w:eastAsia="zh-CN" w:bidi="ar-SA"/>
    </w:rPr>
  </w:style>
  <w:style w:type="paragraph" w:customStyle="1" w:styleId="45">
    <w:name w:val="样式1"/>
    <w:basedOn w:val="1"/>
    <w:link w:val="44"/>
    <w:qFormat/>
    <w:uiPriority w:val="0"/>
    <w:pPr>
      <w:autoSpaceDE w:val="0"/>
      <w:autoSpaceDN w:val="0"/>
      <w:adjustRightInd w:val="0"/>
      <w:spacing w:before="40" w:beforeLines="0" w:after="40" w:afterLines="0"/>
      <w:jc w:val="center"/>
    </w:pPr>
    <w:rPr>
      <w:color w:val="000000"/>
      <w:kern w:val="0"/>
      <w:sz w:val="21"/>
      <w:szCs w:val="21"/>
    </w:rPr>
  </w:style>
  <w:style w:type="character" w:customStyle="1" w:styleId="46">
    <w:name w:val="font31"/>
    <w:qFormat/>
    <w:uiPriority w:val="0"/>
    <w:rPr>
      <w:rFonts w:hint="default" w:ascii="Times New Roman" w:hAnsi="Times New Roman" w:cs="Times New Roman"/>
      <w:color w:val="000000"/>
      <w:sz w:val="16"/>
      <w:szCs w:val="16"/>
      <w:u w:val="none"/>
    </w:rPr>
  </w:style>
  <w:style w:type="character" w:customStyle="1" w:styleId="47">
    <w:name w:val="样式 样式 样式 正文首行缩进 + 首行缩进:  1 字符 + 宋体 + 自动设置 Char Char"/>
    <w:link w:val="48"/>
    <w:qFormat/>
    <w:uiPriority w:val="0"/>
    <w:rPr>
      <w:rFonts w:ascii="宋体" w:hAnsi="宋体" w:eastAsia="宋体"/>
      <w:kern w:val="2"/>
      <w:sz w:val="24"/>
      <w:lang w:val="en-US" w:eastAsia="zh-CN" w:bidi="ar-SA"/>
    </w:rPr>
  </w:style>
  <w:style w:type="paragraph" w:customStyle="1" w:styleId="48">
    <w:name w:val="样式 样式 样式 正文首行缩进 + 首行缩进:  1 字符 + 宋体 + 自动设置"/>
    <w:basedOn w:val="1"/>
    <w:link w:val="47"/>
    <w:qFormat/>
    <w:uiPriority w:val="0"/>
    <w:pPr>
      <w:spacing w:line="460" w:lineRule="exact"/>
      <w:ind w:firstLine="480" w:firstLineChars="200"/>
      <w:jc w:val="left"/>
    </w:pPr>
    <w:rPr>
      <w:rFonts w:ascii="宋体" w:hAnsi="宋体"/>
      <w:sz w:val="24"/>
      <w:szCs w:val="20"/>
    </w:rPr>
  </w:style>
  <w:style w:type="character" w:customStyle="1" w:styleId="49">
    <w:name w:val="font11"/>
    <w:basedOn w:val="18"/>
    <w:qFormat/>
    <w:uiPriority w:val="0"/>
    <w:rPr>
      <w:rFonts w:hint="default" w:ascii="楷体_GB2312" w:eastAsia="楷体_GB2312" w:cs="楷体_GB2312"/>
      <w:b/>
      <w:bCs/>
      <w:color w:val="000000"/>
      <w:sz w:val="18"/>
      <w:szCs w:val="18"/>
      <w:u w:val="none"/>
    </w:rPr>
  </w:style>
  <w:style w:type="character" w:customStyle="1" w:styleId="50">
    <w:name w:val="font61"/>
    <w:qFormat/>
    <w:uiPriority w:val="0"/>
    <w:rPr>
      <w:rFonts w:ascii="黑体" w:hAnsi="宋体" w:eastAsia="黑体" w:cs="黑体"/>
      <w:color w:val="000000"/>
      <w:sz w:val="28"/>
      <w:szCs w:val="28"/>
      <w:u w:val="none"/>
    </w:rPr>
  </w:style>
  <w:style w:type="character" w:customStyle="1" w:styleId="51">
    <w:name w:val="A正文 Char Char"/>
    <w:link w:val="52"/>
    <w:qFormat/>
    <w:uiPriority w:val="0"/>
    <w:rPr>
      <w:rFonts w:eastAsia="宋体"/>
      <w:kern w:val="2"/>
      <w:sz w:val="24"/>
      <w:szCs w:val="24"/>
      <w:lang w:val="en-US" w:eastAsia="zh-CN" w:bidi="ar-SA"/>
    </w:rPr>
  </w:style>
  <w:style w:type="paragraph" w:customStyle="1" w:styleId="52">
    <w:name w:val="A正文"/>
    <w:basedOn w:val="1"/>
    <w:link w:val="51"/>
    <w:qFormat/>
    <w:uiPriority w:val="0"/>
    <w:pPr>
      <w:widowControl/>
      <w:spacing w:line="360" w:lineRule="auto"/>
      <w:ind w:firstLine="200" w:firstLineChars="200"/>
      <w:jc w:val="left"/>
    </w:pPr>
    <w:rPr>
      <w:sz w:val="24"/>
    </w:rPr>
  </w:style>
  <w:style w:type="paragraph" w:customStyle="1" w:styleId="53">
    <w:name w:val=" Char2 Char Char Char Char Char Char Char Char"/>
    <w:basedOn w:val="1"/>
    <w:qFormat/>
    <w:uiPriority w:val="0"/>
    <w:rPr>
      <w:sz w:val="21"/>
      <w:szCs w:val="20"/>
    </w:rPr>
  </w:style>
  <w:style w:type="paragraph" w:customStyle="1" w:styleId="54">
    <w:name w:val="xc----正文"/>
    <w:basedOn w:val="55"/>
    <w:qFormat/>
    <w:uiPriority w:val="0"/>
    <w:rPr>
      <w:rFonts w:ascii="仿宋_GB2312"/>
      <w:spacing w:val="-4"/>
    </w:rPr>
  </w:style>
  <w:style w:type="paragraph" w:customStyle="1" w:styleId="55">
    <w:name w:val="样式 样式 公正文样式 + 三号 + 红色 首行缩进:  0 字符"/>
    <w:basedOn w:val="1"/>
    <w:qFormat/>
    <w:uiPriority w:val="0"/>
    <w:pPr>
      <w:spacing w:line="460" w:lineRule="exact"/>
      <w:ind w:firstLine="200" w:firstLineChars="200"/>
    </w:pPr>
    <w:rPr>
      <w:rFonts w:ascii="Times New Roman" w:hAnsi="Times New Roman" w:eastAsia="仿宋_GB2312" w:cs="宋体"/>
      <w:kern w:val="0"/>
      <w:sz w:val="24"/>
      <w:szCs w:val="20"/>
    </w:rPr>
  </w:style>
  <w:style w:type="paragraph" w:customStyle="1" w:styleId="56">
    <w:name w:val="p0"/>
    <w:basedOn w:val="1"/>
    <w:qFormat/>
    <w:uiPriority w:val="0"/>
    <w:pPr>
      <w:widowControl/>
    </w:pPr>
    <w:rPr>
      <w:kern w:val="0"/>
      <w:sz w:val="21"/>
      <w:szCs w:val="20"/>
    </w:rPr>
  </w:style>
  <w:style w:type="paragraph" w:customStyle="1" w:styleId="57">
    <w:name w:val=" Char Char Char Char"/>
    <w:basedOn w:val="1"/>
    <w:qFormat/>
    <w:uiPriority w:val="0"/>
    <w:pPr>
      <w:widowControl/>
      <w:spacing w:after="160" w:afterLines="0" w:line="240" w:lineRule="exact"/>
      <w:jc w:val="left"/>
    </w:pPr>
    <w:rPr>
      <w:rFonts w:ascii="宋体" w:hAnsi="宋体"/>
      <w:b/>
      <w:kern w:val="0"/>
      <w:sz w:val="44"/>
      <w:szCs w:val="44"/>
      <w:lang w:eastAsia="en-US"/>
    </w:rPr>
  </w:style>
  <w:style w:type="paragraph" w:customStyle="1" w:styleId="58">
    <w:name w:val="文章"/>
    <w:qFormat/>
    <w:uiPriority w:val="0"/>
    <w:pPr>
      <w:spacing w:line="360" w:lineRule="auto"/>
      <w:ind w:firstLine="200" w:firstLineChars="200"/>
      <w:jc w:val="both"/>
    </w:pPr>
    <w:rPr>
      <w:rFonts w:ascii="Century Gothic" w:hAnsi="Century Gothic" w:eastAsia="宋体" w:cs="Times New Roman"/>
      <w:kern w:val="2"/>
      <w:sz w:val="26"/>
      <w:szCs w:val="26"/>
      <w:lang w:val="en-US" w:eastAsia="zh-CN" w:bidi="ar-SA"/>
    </w:rPr>
  </w:style>
  <w:style w:type="paragraph" w:customStyle="1" w:styleId="59">
    <w:name w:val="Char Char1 Char Char Char Char Char Char Char"/>
    <w:basedOn w:val="1"/>
    <w:qFormat/>
    <w:uiPriority w:val="0"/>
    <w:pPr>
      <w:pageBreakBefore/>
      <w:spacing w:line="480" w:lineRule="auto"/>
      <w:ind w:firstLine="200" w:firstLineChars="200"/>
    </w:pPr>
    <w:rPr>
      <w:rFonts w:ascii="宋体" w:hAnsi="宋体" w:eastAsia="仿宋_GB2312" w:cs="宋体"/>
      <w:szCs w:val="28"/>
    </w:rPr>
  </w:style>
  <w:style w:type="paragraph" w:customStyle="1" w:styleId="60">
    <w:name w:val="报告书副标题"/>
    <w:basedOn w:val="1"/>
    <w:qFormat/>
    <w:uiPriority w:val="0"/>
    <w:pPr>
      <w:widowControl/>
      <w:tabs>
        <w:tab w:val="left" w:pos="-24"/>
      </w:tabs>
      <w:spacing w:line="460" w:lineRule="exact"/>
      <w:ind w:firstLine="480" w:firstLineChars="200"/>
      <w:jc w:val="center"/>
      <w:textAlignment w:val="baseline"/>
      <w:outlineLvl w:val="4"/>
    </w:pPr>
    <w:rPr>
      <w:rFonts w:ascii="宋体" w:hAnsi="宋体"/>
      <w:b/>
      <w:bCs/>
      <w:color w:val="000000"/>
      <w:w w:val="83"/>
      <w:kern w:val="0"/>
      <w:sz w:val="48"/>
    </w:rPr>
  </w:style>
  <w:style w:type="paragraph" w:customStyle="1" w:styleId="61">
    <w:name w:val="样式 xc----正文 + 首行缩进:  2 字符"/>
    <w:basedOn w:val="54"/>
    <w:qFormat/>
    <w:uiPriority w:val="0"/>
    <w:pPr>
      <w:ind w:firstLine="464"/>
    </w:pPr>
    <w:rPr>
      <w:spacing w:val="0"/>
    </w:rPr>
  </w:style>
  <w:style w:type="paragraph" w:customStyle="1" w:styleId="62">
    <w:name w:val="课题号"/>
    <w:basedOn w:val="1"/>
    <w:qFormat/>
    <w:uiPriority w:val="0"/>
    <w:pPr>
      <w:widowControl/>
      <w:tabs>
        <w:tab w:val="left" w:pos="-24"/>
      </w:tabs>
      <w:spacing w:line="460" w:lineRule="exact"/>
      <w:ind w:firstLine="436" w:firstLineChars="200"/>
      <w:jc w:val="left"/>
      <w:textAlignment w:val="baseline"/>
    </w:pPr>
    <w:rPr>
      <w:rFonts w:ascii="宋体" w:hAnsi="宋体"/>
      <w:b/>
      <w:bCs/>
      <w:color w:val="000000"/>
      <w:kern w:val="0"/>
      <w:sz w:val="30"/>
    </w:rPr>
  </w:style>
  <w:style w:type="paragraph" w:customStyle="1" w:styleId="63">
    <w:name w:val="xc----括号"/>
    <w:basedOn w:val="54"/>
    <w:qFormat/>
    <w:uiPriority w:val="0"/>
    <w:pPr>
      <w:outlineLvl w:val="5"/>
    </w:pPr>
    <w:rPr>
      <w:rFonts w:ascii="楷体_GB2312" w:eastAsia="楷体_GB2312" w:cs="Times New Roman"/>
    </w:rPr>
  </w:style>
  <w:style w:type="paragraph" w:customStyle="1" w:styleId="64">
    <w:name w:val="默认段落字体 Para Char Char Char Char Char Char Char Char Char Char"/>
    <w:basedOn w:val="1"/>
    <w:qFormat/>
    <w:uiPriority w:val="0"/>
    <w:rPr>
      <w:sz w:val="21"/>
      <w:szCs w:val="20"/>
    </w:rPr>
  </w:style>
  <w:style w:type="paragraph" w:customStyle="1" w:styleId="65">
    <w:name w:val="gg_body"/>
    <w:basedOn w:val="1"/>
    <w:qFormat/>
    <w:uiPriority w:val="0"/>
    <w:pPr>
      <w:widowControl/>
      <w:spacing w:line="460" w:lineRule="exact"/>
      <w:ind w:firstLine="200"/>
      <w:jc w:val="left"/>
    </w:pPr>
    <w:rPr>
      <w:rFonts w:ascii="宋体" w:hAnsi="宋体"/>
      <w:kern w:val="0"/>
      <w:sz w:val="24"/>
      <w:szCs w:val="20"/>
    </w:rPr>
  </w:style>
  <w:style w:type="paragraph" w:customStyle="1" w:styleId="66">
    <w:name w:val="Char Char Char Char Char Char Char Char Char1 Char"/>
    <w:next w:val="67"/>
    <w:qFormat/>
    <w:uiPriority w:val="0"/>
    <w:pPr>
      <w:snapToGrid w:val="0"/>
      <w:spacing w:line="30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67">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paragraph" w:customStyle="1" w:styleId="68">
    <w:name w:val="xl4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Arial Unicode MS" w:hAnsi="Arial Unicode MS" w:eastAsia="Arial Unicode MS"/>
      <w:color w:val="000000"/>
      <w:kern w:val="0"/>
      <w:sz w:val="21"/>
      <w:szCs w:val="21"/>
    </w:rPr>
  </w:style>
  <w:style w:type="paragraph" w:customStyle="1" w:styleId="69">
    <w:name w:val="Char Char Char1 Char Char Char Char Char Char Char Char Char Char Char Char Char"/>
    <w:basedOn w:val="4"/>
    <w:qFormat/>
    <w:uiPriority w:val="0"/>
    <w:pPr>
      <w:widowControl/>
      <w:spacing w:before="120" w:beforeLines="0" w:after="120" w:afterLines="0" w:line="360" w:lineRule="auto"/>
      <w:jc w:val="left"/>
    </w:pPr>
    <w:rPr>
      <w:rFonts w:ascii="Times New Roman" w:hAnsi="Times New Roman" w:eastAsia="仿宋_GB2312" w:cs="宋体"/>
      <w:b w:val="0"/>
      <w:kern w:val="0"/>
    </w:rPr>
  </w:style>
  <w:style w:type="paragraph" w:customStyle="1" w:styleId="70">
    <w:name w:val=" Char Char Char Char Char Char Char Char Char Char"/>
    <w:basedOn w:val="1"/>
    <w:qFormat/>
    <w:uiPriority w:val="0"/>
    <w:rPr>
      <w:sz w:val="21"/>
    </w:rPr>
  </w:style>
  <w:style w:type="paragraph" w:customStyle="1" w:styleId="71">
    <w:name w:val="!表格(alt+t)"/>
    <w:qFormat/>
    <w:uiPriority w:val="0"/>
    <w:pPr>
      <w:adjustRightInd w:val="0"/>
      <w:spacing w:line="240" w:lineRule="atLeast"/>
      <w:jc w:val="center"/>
      <w:textAlignment w:val="center"/>
    </w:pPr>
    <w:rPr>
      <w:rFonts w:ascii="Times New Roman" w:hAnsi="Times New Roman" w:eastAsia="宋体" w:cs="Times New Roman"/>
      <w:bCs/>
      <w:sz w:val="21"/>
      <w:szCs w:val="21"/>
      <w:lang w:val="en-US" w:eastAsia="zh-CN" w:bidi="ar-SA"/>
    </w:rPr>
  </w:style>
  <w:style w:type="paragraph" w:customStyle="1" w:styleId="72">
    <w:name w:val=" Char Char Char Char Char Char Char"/>
    <w:basedOn w:val="1"/>
    <w:qFormat/>
    <w:uiPriority w:val="0"/>
    <w:pPr>
      <w:widowControl/>
      <w:spacing w:after="160" w:afterLines="0" w:line="240" w:lineRule="exact"/>
      <w:jc w:val="left"/>
    </w:pPr>
    <w:rPr>
      <w:sz w:val="21"/>
      <w:szCs w:val="20"/>
    </w:rPr>
  </w:style>
  <w:style w:type="paragraph" w:customStyle="1" w:styleId="73">
    <w:name w:val="样式 !正文(alt+c) + 首行缩进:  2 字符"/>
    <w:basedOn w:val="1"/>
    <w:qFormat/>
    <w:uiPriority w:val="0"/>
    <w:pPr>
      <w:widowControl/>
      <w:spacing w:line="440" w:lineRule="exact"/>
      <w:ind w:firstLine="200" w:firstLineChars="200"/>
      <w:jc w:val="left"/>
    </w:pPr>
    <w:rPr>
      <w:color w:val="000000"/>
      <w:kern w:val="0"/>
      <w:sz w:val="24"/>
      <w:szCs w:val="20"/>
    </w:rPr>
  </w:style>
  <w:style w:type="paragraph" w:customStyle="1" w:styleId="74">
    <w:name w:val=" Char"/>
    <w:basedOn w:val="1"/>
    <w:qFormat/>
    <w:uiPriority w:val="0"/>
    <w:rPr>
      <w:sz w:val="21"/>
    </w:rPr>
  </w:style>
  <w:style w:type="paragraph" w:customStyle="1" w:styleId="75">
    <w:name w:val="表格内文字"/>
    <w:basedOn w:val="1"/>
    <w:qFormat/>
    <w:uiPriority w:val="0"/>
    <w:pPr>
      <w:spacing w:line="240" w:lineRule="auto"/>
      <w:ind w:firstLine="0" w:firstLineChars="0"/>
      <w:jc w:val="center"/>
    </w:pPr>
    <w:rPr>
      <w:rFonts w:cs="宋体"/>
      <w:sz w:val="18"/>
    </w:rPr>
  </w:style>
  <w:style w:type="paragraph" w:customStyle="1" w:styleId="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font41"/>
    <w:basedOn w:val="18"/>
    <w:qFormat/>
    <w:uiPriority w:val="0"/>
    <w:rPr>
      <w:rFonts w:hint="eastAsia" w:ascii="仿宋" w:hAnsi="仿宋" w:eastAsia="仿宋" w:cs="仿宋"/>
      <w:color w:val="000000"/>
      <w:sz w:val="18"/>
      <w:szCs w:val="18"/>
      <w:u w:val="none"/>
    </w:rPr>
  </w:style>
  <w:style w:type="paragraph" w:customStyle="1" w:styleId="78">
    <w:name w:val="表格文字"/>
    <w:qFormat/>
    <w:uiPriority w:val="0"/>
    <w:pPr>
      <w:widowControl/>
      <w:tabs>
        <w:tab w:val="left" w:pos="-24"/>
      </w:tabs>
      <w:spacing w:line="0" w:lineRule="atLeast"/>
      <w:ind w:firstLine="0" w:firstLineChars="0"/>
      <w:jc w:val="center"/>
      <w:textAlignment w:val="baseline"/>
    </w:pPr>
    <w:rPr>
      <w:rFonts w:ascii="Times New Roman" w:hAnsi="Times New Roman" w:eastAsia="仿宋_GB2312" w:cs="Times New Roman"/>
      <w:color w:val="auto"/>
      <w:sz w:val="21"/>
      <w:szCs w:val="20"/>
      <w:u w:val="none" w:color="000000"/>
      <w:lang w:val="en-US" w:eastAsia="zh-CN" w:bidi="ar-SA"/>
    </w:rPr>
  </w:style>
  <w:style w:type="paragraph" w:customStyle="1" w:styleId="79">
    <w:name w:val="列出段落1"/>
    <w:qFormat/>
    <w:uiPriority w:val="99"/>
    <w:pPr>
      <w:widowControl/>
      <w:spacing w:line="240" w:lineRule="auto"/>
      <w:ind w:firstLine="0" w:firstLineChars="0"/>
      <w:jc w:val="left"/>
    </w:pPr>
    <w:rPr>
      <w:rFonts w:ascii="Times New Roman" w:hAnsi="Times New Roman" w:eastAsia="仿宋_GB2312" w:cs="宋体"/>
      <w:kern w:val="2"/>
      <w:sz w:val="21"/>
      <w:szCs w:val="24"/>
      <w:lang w:val="en-US" w:eastAsia="zh-CN" w:bidi="ar-SA"/>
    </w:rPr>
  </w:style>
  <w:style w:type="character" w:customStyle="1" w:styleId="80">
    <w:name w:val="font21"/>
    <w:qFormat/>
    <w:uiPriority w:val="0"/>
    <w:rPr>
      <w:rFonts w:hint="default" w:ascii="仿宋_GB2312" w:eastAsia="仿宋_GB2312" w:cs="仿宋_GB2312"/>
      <w:b/>
      <w:bCs/>
      <w:color w:val="000000"/>
      <w:sz w:val="18"/>
      <w:szCs w:val="18"/>
      <w:u w:val="none"/>
    </w:rPr>
  </w:style>
  <w:style w:type="paragraph" w:customStyle="1" w:styleId="81">
    <w:name w:val="表格123"/>
    <w:qFormat/>
    <w:uiPriority w:val="0"/>
    <w:pPr>
      <w:widowControl w:val="0"/>
      <w:adjustRightInd w:val="0"/>
      <w:snapToGrid w:val="0"/>
      <w:spacing w:line="240" w:lineRule="auto"/>
      <w:ind w:left="-30" w:leftChars="-30" w:right="-30" w:rightChars="-30" w:firstLine="0" w:firstLineChars="0"/>
      <w:jc w:val="center"/>
    </w:pPr>
    <w:rPr>
      <w:rFonts w:ascii="Times New Roman" w:hAnsi="Times New Roman" w:eastAsia="仿宋_GB2312" w:cs="Times New Roman"/>
      <w:w w:val="95"/>
      <w:kern w:val="0"/>
      <w:sz w:val="20"/>
      <w:szCs w:val="24"/>
      <w:lang w:val="zh-CN" w:eastAsia="zh-CN" w:bidi="ar-SA"/>
    </w:rPr>
  </w:style>
  <w:style w:type="paragraph" w:customStyle="1" w:styleId="82">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1032</Words>
  <Characters>5886</Characters>
  <Lines>49</Lines>
  <Paragraphs>13</Paragraphs>
  <TotalTime>10</TotalTime>
  <ScaleCrop>false</ScaleCrop>
  <LinksUpToDate>false</LinksUpToDate>
  <CharactersWithSpaces>6905</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2021-07-21T03:38:00Z</dcterms:created>
  <dc:creator>张艺馨</dc:creator>
  <cp:lastModifiedBy>zyj</cp:lastModifiedBy>
  <cp:lastPrinted>2022-11-09T19:20:00Z</cp:lastPrinted>
  <dcterms:modified xsi:type="dcterms:W3CDTF">2023-08-30T06:49:46Z</dcterms:modified>
  <dc:title>水保审查意见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