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0B" w:rsidRDefault="000C4BA2">
      <w:pPr>
        <w:rPr>
          <w:rFonts w:ascii="Times New Roman" w:eastAsia="宋体" w:hAnsi="Times New Roman" w:cs="Times New Roman"/>
          <w:color w:val="000000" w:themeColor="text1"/>
        </w:rPr>
      </w:pPr>
      <w:bookmarkStart w:id="0" w:name="_GoBack"/>
      <w:bookmarkEnd w:id="0"/>
      <w:r>
        <w:rPr>
          <w:rFonts w:ascii="Times New Roman" w:eastAsia="宋体" w:hAnsi="Times New Roman" w:cs="Times New Roman" w:hint="eastAsia"/>
          <w:noProof/>
          <w:color w:val="000000" w:themeColor="text1"/>
        </w:rPr>
        <w:drawing>
          <wp:inline distT="0" distB="0" distL="114300" distR="114300">
            <wp:extent cx="5268595" cy="7450455"/>
            <wp:effectExtent l="0" t="0" r="8255" b="17145"/>
            <wp:docPr id="1" name="图片 1" descr="2021033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331-00055"/>
                    <pic:cNvPicPr>
                      <a:picLocks noChangeAspect="1"/>
                    </pic:cNvPicPr>
                  </pic:nvPicPr>
                  <pic:blipFill>
                    <a:blip r:embed="rId9"/>
                    <a:stretch>
                      <a:fillRect/>
                    </a:stretch>
                  </pic:blipFill>
                  <pic:spPr>
                    <a:xfrm>
                      <a:off x="0" y="0"/>
                      <a:ext cx="5268595" cy="7450455"/>
                    </a:xfrm>
                    <a:prstGeom prst="rect">
                      <a:avLst/>
                    </a:prstGeom>
                  </pic:spPr>
                </pic:pic>
              </a:graphicData>
            </a:graphic>
          </wp:inline>
        </w:drawing>
      </w:r>
    </w:p>
    <w:p w:rsidR="00D56A0B" w:rsidRDefault="00D56A0B">
      <w:pPr>
        <w:rPr>
          <w:rFonts w:ascii="Times New Roman" w:eastAsia="宋体" w:hAnsi="Times New Roman" w:cs="Times New Roman"/>
          <w:color w:val="000000" w:themeColor="text1"/>
        </w:rPr>
      </w:pPr>
    </w:p>
    <w:p w:rsidR="00D56A0B" w:rsidRDefault="00D56A0B">
      <w:pPr>
        <w:jc w:val="right"/>
        <w:rPr>
          <w:rFonts w:ascii="Times New Roman" w:eastAsia="宋体" w:hAnsi="Times New Roman" w:cs="Times New Roman"/>
          <w:color w:val="000000" w:themeColor="text1"/>
        </w:rPr>
      </w:pPr>
    </w:p>
    <w:p w:rsidR="00D56A0B" w:rsidRDefault="00D56A0B">
      <w:pPr>
        <w:rPr>
          <w:rFonts w:ascii="Times New Roman" w:eastAsia="宋体" w:hAnsi="Times New Roman" w:cs="Times New Roman"/>
          <w:color w:val="000000" w:themeColor="text1"/>
        </w:rPr>
      </w:pPr>
    </w:p>
    <w:p w:rsidR="00D56A0B" w:rsidRDefault="00D56A0B">
      <w:pPr>
        <w:jc w:val="center"/>
        <w:rPr>
          <w:rFonts w:ascii="Times New Roman" w:eastAsia="宋体" w:hAnsi="Times New Roman" w:cs="Times New Roman"/>
          <w:color w:val="000000" w:themeColor="text1"/>
          <w:sz w:val="44"/>
          <w:szCs w:val="44"/>
        </w:rPr>
      </w:pPr>
    </w:p>
    <w:p w:rsidR="00D56A0B" w:rsidRDefault="00D56A0B">
      <w:pPr>
        <w:jc w:val="center"/>
        <w:rPr>
          <w:rFonts w:ascii="Times New Roman" w:eastAsia="宋体" w:hAnsi="Times New Roman" w:cs="Times New Roman"/>
          <w:color w:val="000000" w:themeColor="text1"/>
          <w:sz w:val="52"/>
          <w:szCs w:val="52"/>
        </w:rPr>
        <w:sectPr w:rsidR="00D56A0B">
          <w:pgSz w:w="11906" w:h="16838"/>
          <w:pgMar w:top="1440" w:right="1800" w:bottom="1440" w:left="1800" w:header="851" w:footer="992" w:gutter="0"/>
          <w:cols w:space="425"/>
          <w:docGrid w:type="lines" w:linePitch="312"/>
        </w:sectPr>
      </w:pPr>
    </w:p>
    <w:p w:rsidR="00D56A0B" w:rsidRDefault="000C4BA2">
      <w:pPr>
        <w:spacing w:beforeLines="50" w:before="156" w:afterLines="50" w:after="156"/>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一、生产建设项目水土保持设施验收基本情况表</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3951"/>
        <w:gridCol w:w="898"/>
        <w:gridCol w:w="976"/>
      </w:tblGrid>
      <w:tr w:rsidR="00D56A0B">
        <w:trPr>
          <w:trHeight w:hRule="exact" w:val="992"/>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项目名称</w:t>
            </w:r>
          </w:p>
        </w:tc>
        <w:tc>
          <w:tcPr>
            <w:tcW w:w="3951" w:type="dxa"/>
            <w:vAlign w:val="center"/>
          </w:tcPr>
          <w:p w:rsidR="00D56A0B" w:rsidRDefault="000C4BA2">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武隆污水处理厂二期扩建工程</w:t>
            </w:r>
          </w:p>
        </w:tc>
        <w:tc>
          <w:tcPr>
            <w:tcW w:w="898" w:type="dxa"/>
            <w:vAlign w:val="center"/>
          </w:tcPr>
          <w:p w:rsidR="00D56A0B" w:rsidRDefault="000C4BA2">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行业类别</w:t>
            </w:r>
          </w:p>
        </w:tc>
        <w:tc>
          <w:tcPr>
            <w:tcW w:w="975" w:type="dxa"/>
            <w:vAlign w:val="center"/>
          </w:tcPr>
          <w:p w:rsidR="00D56A0B" w:rsidRDefault="000C4BA2">
            <w:pPr>
              <w:jc w:val="center"/>
              <w:rPr>
                <w:rFonts w:ascii="宋体" w:eastAsia="宋体" w:hAnsi="宋体" w:cs="宋体"/>
                <w:sz w:val="24"/>
                <w:szCs w:val="24"/>
              </w:rPr>
            </w:pPr>
            <w:r>
              <w:rPr>
                <w:rFonts w:ascii="宋体" w:eastAsia="宋体" w:hAnsi="宋体" w:cs="宋体" w:hint="eastAsia"/>
                <w:sz w:val="24"/>
                <w:szCs w:val="24"/>
              </w:rPr>
              <w:t>市政</w:t>
            </w:r>
          </w:p>
          <w:p w:rsidR="00D56A0B" w:rsidRDefault="000C4BA2">
            <w:pPr>
              <w:jc w:val="center"/>
              <w:rPr>
                <w:rFonts w:ascii="宋体" w:eastAsia="宋体" w:hAnsi="宋体" w:cs="宋体"/>
                <w:color w:val="000000" w:themeColor="text1"/>
                <w:sz w:val="24"/>
                <w:szCs w:val="24"/>
              </w:rPr>
            </w:pPr>
            <w:r>
              <w:rPr>
                <w:rFonts w:ascii="宋体" w:eastAsia="宋体" w:hAnsi="宋体" w:cs="宋体" w:hint="eastAsia"/>
                <w:sz w:val="24"/>
                <w:szCs w:val="24"/>
              </w:rPr>
              <w:t>建设</w:t>
            </w:r>
          </w:p>
        </w:tc>
      </w:tr>
      <w:tr w:rsidR="00D56A0B">
        <w:trPr>
          <w:trHeight w:hRule="exact" w:val="992"/>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主管部门</w:t>
            </w:r>
          </w:p>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（或主要投资方）</w:t>
            </w:r>
          </w:p>
        </w:tc>
        <w:tc>
          <w:tcPr>
            <w:tcW w:w="3951" w:type="dxa"/>
            <w:vAlign w:val="center"/>
          </w:tcPr>
          <w:p w:rsidR="00D56A0B" w:rsidRDefault="000C4BA2">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主要投资方：重庆市水</w:t>
            </w:r>
            <w:proofErr w:type="gramStart"/>
            <w:r>
              <w:rPr>
                <w:rFonts w:ascii="宋体" w:eastAsia="宋体" w:hAnsi="宋体" w:cs="宋体" w:hint="eastAsia"/>
                <w:color w:val="000000" w:themeColor="text1"/>
                <w:sz w:val="24"/>
                <w:szCs w:val="24"/>
              </w:rPr>
              <w:t>务</w:t>
            </w:r>
            <w:proofErr w:type="gramEnd"/>
            <w:r>
              <w:rPr>
                <w:rFonts w:ascii="宋体" w:eastAsia="宋体" w:hAnsi="宋体" w:cs="宋体" w:hint="eastAsia"/>
                <w:color w:val="000000" w:themeColor="text1"/>
                <w:sz w:val="24"/>
                <w:szCs w:val="24"/>
              </w:rPr>
              <w:t>资产经营有限公司</w:t>
            </w:r>
          </w:p>
        </w:tc>
        <w:tc>
          <w:tcPr>
            <w:tcW w:w="89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项目性质</w:t>
            </w:r>
          </w:p>
        </w:tc>
        <w:tc>
          <w:tcPr>
            <w:tcW w:w="975"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扩建</w:t>
            </w:r>
          </w:p>
        </w:tc>
      </w:tr>
      <w:tr w:rsidR="00D56A0B">
        <w:trPr>
          <w:trHeight w:hRule="exact" w:val="1054"/>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水土保持方案批复机关、文号及时间</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重庆市水利局</w:t>
            </w:r>
          </w:p>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渝水许可〔</w:t>
            </w:r>
            <w:r>
              <w:rPr>
                <w:rFonts w:ascii="宋体" w:eastAsia="宋体" w:hAnsi="宋体" w:cs="宋体" w:hint="eastAsia"/>
                <w:color w:val="000000" w:themeColor="text1"/>
                <w:sz w:val="24"/>
                <w:szCs w:val="24"/>
              </w:rPr>
              <w:t>2017</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98</w:t>
            </w:r>
            <w:r>
              <w:rPr>
                <w:rFonts w:ascii="宋体" w:eastAsia="宋体" w:hAnsi="宋体" w:cs="宋体" w:hint="eastAsia"/>
                <w:color w:val="000000" w:themeColor="text1"/>
                <w:sz w:val="24"/>
                <w:szCs w:val="24"/>
              </w:rPr>
              <w:t>号、</w:t>
            </w:r>
            <w:r>
              <w:rPr>
                <w:rFonts w:ascii="宋体" w:eastAsia="宋体" w:hAnsi="宋体" w:cs="宋体" w:hint="eastAsia"/>
                <w:color w:val="000000" w:themeColor="text1"/>
                <w:sz w:val="24"/>
                <w:szCs w:val="24"/>
              </w:rPr>
              <w:t>2017</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rPr>
              <w:t>月</w:t>
            </w:r>
            <w:r>
              <w:rPr>
                <w:rFonts w:ascii="宋体" w:eastAsia="宋体" w:hAnsi="宋体" w:cs="宋体" w:hint="eastAsia"/>
                <w:color w:val="000000" w:themeColor="text1"/>
                <w:sz w:val="24"/>
                <w:szCs w:val="24"/>
              </w:rPr>
              <w:t>28</w:t>
            </w:r>
            <w:r>
              <w:rPr>
                <w:rFonts w:ascii="宋体" w:eastAsia="宋体" w:hAnsi="宋体" w:cs="宋体" w:hint="eastAsia"/>
                <w:color w:val="000000" w:themeColor="text1"/>
                <w:sz w:val="24"/>
                <w:szCs w:val="24"/>
              </w:rPr>
              <w:t>日</w:t>
            </w:r>
          </w:p>
        </w:tc>
      </w:tr>
      <w:tr w:rsidR="00D56A0B">
        <w:trPr>
          <w:trHeight w:hRule="exact" w:val="929"/>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水土保持方案变更批复机关、文号及时间</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r>
      <w:tr w:rsidR="00D56A0B">
        <w:trPr>
          <w:trHeight w:hRule="exact" w:val="959"/>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水土保持初步设计批复机关、文号及时间</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r>
      <w:tr w:rsidR="00D56A0B">
        <w:trPr>
          <w:trHeight w:hRule="exact" w:val="794"/>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项目建设起止时间</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2017</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rPr>
              <w:t>月～</w:t>
            </w:r>
            <w:r>
              <w:rPr>
                <w:rFonts w:ascii="宋体" w:eastAsia="宋体" w:hAnsi="宋体" w:cs="宋体" w:hint="eastAsia"/>
                <w:color w:val="000000" w:themeColor="text1"/>
                <w:sz w:val="24"/>
                <w:szCs w:val="24"/>
              </w:rPr>
              <w:t>2018</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rPr>
              <w:t>月</w:t>
            </w:r>
          </w:p>
        </w:tc>
      </w:tr>
      <w:tr w:rsidR="00D56A0B">
        <w:trPr>
          <w:trHeight w:hRule="exact" w:val="1117"/>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水土保持方案编制单位</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中机中</w:t>
            </w:r>
            <w:proofErr w:type="gramStart"/>
            <w:r>
              <w:rPr>
                <w:rFonts w:ascii="宋体" w:eastAsia="宋体" w:hAnsi="宋体" w:cs="宋体" w:hint="eastAsia"/>
                <w:color w:val="000000" w:themeColor="text1"/>
                <w:sz w:val="24"/>
                <w:szCs w:val="24"/>
              </w:rPr>
              <w:t>联工程</w:t>
            </w:r>
            <w:proofErr w:type="gramEnd"/>
            <w:r>
              <w:rPr>
                <w:rFonts w:ascii="宋体" w:eastAsia="宋体" w:hAnsi="宋体" w:cs="宋体" w:hint="eastAsia"/>
                <w:color w:val="000000" w:themeColor="text1"/>
                <w:sz w:val="24"/>
                <w:szCs w:val="24"/>
              </w:rPr>
              <w:t>有限公司</w:t>
            </w:r>
          </w:p>
        </w:tc>
      </w:tr>
      <w:tr w:rsidR="00D56A0B">
        <w:trPr>
          <w:trHeight w:hRule="exact" w:val="1117"/>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水土保持初步设计单位</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中铁二</w:t>
            </w:r>
            <w:proofErr w:type="gramStart"/>
            <w:r>
              <w:rPr>
                <w:rFonts w:ascii="宋体" w:eastAsia="宋体" w:hAnsi="宋体" w:cs="宋体" w:hint="eastAsia"/>
                <w:color w:val="000000" w:themeColor="text1"/>
                <w:sz w:val="24"/>
                <w:szCs w:val="24"/>
              </w:rPr>
              <w:t>院工程</w:t>
            </w:r>
            <w:proofErr w:type="gramEnd"/>
            <w:r>
              <w:rPr>
                <w:rFonts w:ascii="宋体" w:eastAsia="宋体" w:hAnsi="宋体" w:cs="宋体" w:hint="eastAsia"/>
                <w:color w:val="000000" w:themeColor="text1"/>
                <w:sz w:val="24"/>
                <w:szCs w:val="24"/>
              </w:rPr>
              <w:t>集团有限责任公司</w:t>
            </w:r>
          </w:p>
        </w:tc>
      </w:tr>
      <w:tr w:rsidR="00D56A0B">
        <w:trPr>
          <w:trHeight w:hRule="exact" w:val="1117"/>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水土保持监测单位</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重庆润宇水利工程咨询有限公司</w:t>
            </w:r>
          </w:p>
        </w:tc>
      </w:tr>
      <w:tr w:rsidR="00D56A0B">
        <w:trPr>
          <w:trHeight w:hRule="exact" w:val="1117"/>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水土保持施工单位</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重庆对外建设（集团）有限公司</w:t>
            </w:r>
          </w:p>
        </w:tc>
      </w:tr>
      <w:tr w:rsidR="00D56A0B">
        <w:trPr>
          <w:trHeight w:hRule="exact" w:val="1117"/>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水土保持监理单位</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重庆水务集团公用工程咨询有限公司</w:t>
            </w:r>
          </w:p>
        </w:tc>
      </w:tr>
      <w:tr w:rsidR="00D56A0B">
        <w:trPr>
          <w:trHeight w:hRule="exact" w:val="1117"/>
          <w:jc w:val="center"/>
        </w:trPr>
        <w:tc>
          <w:tcPr>
            <w:tcW w:w="2638" w:type="dxa"/>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水土保持设施验收</w:t>
            </w:r>
          </w:p>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报告编制单位</w:t>
            </w:r>
          </w:p>
        </w:tc>
        <w:tc>
          <w:tcPr>
            <w:tcW w:w="5825" w:type="dxa"/>
            <w:gridSpan w:val="3"/>
            <w:vAlign w:val="center"/>
          </w:tcPr>
          <w:p w:rsidR="00D56A0B" w:rsidRDefault="000C4BA2">
            <w:pPr>
              <w:ind w:leftChars="57" w:left="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重庆润宇水利工程咨询有限公司</w:t>
            </w:r>
          </w:p>
        </w:tc>
      </w:tr>
    </w:tbl>
    <w:p w:rsidR="00D56A0B" w:rsidRDefault="000C4BA2">
      <w:pPr>
        <w:numPr>
          <w:ilvl w:val="0"/>
          <w:numId w:val="1"/>
        </w:num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D56A0B">
        <w:trPr>
          <w:trHeight w:val="12604"/>
          <w:jc w:val="center"/>
        </w:trPr>
        <w:tc>
          <w:tcPr>
            <w:tcW w:w="8838" w:type="dxa"/>
          </w:tcPr>
          <w:p w:rsidR="00D56A0B" w:rsidRDefault="00D56A0B">
            <w:pPr>
              <w:adjustRightInd w:val="0"/>
              <w:snapToGrid w:val="0"/>
              <w:spacing w:line="360" w:lineRule="auto"/>
              <w:ind w:firstLineChars="200" w:firstLine="480"/>
              <w:rPr>
                <w:rFonts w:ascii="仿宋_GB2312" w:eastAsia="仿宋_GB2312" w:hAnsi="仿宋_GB2312" w:cs="仿宋_GB2312"/>
                <w:color w:val="000000"/>
                <w:sz w:val="24"/>
                <w:szCs w:val="24"/>
              </w:rPr>
            </w:pP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根据《关于转发〈水利部关于加强事中事后监管规范生产建设项目水土保持设施自主验收的通知〉的通知》（渝水〔</w:t>
            </w:r>
            <w:r>
              <w:rPr>
                <w:rFonts w:ascii="仿宋_GB2312" w:eastAsia="仿宋_GB2312" w:hAnsi="仿宋_GB2312" w:cs="仿宋_GB2312" w:hint="eastAsia"/>
                <w:color w:val="000000"/>
                <w:sz w:val="24"/>
                <w:szCs w:val="24"/>
              </w:rPr>
              <w:t>2017</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255</w:t>
            </w:r>
            <w:r>
              <w:rPr>
                <w:rFonts w:ascii="仿宋_GB2312" w:eastAsia="仿宋_GB2312" w:hAnsi="仿宋_GB2312" w:cs="仿宋_GB2312" w:hint="eastAsia"/>
                <w:color w:val="000000"/>
                <w:sz w:val="24"/>
                <w:szCs w:val="24"/>
              </w:rPr>
              <w:t>号）和《水利部关于进一步深化“放管服”改革全面加强水土保持监管的意见》（水保〔</w:t>
            </w:r>
            <w:r>
              <w:rPr>
                <w:rFonts w:ascii="仿宋_GB2312" w:eastAsia="仿宋_GB2312" w:hAnsi="仿宋_GB2312" w:cs="仿宋_GB2312" w:hint="eastAsia"/>
                <w:color w:val="000000"/>
                <w:sz w:val="24"/>
                <w:szCs w:val="24"/>
              </w:rPr>
              <w:t>2019</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160</w:t>
            </w:r>
            <w:r>
              <w:rPr>
                <w:rFonts w:ascii="仿宋_GB2312" w:eastAsia="仿宋_GB2312" w:hAnsi="仿宋_GB2312" w:cs="仿宋_GB2312" w:hint="eastAsia"/>
                <w:color w:val="000000"/>
                <w:sz w:val="24"/>
                <w:szCs w:val="24"/>
              </w:rPr>
              <w:t>号）的规定，项目完工后建设单位应积极自主开展水土保持设施验收工作。</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重庆市水</w:t>
            </w:r>
            <w:proofErr w:type="gramStart"/>
            <w:r>
              <w:rPr>
                <w:rFonts w:ascii="仿宋_GB2312" w:eastAsia="仿宋_GB2312" w:hAnsi="仿宋_GB2312" w:cs="仿宋_GB2312" w:hint="eastAsia"/>
                <w:sz w:val="24"/>
                <w:szCs w:val="24"/>
              </w:rPr>
              <w:t>务</w:t>
            </w:r>
            <w:proofErr w:type="gramEnd"/>
            <w:r>
              <w:rPr>
                <w:rFonts w:ascii="仿宋_GB2312" w:eastAsia="仿宋_GB2312" w:hAnsi="仿宋_GB2312" w:cs="仿宋_GB2312" w:hint="eastAsia"/>
                <w:sz w:val="24"/>
                <w:szCs w:val="24"/>
              </w:rPr>
              <w:t>资产经营有限公司于</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日在</w:t>
            </w:r>
            <w:r>
              <w:rPr>
                <w:rFonts w:ascii="仿宋_GB2312" w:eastAsia="仿宋_GB2312" w:hAnsi="仿宋_GB2312" w:cs="仿宋_GB2312" w:hint="eastAsia"/>
                <w:sz w:val="24"/>
                <w:szCs w:val="24"/>
              </w:rPr>
              <w:t>武隆</w:t>
            </w:r>
            <w:r>
              <w:rPr>
                <w:rFonts w:ascii="仿宋_GB2312" w:eastAsia="仿宋_GB2312" w:hAnsi="仿宋_GB2312" w:cs="仿宋_GB2312" w:hint="eastAsia"/>
                <w:sz w:val="24"/>
                <w:szCs w:val="24"/>
              </w:rPr>
              <w:t>污水处理厂</w:t>
            </w:r>
            <w:r>
              <w:rPr>
                <w:rFonts w:ascii="仿宋_GB2312" w:eastAsia="仿宋_GB2312" w:hAnsi="仿宋_GB2312" w:cs="仿宋_GB2312" w:hint="eastAsia"/>
                <w:sz w:val="24"/>
                <w:szCs w:val="24"/>
              </w:rPr>
              <w:t>区</w:t>
            </w:r>
            <w:r>
              <w:rPr>
                <w:rFonts w:ascii="仿宋_GB2312" w:eastAsia="仿宋_GB2312" w:hAnsi="仿宋_GB2312" w:cs="仿宋_GB2312" w:hint="eastAsia"/>
                <w:sz w:val="24"/>
                <w:szCs w:val="24"/>
              </w:rPr>
              <w:t>内组织召开了</w:t>
            </w:r>
            <w:r>
              <w:rPr>
                <w:rFonts w:ascii="仿宋_GB2312" w:eastAsia="仿宋_GB2312" w:hAnsi="仿宋_GB2312" w:cs="仿宋_GB2312" w:hint="eastAsia"/>
                <w:sz w:val="24"/>
                <w:szCs w:val="24"/>
              </w:rPr>
              <w:t>污水处理厂二</w:t>
            </w:r>
            <w:r>
              <w:rPr>
                <w:rFonts w:ascii="仿宋_GB2312" w:eastAsia="仿宋_GB2312" w:hAnsi="仿宋_GB2312" w:cs="仿宋_GB2312" w:hint="eastAsia"/>
                <w:sz w:val="24"/>
                <w:szCs w:val="24"/>
              </w:rPr>
              <w:t>期扩建工程水土保持设施竣工验收会议。参加会议的单位有：重庆市水</w:t>
            </w:r>
            <w:proofErr w:type="gramStart"/>
            <w:r>
              <w:rPr>
                <w:rFonts w:ascii="仿宋_GB2312" w:eastAsia="仿宋_GB2312" w:hAnsi="仿宋_GB2312" w:cs="仿宋_GB2312" w:hint="eastAsia"/>
                <w:sz w:val="24"/>
                <w:szCs w:val="24"/>
              </w:rPr>
              <w:t>务</w:t>
            </w:r>
            <w:proofErr w:type="gramEnd"/>
            <w:r>
              <w:rPr>
                <w:rFonts w:ascii="仿宋_GB2312" w:eastAsia="仿宋_GB2312" w:hAnsi="仿宋_GB2312" w:cs="仿宋_GB2312" w:hint="eastAsia"/>
                <w:sz w:val="24"/>
                <w:szCs w:val="24"/>
              </w:rPr>
              <w:t>资产经营有限公司（建设单位）、特邀省级水土保持专家、中机中</w:t>
            </w:r>
            <w:proofErr w:type="gramStart"/>
            <w:r>
              <w:rPr>
                <w:rFonts w:ascii="仿宋_GB2312" w:eastAsia="仿宋_GB2312" w:hAnsi="仿宋_GB2312" w:cs="仿宋_GB2312" w:hint="eastAsia"/>
                <w:sz w:val="24"/>
                <w:szCs w:val="24"/>
              </w:rPr>
              <w:t>联工程</w:t>
            </w:r>
            <w:proofErr w:type="gramEnd"/>
            <w:r>
              <w:rPr>
                <w:rFonts w:ascii="仿宋_GB2312" w:eastAsia="仿宋_GB2312" w:hAnsi="仿宋_GB2312" w:cs="仿宋_GB2312" w:hint="eastAsia"/>
                <w:sz w:val="24"/>
                <w:szCs w:val="24"/>
              </w:rPr>
              <w:t>有限公司（水土保持方案报告编制单位）、重庆润宇水利工程咨询有限公司（水土保持验收报告编制单位</w:t>
            </w:r>
            <w:r>
              <w:rPr>
                <w:rFonts w:ascii="仿宋_GB2312" w:eastAsia="仿宋_GB2312" w:hAnsi="仿宋_GB2312" w:cs="仿宋_GB2312" w:hint="eastAsia"/>
                <w:sz w:val="24"/>
                <w:szCs w:val="24"/>
              </w:rPr>
              <w:t>及水土保持监测单位</w:t>
            </w:r>
            <w:r>
              <w:rPr>
                <w:rFonts w:ascii="仿宋_GB2312" w:eastAsia="仿宋_GB2312" w:hAnsi="仿宋_GB2312" w:cs="仿宋_GB2312" w:hint="eastAsia"/>
                <w:sz w:val="24"/>
                <w:szCs w:val="24"/>
              </w:rPr>
              <w:t>）等代表共</w:t>
            </w: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人。会议成立了验收小组（名单附后）。验收小组人员察看了工程现场，查阅了水土保持设施验收报告，听取了建设单位、验收报告编制单位等有关人员的汇报</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并就有关问题进行了质问、讨论和认真研究，形成验收意见如下：</w:t>
            </w:r>
            <w:r>
              <w:rPr>
                <w:rFonts w:ascii="仿宋_GB2312" w:eastAsia="仿宋_GB2312" w:hAnsi="仿宋_GB2312" w:cs="仿宋_GB2312" w:hint="eastAsia"/>
                <w:sz w:val="24"/>
                <w:szCs w:val="24"/>
              </w:rPr>
              <w:t xml:space="preserve">  </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（一）项目概况</w:t>
            </w:r>
          </w:p>
          <w:p w:rsidR="00D56A0B" w:rsidRDefault="000C4BA2">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项目名称：</w:t>
            </w:r>
            <w:r>
              <w:rPr>
                <w:rFonts w:ascii="仿宋_GB2312" w:eastAsia="仿宋_GB2312" w:hAnsi="仿宋_GB2312" w:cs="仿宋_GB2312" w:hint="eastAsia"/>
                <w:sz w:val="24"/>
                <w:szCs w:val="24"/>
              </w:rPr>
              <w:t>武隆污水处理厂二期扩建工程</w:t>
            </w:r>
          </w:p>
          <w:p w:rsidR="00D56A0B" w:rsidRDefault="000C4BA2">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建设单位：</w:t>
            </w:r>
            <w:r>
              <w:rPr>
                <w:rFonts w:ascii="仿宋_GB2312" w:eastAsia="仿宋_GB2312" w:hAnsi="仿宋_GB2312" w:cs="仿宋_GB2312" w:hint="eastAsia"/>
                <w:sz w:val="24"/>
                <w:szCs w:val="24"/>
              </w:rPr>
              <w:t>重庆市水</w:t>
            </w:r>
            <w:proofErr w:type="gramStart"/>
            <w:r>
              <w:rPr>
                <w:rFonts w:ascii="仿宋_GB2312" w:eastAsia="仿宋_GB2312" w:hAnsi="仿宋_GB2312" w:cs="仿宋_GB2312" w:hint="eastAsia"/>
                <w:sz w:val="24"/>
                <w:szCs w:val="24"/>
              </w:rPr>
              <w:t>务</w:t>
            </w:r>
            <w:proofErr w:type="gramEnd"/>
            <w:r>
              <w:rPr>
                <w:rFonts w:ascii="仿宋_GB2312" w:eastAsia="仿宋_GB2312" w:hAnsi="仿宋_GB2312" w:cs="仿宋_GB2312" w:hint="eastAsia"/>
                <w:sz w:val="24"/>
                <w:szCs w:val="24"/>
              </w:rPr>
              <w:t>资产经营有限公司</w:t>
            </w:r>
          </w:p>
          <w:p w:rsidR="00D56A0B" w:rsidRDefault="000C4BA2">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建设地点：</w:t>
            </w:r>
            <w:r>
              <w:rPr>
                <w:rFonts w:ascii="仿宋_GB2312" w:eastAsia="仿宋_GB2312" w:hAnsi="仿宋_GB2312" w:cs="仿宋_GB2312" w:hint="eastAsia"/>
                <w:sz w:val="24"/>
                <w:szCs w:val="24"/>
              </w:rPr>
              <w:t>武隆区土坎镇、仙女山镇和巷口镇</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项目性质：建设类项目</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总投资：工程项目总投资</w:t>
            </w:r>
            <w:r>
              <w:rPr>
                <w:rFonts w:ascii="仿宋_GB2312" w:eastAsia="仿宋_GB2312" w:hAnsi="仿宋_GB2312" w:cs="仿宋_GB2312" w:hint="eastAsia"/>
                <w:sz w:val="24"/>
                <w:szCs w:val="24"/>
              </w:rPr>
              <w:t>18586.30</w:t>
            </w:r>
            <w:r>
              <w:rPr>
                <w:rFonts w:ascii="仿宋_GB2312" w:eastAsia="仿宋_GB2312" w:hAnsi="仿宋_GB2312" w:cs="仿宋_GB2312" w:hint="eastAsia"/>
                <w:sz w:val="24"/>
                <w:szCs w:val="24"/>
              </w:rPr>
              <w:t>万元，其中土建投资</w:t>
            </w:r>
            <w:r>
              <w:rPr>
                <w:rFonts w:ascii="仿宋_GB2312" w:eastAsia="仿宋_GB2312" w:hAnsi="仿宋_GB2312" w:cs="仿宋_GB2312" w:hint="eastAsia"/>
                <w:sz w:val="24"/>
                <w:szCs w:val="24"/>
              </w:rPr>
              <w:t>4874.11</w:t>
            </w:r>
            <w:r>
              <w:rPr>
                <w:rFonts w:ascii="仿宋_GB2312" w:eastAsia="仿宋_GB2312" w:hAnsi="仿宋_GB2312" w:cs="仿宋_GB2312" w:hint="eastAsia"/>
                <w:sz w:val="24"/>
                <w:szCs w:val="24"/>
              </w:rPr>
              <w:t>万元。</w:t>
            </w:r>
            <w:r>
              <w:rPr>
                <w:rFonts w:ascii="仿宋_GB2312" w:eastAsia="仿宋_GB2312" w:hAnsi="仿宋_GB2312" w:cs="仿宋_GB2312" w:hint="eastAsia"/>
                <w:sz w:val="24"/>
                <w:szCs w:val="24"/>
              </w:rPr>
              <w:t xml:space="preserve"> </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建设工期：</w:t>
            </w:r>
            <w:r>
              <w:rPr>
                <w:rFonts w:ascii="仿宋_GB2312" w:eastAsia="仿宋_GB2312" w:hAnsi="仿宋_GB2312" w:cs="仿宋_GB2312" w:hint="eastAsia"/>
                <w:sz w:val="24"/>
                <w:szCs w:val="24"/>
              </w:rPr>
              <w:t>201</w:t>
            </w: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月开工，</w:t>
            </w:r>
            <w:r>
              <w:rPr>
                <w:rFonts w:ascii="仿宋_GB2312" w:eastAsia="仿宋_GB2312" w:hAnsi="仿宋_GB2312" w:cs="仿宋_GB2312" w:hint="eastAsia"/>
                <w:sz w:val="24"/>
                <w:szCs w:val="24"/>
              </w:rPr>
              <w:t>201</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月完工，建设工期</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个月。</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项目组成：建设内容包括厂区和污水管道</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部分，新建仙女山组团至县城北岸污水干管间的污水管道</w:t>
            </w:r>
            <w:r>
              <w:rPr>
                <w:rFonts w:ascii="仿宋_GB2312" w:eastAsia="仿宋_GB2312" w:hAnsi="仿宋_GB2312" w:cs="仿宋_GB2312" w:hint="eastAsia"/>
                <w:sz w:val="24"/>
                <w:szCs w:val="24"/>
              </w:rPr>
              <w:t>14.3km</w:t>
            </w:r>
            <w:r>
              <w:rPr>
                <w:rFonts w:ascii="仿宋_GB2312" w:eastAsia="仿宋_GB2312" w:hAnsi="仿宋_GB2312" w:cs="仿宋_GB2312" w:hint="eastAsia"/>
                <w:sz w:val="24"/>
                <w:szCs w:val="24"/>
              </w:rPr>
              <w:t>，厂区污水处理量</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/d</w:t>
            </w:r>
            <w:r>
              <w:rPr>
                <w:rFonts w:ascii="仿宋_GB2312" w:eastAsia="仿宋_GB2312" w:hAnsi="仿宋_GB2312" w:cs="仿宋_GB2312" w:hint="eastAsia"/>
                <w:sz w:val="24"/>
                <w:szCs w:val="24"/>
              </w:rPr>
              <w:t>。</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（二）水土保持方案批复情况</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月，中机中</w:t>
            </w:r>
            <w:proofErr w:type="gramStart"/>
            <w:r>
              <w:rPr>
                <w:rFonts w:ascii="仿宋_GB2312" w:eastAsia="仿宋_GB2312" w:hAnsi="仿宋_GB2312" w:cs="仿宋_GB2312" w:hint="eastAsia"/>
                <w:sz w:val="24"/>
                <w:szCs w:val="24"/>
              </w:rPr>
              <w:t>联工程</w:t>
            </w:r>
            <w:proofErr w:type="gramEnd"/>
            <w:r>
              <w:rPr>
                <w:rFonts w:ascii="仿宋_GB2312" w:eastAsia="仿宋_GB2312" w:hAnsi="仿宋_GB2312" w:cs="仿宋_GB2312" w:hint="eastAsia"/>
                <w:sz w:val="24"/>
                <w:szCs w:val="24"/>
              </w:rPr>
              <w:t>有限公司完成了《武隆污水处理厂二期扩建工程》（报批稿）。</w:t>
            </w:r>
            <w:r>
              <w:rPr>
                <w:rFonts w:ascii="仿宋_GB2312" w:eastAsia="仿宋_GB2312" w:hAnsi="仿宋_GB2312" w:cs="仿宋_GB2312" w:hint="eastAsia"/>
                <w:sz w:val="24"/>
                <w:szCs w:val="24"/>
              </w:rPr>
              <w:t>2017</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重庆市水利局</w:t>
            </w:r>
            <w:r>
              <w:rPr>
                <w:rFonts w:ascii="仿宋_GB2312" w:eastAsia="仿宋_GB2312" w:hAnsi="仿宋_GB2312" w:cs="仿宋_GB2312" w:hint="eastAsia"/>
                <w:sz w:val="24"/>
                <w:szCs w:val="24"/>
              </w:rPr>
              <w:t>对本项目水土保持方案进行了批复，批复文号《</w:t>
            </w:r>
            <w:r>
              <w:rPr>
                <w:rFonts w:ascii="仿宋_GB2312" w:eastAsia="仿宋_GB2312" w:hAnsi="仿宋_GB2312" w:cs="仿宋_GB2312" w:hint="eastAsia"/>
                <w:sz w:val="24"/>
                <w:szCs w:val="24"/>
              </w:rPr>
              <w:t>重庆市水利局</w:t>
            </w:r>
            <w:r>
              <w:rPr>
                <w:rFonts w:ascii="仿宋_GB2312" w:eastAsia="仿宋_GB2312" w:hAnsi="仿宋_GB2312" w:cs="仿宋_GB2312" w:hint="eastAsia"/>
                <w:sz w:val="24"/>
                <w:szCs w:val="24"/>
              </w:rPr>
              <w:t>关于</w:t>
            </w:r>
            <w:r>
              <w:rPr>
                <w:rFonts w:ascii="仿宋_GB2312" w:eastAsia="仿宋_GB2312" w:hAnsi="仿宋_GB2312" w:cs="仿宋_GB2312" w:hint="eastAsia"/>
                <w:sz w:val="24"/>
                <w:szCs w:val="24"/>
              </w:rPr>
              <w:t>武隆</w:t>
            </w:r>
            <w:r>
              <w:rPr>
                <w:rFonts w:ascii="仿宋_GB2312" w:eastAsia="仿宋_GB2312" w:hAnsi="仿宋_GB2312" w:cs="仿宋_GB2312" w:hint="eastAsia"/>
                <w:sz w:val="24"/>
                <w:szCs w:val="24"/>
              </w:rPr>
              <w:t>水处理厂</w:t>
            </w:r>
            <w:r>
              <w:rPr>
                <w:rFonts w:ascii="仿宋_GB2312" w:eastAsia="仿宋_GB2312" w:hAnsi="仿宋_GB2312" w:cs="仿宋_GB2312" w:hint="eastAsia"/>
                <w:sz w:val="24"/>
                <w:szCs w:val="24"/>
              </w:rPr>
              <w:t>二</w:t>
            </w:r>
            <w:r>
              <w:rPr>
                <w:rFonts w:ascii="仿宋_GB2312" w:eastAsia="仿宋_GB2312" w:hAnsi="仿宋_GB2312" w:cs="仿宋_GB2312" w:hint="eastAsia"/>
                <w:sz w:val="24"/>
                <w:szCs w:val="24"/>
              </w:rPr>
              <w:t>期扩建工程水土保持方案的批复》（</w:t>
            </w:r>
            <w:r>
              <w:rPr>
                <w:rFonts w:ascii="仿宋_GB2312" w:eastAsia="仿宋_GB2312" w:hAnsi="仿宋_GB2312" w:cs="仿宋_GB2312" w:hint="eastAsia"/>
                <w:sz w:val="24"/>
                <w:szCs w:val="24"/>
              </w:rPr>
              <w:t>渝水许可</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2017</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98</w:t>
            </w:r>
            <w:r>
              <w:rPr>
                <w:rFonts w:ascii="仿宋_GB2312" w:eastAsia="仿宋_GB2312" w:hAnsi="仿宋_GB2312" w:cs="仿宋_GB2312" w:hint="eastAsia"/>
                <w:sz w:val="24"/>
                <w:szCs w:val="24"/>
              </w:rPr>
              <w:t>号）。</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批复内容：</w:t>
            </w:r>
            <w:r>
              <w:rPr>
                <w:rFonts w:ascii="仿宋_GB2312" w:eastAsia="仿宋_GB2312" w:hAnsi="仿宋_GB2312" w:cs="仿宋_GB2312" w:hint="eastAsia"/>
                <w:sz w:val="24"/>
                <w:szCs w:val="24"/>
              </w:rPr>
              <w:t>武隆</w:t>
            </w:r>
            <w:r>
              <w:rPr>
                <w:rFonts w:ascii="仿宋_GB2312" w:eastAsia="仿宋_GB2312" w:hAnsi="仿宋_GB2312" w:cs="仿宋_GB2312" w:hint="eastAsia"/>
                <w:sz w:val="24"/>
                <w:szCs w:val="24"/>
              </w:rPr>
              <w:t>污水处理厂</w:t>
            </w:r>
            <w:r>
              <w:rPr>
                <w:rFonts w:ascii="仿宋_GB2312" w:eastAsia="仿宋_GB2312" w:hAnsi="仿宋_GB2312" w:cs="仿宋_GB2312" w:hint="eastAsia"/>
                <w:sz w:val="24"/>
                <w:szCs w:val="24"/>
              </w:rPr>
              <w:t>二</w:t>
            </w:r>
            <w:r>
              <w:rPr>
                <w:rFonts w:ascii="仿宋_GB2312" w:eastAsia="仿宋_GB2312" w:hAnsi="仿宋_GB2312" w:cs="仿宋_GB2312" w:hint="eastAsia"/>
                <w:sz w:val="24"/>
                <w:szCs w:val="24"/>
              </w:rPr>
              <w:t>期工程建设</w:t>
            </w:r>
            <w:r>
              <w:rPr>
                <w:rFonts w:ascii="仿宋_GB2312" w:eastAsia="仿宋_GB2312" w:hAnsi="仿宋_GB2312" w:cs="仿宋_GB2312" w:hint="eastAsia"/>
                <w:sz w:val="24"/>
                <w:szCs w:val="24"/>
              </w:rPr>
              <w:t>内容包括厂区和污水管道</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部分，</w:t>
            </w:r>
            <w:r>
              <w:rPr>
                <w:rFonts w:ascii="仿宋_GB2312" w:eastAsia="仿宋_GB2312" w:hAnsi="仿宋_GB2312" w:cs="仿宋_GB2312" w:hint="eastAsia"/>
                <w:sz w:val="24"/>
                <w:szCs w:val="24"/>
              </w:rPr>
              <w:t>新建仙女山组团至县城北岸污水干管间的污水管道</w:t>
            </w:r>
            <w:r>
              <w:rPr>
                <w:rFonts w:ascii="仿宋_GB2312" w:eastAsia="仿宋_GB2312" w:hAnsi="仿宋_GB2312" w:cs="仿宋_GB2312" w:hint="eastAsia"/>
                <w:sz w:val="24"/>
                <w:szCs w:val="24"/>
              </w:rPr>
              <w:t>14.3km</w:t>
            </w:r>
            <w:r>
              <w:rPr>
                <w:rFonts w:ascii="仿宋_GB2312" w:eastAsia="仿宋_GB2312" w:hAnsi="仿宋_GB2312" w:cs="仿宋_GB2312" w:hint="eastAsia"/>
                <w:sz w:val="24"/>
                <w:szCs w:val="24"/>
              </w:rPr>
              <w:t>，厂区污水处理量</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/d</w:t>
            </w:r>
            <w:r>
              <w:rPr>
                <w:rFonts w:ascii="仿宋_GB2312" w:eastAsia="仿宋_GB2312" w:hAnsi="仿宋_GB2312" w:cs="仿宋_GB2312" w:hint="eastAsia"/>
                <w:sz w:val="24"/>
                <w:szCs w:val="24"/>
              </w:rPr>
              <w:t>。项目防治责任范围为</w:t>
            </w:r>
            <w:r>
              <w:rPr>
                <w:rFonts w:ascii="仿宋_GB2312" w:eastAsia="仿宋_GB2312" w:hAnsi="仿宋_GB2312" w:cs="仿宋_GB2312" w:hint="eastAsia"/>
                <w:sz w:val="24"/>
                <w:szCs w:val="24"/>
              </w:rPr>
              <w:t>18.74</w:t>
            </w:r>
            <w:r>
              <w:rPr>
                <w:rFonts w:ascii="仿宋_GB2312" w:eastAsia="仿宋_GB2312" w:hAnsi="仿宋_GB2312" w:cs="仿宋_GB2312" w:hint="eastAsia"/>
                <w:sz w:val="24"/>
                <w:szCs w:val="24"/>
              </w:rPr>
              <w:t>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，其中项目建设区</w:t>
            </w:r>
            <w:r>
              <w:rPr>
                <w:rFonts w:ascii="仿宋_GB2312" w:eastAsia="仿宋_GB2312" w:hAnsi="仿宋_GB2312" w:cs="仿宋_GB2312" w:hint="eastAsia"/>
                <w:sz w:val="24"/>
                <w:szCs w:val="24"/>
              </w:rPr>
              <w:t>12.19</w:t>
            </w:r>
            <w:r>
              <w:rPr>
                <w:rFonts w:ascii="仿宋_GB2312" w:eastAsia="仿宋_GB2312" w:hAnsi="仿宋_GB2312" w:cs="仿宋_GB2312" w:hint="eastAsia"/>
                <w:sz w:val="24"/>
                <w:szCs w:val="24"/>
              </w:rPr>
              <w:t xml:space="preserve"> 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，直接影响区</w:t>
            </w:r>
            <w:r>
              <w:rPr>
                <w:rFonts w:ascii="仿宋_GB2312" w:eastAsia="仿宋_GB2312" w:hAnsi="仿宋_GB2312" w:cs="仿宋_GB2312" w:hint="eastAsia"/>
                <w:sz w:val="24"/>
                <w:szCs w:val="24"/>
              </w:rPr>
              <w:t>6.55</w:t>
            </w:r>
            <w:r>
              <w:rPr>
                <w:rFonts w:ascii="仿宋_GB2312" w:eastAsia="仿宋_GB2312" w:hAnsi="仿宋_GB2312" w:cs="仿宋_GB2312" w:hint="eastAsia"/>
                <w:sz w:val="24"/>
                <w:szCs w:val="24"/>
              </w:rPr>
              <w:t xml:space="preserve"> 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项目建设区</w:t>
            </w:r>
            <w:r>
              <w:rPr>
                <w:rFonts w:ascii="仿宋_GB2312" w:eastAsia="仿宋_GB2312" w:hAnsi="仿宋_GB2312" w:cs="仿宋_GB2312" w:hint="eastAsia"/>
                <w:sz w:val="24"/>
                <w:szCs w:val="24"/>
              </w:rPr>
              <w:t>永久占地</w:t>
            </w:r>
            <w:r>
              <w:rPr>
                <w:rFonts w:ascii="仿宋_GB2312" w:eastAsia="仿宋_GB2312" w:hAnsi="仿宋_GB2312" w:cs="仿宋_GB2312" w:hint="eastAsia"/>
                <w:sz w:val="24"/>
                <w:szCs w:val="24"/>
              </w:rPr>
              <w:t>1.61hm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，临时占地</w:t>
            </w:r>
            <w:r>
              <w:rPr>
                <w:rFonts w:ascii="仿宋_GB2312" w:eastAsia="仿宋_GB2312" w:hAnsi="仿宋_GB2312" w:cs="仿宋_GB2312" w:hint="eastAsia"/>
                <w:sz w:val="24"/>
                <w:szCs w:val="24"/>
              </w:rPr>
              <w:t>10.58hm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。建设期预计造成水土流失总量</w:t>
            </w:r>
            <w:r>
              <w:rPr>
                <w:rFonts w:ascii="仿宋_GB2312" w:eastAsia="仿宋_GB2312" w:hAnsi="仿宋_GB2312" w:cs="仿宋_GB2312" w:hint="eastAsia"/>
                <w:sz w:val="24"/>
                <w:szCs w:val="24"/>
              </w:rPr>
              <w:t>1404t</w:t>
            </w:r>
            <w:r>
              <w:rPr>
                <w:rFonts w:ascii="仿宋_GB2312" w:eastAsia="仿宋_GB2312" w:hAnsi="仿宋_GB2312" w:cs="仿宋_GB2312" w:hint="eastAsia"/>
                <w:sz w:val="24"/>
                <w:szCs w:val="24"/>
              </w:rPr>
              <w:t>，新增水土</w:t>
            </w:r>
            <w:r>
              <w:rPr>
                <w:rFonts w:ascii="仿宋_GB2312" w:eastAsia="仿宋_GB2312" w:hAnsi="仿宋_GB2312" w:cs="仿宋_GB2312" w:hint="eastAsia"/>
                <w:sz w:val="24"/>
                <w:szCs w:val="24"/>
              </w:rPr>
              <w:t>流失量</w:t>
            </w:r>
            <w:r>
              <w:rPr>
                <w:rFonts w:ascii="仿宋_GB2312" w:eastAsia="仿宋_GB2312" w:hAnsi="仿宋_GB2312" w:cs="仿宋_GB2312" w:hint="eastAsia"/>
                <w:sz w:val="24"/>
                <w:szCs w:val="24"/>
              </w:rPr>
              <w:t>1109t</w:t>
            </w:r>
            <w:r>
              <w:rPr>
                <w:rFonts w:ascii="仿宋_GB2312" w:eastAsia="仿宋_GB2312" w:hAnsi="仿宋_GB2312" w:cs="仿宋_GB2312" w:hint="eastAsia"/>
                <w:sz w:val="24"/>
                <w:szCs w:val="24"/>
              </w:rPr>
              <w:t>。</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主要工程量：挖方量</w:t>
            </w:r>
            <w:r>
              <w:rPr>
                <w:rFonts w:ascii="仿宋_GB2312" w:eastAsia="仿宋_GB2312" w:hAnsi="仿宋_GB2312" w:cs="仿宋_GB2312" w:hint="eastAsia"/>
                <w:sz w:val="24"/>
                <w:szCs w:val="24"/>
              </w:rPr>
              <w:t>4.90</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，填方量</w:t>
            </w:r>
            <w:r>
              <w:rPr>
                <w:rFonts w:ascii="仿宋_GB2312" w:eastAsia="仿宋_GB2312" w:hAnsi="仿宋_GB2312" w:cs="仿宋_GB2312" w:hint="eastAsia"/>
                <w:sz w:val="24"/>
                <w:szCs w:val="24"/>
              </w:rPr>
              <w:t>3.24</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弃</w:t>
            </w:r>
            <w:r>
              <w:rPr>
                <w:rFonts w:ascii="仿宋_GB2312" w:eastAsia="仿宋_GB2312" w:hAnsi="仿宋_GB2312" w:cs="仿宋_GB2312" w:hint="eastAsia"/>
                <w:sz w:val="24"/>
                <w:szCs w:val="24"/>
              </w:rPr>
              <w:t>方量</w:t>
            </w:r>
            <w:proofErr w:type="gramEnd"/>
            <w:r>
              <w:rPr>
                <w:rFonts w:ascii="仿宋_GB2312" w:eastAsia="仿宋_GB2312" w:hAnsi="仿宋_GB2312" w:cs="仿宋_GB2312" w:hint="eastAsia"/>
                <w:sz w:val="24"/>
                <w:szCs w:val="24"/>
              </w:rPr>
              <w:t>1.66</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项目水土保持总投资</w:t>
            </w:r>
            <w:r>
              <w:rPr>
                <w:rFonts w:ascii="仿宋_GB2312" w:eastAsia="仿宋_GB2312" w:hAnsi="仿宋_GB2312" w:cs="仿宋_GB2312" w:hint="eastAsia"/>
                <w:sz w:val="24"/>
                <w:szCs w:val="24"/>
              </w:rPr>
              <w:t>242.93</w:t>
            </w:r>
            <w:r>
              <w:rPr>
                <w:rFonts w:ascii="仿宋_GB2312" w:eastAsia="仿宋_GB2312" w:hAnsi="仿宋_GB2312" w:cs="仿宋_GB2312" w:hint="eastAsia"/>
                <w:sz w:val="24"/>
                <w:szCs w:val="24"/>
              </w:rPr>
              <w:t>万元，其中主体已列投资</w:t>
            </w:r>
            <w:r>
              <w:rPr>
                <w:rFonts w:ascii="仿宋_GB2312" w:eastAsia="仿宋_GB2312" w:hAnsi="仿宋_GB2312" w:cs="仿宋_GB2312" w:hint="eastAsia"/>
                <w:sz w:val="24"/>
                <w:szCs w:val="24"/>
              </w:rPr>
              <w:t>11.77</w:t>
            </w:r>
            <w:r>
              <w:rPr>
                <w:rFonts w:ascii="仿宋_GB2312" w:eastAsia="仿宋_GB2312" w:hAnsi="仿宋_GB2312" w:cs="仿宋_GB2312" w:hint="eastAsia"/>
                <w:sz w:val="24"/>
                <w:szCs w:val="24"/>
              </w:rPr>
              <w:t>万元，方案新增投资</w:t>
            </w:r>
            <w:r>
              <w:rPr>
                <w:rFonts w:ascii="仿宋_GB2312" w:eastAsia="仿宋_GB2312" w:hAnsi="仿宋_GB2312" w:cs="仿宋_GB2312" w:hint="eastAsia"/>
                <w:sz w:val="24"/>
                <w:szCs w:val="24"/>
              </w:rPr>
              <w:t>231.16</w:t>
            </w:r>
            <w:r>
              <w:rPr>
                <w:rFonts w:ascii="仿宋_GB2312" w:eastAsia="仿宋_GB2312" w:hAnsi="仿宋_GB2312" w:cs="仿宋_GB2312" w:hint="eastAsia"/>
                <w:sz w:val="24"/>
                <w:szCs w:val="24"/>
              </w:rPr>
              <w:t>万元。在方案新增投资中，工程措施费</w:t>
            </w:r>
            <w:r>
              <w:rPr>
                <w:rFonts w:ascii="仿宋_GB2312" w:eastAsia="仿宋_GB2312" w:hAnsi="仿宋_GB2312" w:cs="仿宋_GB2312" w:hint="eastAsia"/>
                <w:sz w:val="24"/>
                <w:szCs w:val="24"/>
              </w:rPr>
              <w:t>50.86</w:t>
            </w:r>
            <w:r>
              <w:rPr>
                <w:rFonts w:ascii="仿宋_GB2312" w:eastAsia="仿宋_GB2312" w:hAnsi="仿宋_GB2312" w:cs="仿宋_GB2312" w:hint="eastAsia"/>
                <w:sz w:val="24"/>
                <w:szCs w:val="24"/>
              </w:rPr>
              <w:t>万元，植物措施费</w:t>
            </w:r>
            <w:r>
              <w:rPr>
                <w:rFonts w:ascii="仿宋_GB2312" w:eastAsia="仿宋_GB2312" w:hAnsi="仿宋_GB2312" w:cs="仿宋_GB2312" w:hint="eastAsia"/>
                <w:sz w:val="24"/>
                <w:szCs w:val="24"/>
              </w:rPr>
              <w:t>5.41</w:t>
            </w:r>
            <w:r>
              <w:rPr>
                <w:rFonts w:ascii="仿宋_GB2312" w:eastAsia="仿宋_GB2312" w:hAnsi="仿宋_GB2312" w:cs="仿宋_GB2312" w:hint="eastAsia"/>
                <w:sz w:val="24"/>
                <w:szCs w:val="24"/>
              </w:rPr>
              <w:t>万元，监测措施费</w:t>
            </w:r>
            <w:r>
              <w:rPr>
                <w:rFonts w:ascii="仿宋_GB2312" w:eastAsia="仿宋_GB2312" w:hAnsi="仿宋_GB2312" w:cs="仿宋_GB2312" w:hint="eastAsia"/>
                <w:sz w:val="24"/>
                <w:szCs w:val="24"/>
              </w:rPr>
              <w:t>14.06</w:t>
            </w:r>
            <w:r>
              <w:rPr>
                <w:rFonts w:ascii="仿宋_GB2312" w:eastAsia="仿宋_GB2312" w:hAnsi="仿宋_GB2312" w:cs="仿宋_GB2312" w:hint="eastAsia"/>
                <w:sz w:val="24"/>
                <w:szCs w:val="24"/>
              </w:rPr>
              <w:t>万元，临时措施费</w:t>
            </w:r>
            <w:r>
              <w:rPr>
                <w:rFonts w:ascii="仿宋_GB2312" w:eastAsia="仿宋_GB2312" w:hAnsi="仿宋_GB2312" w:cs="仿宋_GB2312" w:hint="eastAsia"/>
                <w:sz w:val="24"/>
                <w:szCs w:val="24"/>
              </w:rPr>
              <w:t>99.25</w:t>
            </w:r>
            <w:r>
              <w:rPr>
                <w:rFonts w:ascii="仿宋_GB2312" w:eastAsia="仿宋_GB2312" w:hAnsi="仿宋_GB2312" w:cs="仿宋_GB2312" w:hint="eastAsia"/>
                <w:sz w:val="24"/>
                <w:szCs w:val="24"/>
              </w:rPr>
              <w:t>万元，独立费用</w:t>
            </w:r>
            <w:r>
              <w:rPr>
                <w:rFonts w:ascii="仿宋_GB2312" w:eastAsia="仿宋_GB2312" w:hAnsi="仿宋_GB2312" w:cs="仿宋_GB2312" w:hint="eastAsia"/>
                <w:sz w:val="24"/>
                <w:szCs w:val="24"/>
              </w:rPr>
              <w:t>32.40</w:t>
            </w:r>
            <w:r>
              <w:rPr>
                <w:rFonts w:ascii="仿宋_GB2312" w:eastAsia="仿宋_GB2312" w:hAnsi="仿宋_GB2312" w:cs="仿宋_GB2312" w:hint="eastAsia"/>
                <w:sz w:val="24"/>
                <w:szCs w:val="24"/>
              </w:rPr>
              <w:t>万元，基本预备费</w:t>
            </w:r>
            <w:r>
              <w:rPr>
                <w:rFonts w:ascii="仿宋_GB2312" w:eastAsia="仿宋_GB2312" w:hAnsi="仿宋_GB2312" w:cs="仿宋_GB2312" w:hint="eastAsia"/>
                <w:sz w:val="24"/>
                <w:szCs w:val="24"/>
              </w:rPr>
              <w:t>12.11</w:t>
            </w:r>
            <w:r>
              <w:rPr>
                <w:rFonts w:ascii="仿宋_GB2312" w:eastAsia="仿宋_GB2312" w:hAnsi="仿宋_GB2312" w:cs="仿宋_GB2312" w:hint="eastAsia"/>
                <w:sz w:val="24"/>
                <w:szCs w:val="24"/>
              </w:rPr>
              <w:t>万元，水土保持补偿费</w:t>
            </w:r>
            <w:r>
              <w:rPr>
                <w:rFonts w:ascii="仿宋_GB2312" w:eastAsia="仿宋_GB2312" w:hAnsi="仿宋_GB2312" w:cs="仿宋_GB2312" w:hint="eastAsia"/>
                <w:sz w:val="24"/>
                <w:szCs w:val="24"/>
              </w:rPr>
              <w:t>17.07</w:t>
            </w:r>
            <w:r>
              <w:rPr>
                <w:rFonts w:ascii="仿宋_GB2312" w:eastAsia="仿宋_GB2312" w:hAnsi="仿宋_GB2312" w:cs="仿宋_GB2312" w:hint="eastAsia"/>
                <w:sz w:val="24"/>
                <w:szCs w:val="24"/>
              </w:rPr>
              <w:t>万元。</w:t>
            </w:r>
          </w:p>
          <w:p w:rsidR="00D56A0B" w:rsidRDefault="000C4BA2">
            <w:pPr>
              <w:adjustRightInd w:val="0"/>
              <w:snapToGrid w:val="0"/>
              <w:spacing w:line="500" w:lineRule="exact"/>
              <w:ind w:firstLine="555"/>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（三）水土保持初步设计或施工图设计情况</w:t>
            </w:r>
          </w:p>
          <w:p w:rsidR="00D56A0B" w:rsidRDefault="000C4BA2">
            <w:pPr>
              <w:adjustRightInd w:val="0"/>
              <w:snapToGrid w:val="0"/>
              <w:spacing w:line="500" w:lineRule="exact"/>
              <w:ind w:firstLine="555"/>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本项目无水土保持初步设计或施工图设计。</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（四）水土保持监测情况</w:t>
            </w:r>
          </w:p>
          <w:p w:rsidR="00D56A0B" w:rsidRDefault="000C4BA2">
            <w:pPr>
              <w:tabs>
                <w:tab w:val="left" w:pos="0"/>
              </w:tabs>
              <w:autoSpaceDE w:val="0"/>
              <w:autoSpaceDN w:val="0"/>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202</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监测单位编制完成了该工程的水土保持监测总结报告。得出监测主要结论为：本项目建设单位对水土保持工作较为重视，水土保持措施的实施效果较好，各项措施基本依照水土保持方案的要求落实到位。建设单位在水土流失防治责任范围内的水土保持设施具备正常运行条件，且能持续、安全、有效运行，水土保持设施的管护、维护措施落实到位，水土保持六项防治指标分别为扰动土地整治率</w:t>
            </w:r>
            <w:r>
              <w:rPr>
                <w:rFonts w:ascii="仿宋_GB2312" w:eastAsia="仿宋_GB2312" w:hAnsi="仿宋_GB2312" w:cs="仿宋_GB2312" w:hint="eastAsia"/>
                <w:sz w:val="24"/>
                <w:szCs w:val="24"/>
              </w:rPr>
              <w:t>98.61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，水土流失总治理度</w:t>
            </w:r>
            <w:r>
              <w:rPr>
                <w:rFonts w:ascii="仿宋_GB2312" w:eastAsia="仿宋_GB2312" w:hAnsi="仿宋_GB2312" w:cs="仿宋_GB2312" w:hint="eastAsia"/>
                <w:sz w:val="24"/>
                <w:szCs w:val="24"/>
              </w:rPr>
              <w:t>98.36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，土壤流失控制比</w:t>
            </w:r>
            <w:r>
              <w:rPr>
                <w:rFonts w:ascii="仿宋_GB2312" w:eastAsia="仿宋_GB2312" w:hAnsi="仿宋_GB2312" w:cs="仿宋_GB2312" w:hint="eastAsia"/>
                <w:sz w:val="24"/>
                <w:szCs w:val="24"/>
              </w:rPr>
              <w:t>大于</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，拦渣率</w:t>
            </w: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，林草植被恢复率</w:t>
            </w: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，林草覆盖率</w:t>
            </w:r>
            <w:r>
              <w:rPr>
                <w:rFonts w:ascii="仿宋_GB2312" w:eastAsia="仿宋_GB2312" w:hAnsi="仿宋_GB2312" w:cs="仿宋_GB2312" w:hint="eastAsia"/>
                <w:sz w:val="24"/>
                <w:szCs w:val="24"/>
              </w:rPr>
              <w:t>55.87</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，均已达到一级防治标准，</w:t>
            </w:r>
            <w:r>
              <w:rPr>
                <w:rFonts w:ascii="仿宋_GB2312" w:eastAsia="仿宋_GB2312" w:hAnsi="仿宋_GB2312" w:cs="仿宋_GB2312" w:hint="eastAsia"/>
                <w:sz w:val="24"/>
                <w:szCs w:val="24"/>
              </w:rPr>
              <w:t>具备生产建设项目水土保持设施验收的条件。</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（五）验收报告编制情况和主要结论</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2020</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9</w:t>
            </w:r>
            <w:r>
              <w:rPr>
                <w:rFonts w:ascii="仿宋_GB2312" w:eastAsia="仿宋_GB2312" w:hAnsi="仿宋_GB2312" w:cs="仿宋_GB2312" w:hint="eastAsia"/>
                <w:color w:val="000000"/>
                <w:sz w:val="24"/>
                <w:szCs w:val="24"/>
              </w:rPr>
              <w:t>月，建设单位重庆市水</w:t>
            </w:r>
            <w:proofErr w:type="gramStart"/>
            <w:r>
              <w:rPr>
                <w:rFonts w:ascii="仿宋_GB2312" w:eastAsia="仿宋_GB2312" w:hAnsi="仿宋_GB2312" w:cs="仿宋_GB2312" w:hint="eastAsia"/>
                <w:color w:val="000000"/>
                <w:sz w:val="24"/>
                <w:szCs w:val="24"/>
              </w:rPr>
              <w:t>务</w:t>
            </w:r>
            <w:proofErr w:type="gramEnd"/>
            <w:r>
              <w:rPr>
                <w:rFonts w:ascii="仿宋_GB2312" w:eastAsia="仿宋_GB2312" w:hAnsi="仿宋_GB2312" w:cs="仿宋_GB2312" w:hint="eastAsia"/>
                <w:color w:val="000000"/>
                <w:sz w:val="24"/>
                <w:szCs w:val="24"/>
              </w:rPr>
              <w:t>资产经营有限公司委托重庆润宇水利工程咨询有限公司开展</w:t>
            </w:r>
            <w:r>
              <w:rPr>
                <w:rFonts w:ascii="仿宋_GB2312" w:eastAsia="仿宋_GB2312" w:hAnsi="仿宋_GB2312" w:cs="仿宋_GB2312" w:hint="eastAsia"/>
                <w:sz w:val="24"/>
                <w:szCs w:val="24"/>
              </w:rPr>
              <w:t>武隆污水处理厂二期扩建工程</w:t>
            </w:r>
            <w:r>
              <w:rPr>
                <w:rFonts w:ascii="仿宋_GB2312" w:eastAsia="仿宋_GB2312" w:hAnsi="仿宋_GB2312" w:cs="仿宋_GB2312" w:hint="eastAsia"/>
                <w:color w:val="000000"/>
                <w:sz w:val="24"/>
                <w:szCs w:val="24"/>
              </w:rPr>
              <w:t>水土保持设施验收报告的编制工作。</w:t>
            </w:r>
            <w:r>
              <w:rPr>
                <w:rFonts w:ascii="仿宋_GB2312" w:eastAsia="仿宋_GB2312" w:hAnsi="仿宋_GB2312" w:cs="仿宋_GB2312" w:hint="eastAsia"/>
                <w:color w:val="000000"/>
                <w:sz w:val="24"/>
                <w:szCs w:val="24"/>
              </w:rPr>
              <w:t>2020</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10</w:t>
            </w:r>
            <w:r>
              <w:rPr>
                <w:rFonts w:ascii="仿宋_GB2312" w:eastAsia="仿宋_GB2312" w:hAnsi="仿宋_GB2312" w:cs="仿宋_GB2312" w:hint="eastAsia"/>
                <w:color w:val="000000"/>
                <w:sz w:val="24"/>
                <w:szCs w:val="24"/>
              </w:rPr>
              <w:t>月，编制单位编写完成了《</w:t>
            </w:r>
            <w:r>
              <w:rPr>
                <w:rFonts w:ascii="仿宋_GB2312" w:eastAsia="仿宋_GB2312" w:hAnsi="仿宋_GB2312" w:cs="仿宋_GB2312" w:hint="eastAsia"/>
                <w:sz w:val="24"/>
                <w:szCs w:val="24"/>
              </w:rPr>
              <w:t>武隆污水处理厂二期扩建工程</w:t>
            </w:r>
            <w:r>
              <w:rPr>
                <w:rFonts w:ascii="仿宋_GB2312" w:eastAsia="仿宋_GB2312" w:hAnsi="仿宋_GB2312" w:cs="仿宋_GB2312" w:hint="eastAsia"/>
                <w:color w:val="000000"/>
                <w:sz w:val="24"/>
                <w:szCs w:val="24"/>
              </w:rPr>
              <w:t>水土保持设施验收报告》。验收报告结论：</w:t>
            </w:r>
          </w:p>
          <w:p w:rsidR="00D56A0B" w:rsidRDefault="000C4BA2">
            <w:pPr>
              <w:spacing w:line="500" w:lineRule="exact"/>
              <w:ind w:firstLineChars="200" w:firstLine="480"/>
              <w:rPr>
                <w:rFonts w:eastAsia="仿宋_GB2312"/>
                <w:color w:val="000000"/>
                <w:sz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、本项目实际发生的防治责任范围面积</w:t>
            </w:r>
            <w:r>
              <w:rPr>
                <w:rFonts w:ascii="仿宋_GB2312" w:eastAsia="仿宋_GB2312" w:hAnsi="仿宋_GB2312" w:cs="仿宋_GB2312" w:hint="eastAsia"/>
                <w:color w:val="000000"/>
                <w:sz w:val="24"/>
                <w:szCs w:val="24"/>
              </w:rPr>
              <w:t>12.19</w:t>
            </w:r>
            <w:r>
              <w:rPr>
                <w:rFonts w:ascii="仿宋_GB2312" w:eastAsia="仿宋_GB2312" w:hAnsi="仿宋_GB2312" w:cs="仿宋_GB2312" w:hint="eastAsia"/>
                <w:color w:val="000000"/>
                <w:sz w:val="24"/>
                <w:szCs w:val="24"/>
              </w:rPr>
              <w:t>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，与方案批复的防治责任范围</w:t>
            </w:r>
            <w:r>
              <w:rPr>
                <w:rFonts w:ascii="仿宋_GB2312" w:eastAsia="仿宋_GB2312" w:hAnsi="仿宋_GB2312" w:cs="仿宋_GB2312" w:hint="eastAsia"/>
                <w:color w:val="000000"/>
                <w:sz w:val="24"/>
                <w:szCs w:val="24"/>
              </w:rPr>
              <w:t>一致</w:t>
            </w:r>
            <w:r>
              <w:rPr>
                <w:rFonts w:ascii="仿宋_GB2312" w:eastAsia="仿宋_GB2312" w:hAnsi="仿宋_GB2312" w:cs="仿宋_GB2312" w:hint="eastAsia"/>
                <w:color w:val="000000"/>
                <w:sz w:val="24"/>
                <w:szCs w:val="24"/>
              </w:rPr>
              <w:t>。其中项目建设区面积为</w:t>
            </w:r>
            <w:r>
              <w:rPr>
                <w:rFonts w:ascii="仿宋_GB2312" w:eastAsia="仿宋_GB2312" w:hAnsi="仿宋_GB2312" w:cs="仿宋_GB2312" w:hint="eastAsia"/>
                <w:color w:val="000000"/>
                <w:sz w:val="24"/>
                <w:szCs w:val="24"/>
              </w:rPr>
              <w:t>12.19</w:t>
            </w:r>
            <w:r>
              <w:rPr>
                <w:rFonts w:ascii="仿宋_GB2312" w:eastAsia="仿宋_GB2312" w:hAnsi="仿宋_GB2312" w:cs="仿宋_GB2312" w:hint="eastAsia"/>
                <w:color w:val="000000"/>
                <w:sz w:val="24"/>
                <w:szCs w:val="24"/>
              </w:rPr>
              <w:t>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，无直接影响区。</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、本工程在建设期本项目共计开挖土石方</w:t>
            </w:r>
            <w:r>
              <w:rPr>
                <w:rFonts w:ascii="仿宋_GB2312" w:eastAsia="仿宋_GB2312" w:hAnsi="仿宋_GB2312" w:cs="仿宋_GB2312" w:hint="eastAsia"/>
                <w:color w:val="000000"/>
                <w:sz w:val="24"/>
                <w:szCs w:val="24"/>
              </w:rPr>
              <w:t>4.73</w:t>
            </w:r>
            <w:r>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m</w:t>
            </w:r>
            <w:r>
              <w:rPr>
                <w:rFonts w:ascii="仿宋_GB2312" w:eastAsia="仿宋_GB2312" w:hAnsi="仿宋_GB2312" w:cs="仿宋_GB2312" w:hint="eastAsia"/>
                <w:color w:val="000000"/>
                <w:sz w:val="24"/>
                <w:szCs w:val="24"/>
              </w:rPr>
              <w:t>³，填方总量为</w:t>
            </w:r>
            <w:r>
              <w:rPr>
                <w:rFonts w:ascii="仿宋_GB2312" w:eastAsia="仿宋_GB2312" w:hAnsi="仿宋_GB2312" w:cs="仿宋_GB2312" w:hint="eastAsia"/>
                <w:color w:val="000000"/>
                <w:sz w:val="24"/>
                <w:szCs w:val="24"/>
              </w:rPr>
              <w:t>3.19</w:t>
            </w:r>
            <w:r>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m</w:t>
            </w:r>
            <w:r>
              <w:rPr>
                <w:rFonts w:ascii="仿宋_GB2312" w:eastAsia="仿宋_GB2312" w:hAnsi="仿宋_GB2312" w:cs="仿宋_GB2312" w:hint="eastAsia"/>
                <w:color w:val="000000"/>
                <w:sz w:val="24"/>
                <w:szCs w:val="24"/>
                <w:vertAlign w:val="superscript"/>
              </w:rPr>
              <w:t>3</w:t>
            </w:r>
            <w:r>
              <w:rPr>
                <w:rFonts w:ascii="仿宋_GB2312" w:eastAsia="仿宋_GB2312" w:hAnsi="仿宋_GB2312" w:cs="仿宋_GB2312" w:hint="eastAsia"/>
                <w:color w:val="000000"/>
                <w:sz w:val="24"/>
                <w:szCs w:val="24"/>
              </w:rPr>
              <w:t>，</w:t>
            </w:r>
            <w:proofErr w:type="gramStart"/>
            <w:r>
              <w:rPr>
                <w:rFonts w:ascii="仿宋_GB2312" w:eastAsia="仿宋_GB2312" w:hAnsi="仿宋_GB2312" w:cs="仿宋_GB2312" w:hint="eastAsia"/>
                <w:color w:val="000000"/>
                <w:sz w:val="24"/>
                <w:szCs w:val="24"/>
              </w:rPr>
              <w:t>弃方</w:t>
            </w:r>
            <w:r>
              <w:rPr>
                <w:rFonts w:ascii="仿宋_GB2312" w:eastAsia="仿宋_GB2312" w:hAnsi="仿宋_GB2312" w:cs="仿宋_GB2312" w:hint="eastAsia"/>
                <w:color w:val="000000"/>
                <w:sz w:val="24"/>
                <w:szCs w:val="24"/>
              </w:rPr>
              <w:t>量</w:t>
            </w:r>
            <w:proofErr w:type="gramEnd"/>
            <w:r>
              <w:rPr>
                <w:rFonts w:ascii="仿宋_GB2312" w:eastAsia="仿宋_GB2312" w:hAnsi="仿宋_GB2312" w:cs="仿宋_GB2312" w:hint="eastAsia"/>
                <w:color w:val="000000"/>
                <w:sz w:val="24"/>
                <w:szCs w:val="24"/>
              </w:rPr>
              <w:t>为</w:t>
            </w:r>
            <w:r>
              <w:rPr>
                <w:rFonts w:ascii="仿宋_GB2312" w:eastAsia="仿宋_GB2312" w:hAnsi="仿宋_GB2312" w:cs="仿宋_GB2312" w:hint="eastAsia"/>
                <w:color w:val="000000"/>
                <w:sz w:val="24"/>
                <w:szCs w:val="24"/>
              </w:rPr>
              <w:t>1.54</w:t>
            </w:r>
            <w:r>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m</w:t>
            </w:r>
            <w:r>
              <w:rPr>
                <w:rFonts w:ascii="仿宋_GB2312" w:eastAsia="仿宋_GB2312" w:hAnsi="仿宋_GB2312" w:cs="仿宋_GB2312" w:hint="eastAsia"/>
                <w:color w:val="000000"/>
                <w:sz w:val="24"/>
                <w:szCs w:val="24"/>
                <w:vertAlign w:val="superscript"/>
              </w:rPr>
              <w:t>3</w:t>
            </w:r>
            <w:r>
              <w:rPr>
                <w:rFonts w:ascii="仿宋_GB2312" w:eastAsia="仿宋_GB2312" w:hAnsi="仿宋_GB2312" w:cs="仿宋_GB2312" w:hint="eastAsia"/>
                <w:color w:val="000000"/>
                <w:sz w:val="24"/>
                <w:szCs w:val="24"/>
              </w:rPr>
              <w:t>，</w:t>
            </w:r>
            <w:proofErr w:type="gramStart"/>
            <w:r>
              <w:rPr>
                <w:rFonts w:ascii="仿宋_GB2312" w:eastAsia="仿宋_GB2312" w:hAnsi="仿宋_GB2312" w:cs="仿宋_GB2312" w:hint="eastAsia"/>
                <w:color w:val="000000"/>
                <w:sz w:val="24"/>
                <w:szCs w:val="24"/>
              </w:rPr>
              <w:t>其中弃方</w:t>
            </w:r>
            <w:proofErr w:type="gramEnd"/>
            <w:r>
              <w:rPr>
                <w:rFonts w:ascii="仿宋_GB2312" w:eastAsia="仿宋_GB2312" w:hAnsi="仿宋_GB2312" w:cs="仿宋_GB2312" w:hint="eastAsia"/>
                <w:color w:val="000000"/>
                <w:sz w:val="24"/>
                <w:szCs w:val="24"/>
              </w:rPr>
              <w:t>1.13</w:t>
            </w:r>
            <w:r>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m</w:t>
            </w:r>
            <w:r>
              <w:rPr>
                <w:rFonts w:ascii="仿宋_GB2312" w:eastAsia="仿宋_GB2312" w:hAnsi="仿宋_GB2312" w:cs="仿宋_GB2312" w:hint="eastAsia"/>
                <w:color w:val="000000"/>
                <w:sz w:val="24"/>
                <w:szCs w:val="24"/>
              </w:rPr>
              <w:t>³</w:t>
            </w:r>
            <w:r>
              <w:rPr>
                <w:rFonts w:ascii="仿宋_GB2312" w:eastAsia="仿宋_GB2312" w:hAnsi="仿宋_GB2312" w:cs="仿宋_GB2312" w:hint="eastAsia"/>
                <w:color w:val="000000"/>
                <w:sz w:val="24"/>
                <w:szCs w:val="24"/>
              </w:rPr>
              <w:t>运至</w:t>
            </w:r>
            <w:r>
              <w:rPr>
                <w:rFonts w:ascii="仿宋_GB2312" w:eastAsia="仿宋_GB2312" w:hAnsi="仿宋_GB2312" w:cs="仿宋_GB2312" w:hint="eastAsia"/>
                <w:sz w:val="24"/>
              </w:rPr>
              <w:t>《羊角镇危岩滑坡避险搬迁新址土地整治项目》回填利用，</w:t>
            </w:r>
            <w:proofErr w:type="gramStart"/>
            <w:r>
              <w:rPr>
                <w:rFonts w:ascii="仿宋_GB2312" w:eastAsia="仿宋_GB2312" w:hAnsi="仿宋_GB2312" w:cs="仿宋_GB2312" w:hint="eastAsia"/>
                <w:sz w:val="24"/>
              </w:rPr>
              <w:t>管道弃方</w:t>
            </w:r>
            <w:proofErr w:type="gramEnd"/>
            <w:r>
              <w:rPr>
                <w:rFonts w:ascii="仿宋_GB2312" w:eastAsia="仿宋_GB2312" w:hAnsi="仿宋_GB2312" w:cs="仿宋_GB2312" w:hint="eastAsia"/>
                <w:sz w:val="24"/>
              </w:rPr>
              <w:t>0.</w:t>
            </w:r>
            <w:r>
              <w:rPr>
                <w:rFonts w:ascii="仿宋_GB2312" w:eastAsia="仿宋_GB2312" w:hAnsi="仿宋_GB2312" w:cs="仿宋_GB2312" w:hint="eastAsia"/>
                <w:sz w:val="24"/>
              </w:rPr>
              <w:t>41</w:t>
            </w:r>
            <w:r>
              <w:rPr>
                <w:rFonts w:ascii="仿宋_GB2312" w:eastAsia="仿宋_GB2312" w:hAnsi="仿宋_GB2312" w:cs="仿宋_GB2312" w:hint="eastAsia"/>
                <w:sz w:val="24"/>
              </w:rPr>
              <w:t>万</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3</w:t>
            </w:r>
            <w:r>
              <w:rPr>
                <w:rFonts w:ascii="仿宋_GB2312" w:eastAsia="仿宋_GB2312" w:hAnsi="仿宋_GB2312" w:cs="仿宋_GB2312" w:hint="eastAsia"/>
                <w:sz w:val="24"/>
              </w:rPr>
              <w:t>沿线平衡处置。</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sz w:val="24"/>
                <w:szCs w:val="24"/>
              </w:rPr>
              <w:t>、工程建设过程中，建设单位落实了水土保持方案确定的各项防治措施，主要完成了</w:t>
            </w:r>
            <w:r>
              <w:rPr>
                <w:rFonts w:ascii="仿宋_GB2312" w:eastAsia="仿宋_GB2312" w:hAnsi="仿宋_GB2312" w:cs="仿宋_GB2312" w:hint="eastAsia"/>
                <w:color w:val="000000"/>
                <w:sz w:val="24"/>
                <w:szCs w:val="24"/>
              </w:rPr>
              <w:t>厂区：雨水管网</w:t>
            </w:r>
            <w:r>
              <w:rPr>
                <w:rFonts w:ascii="仿宋_GB2312" w:eastAsia="仿宋_GB2312" w:hAnsi="仿宋_GB2312" w:cs="仿宋_GB2312" w:hint="eastAsia"/>
                <w:color w:val="000000"/>
                <w:sz w:val="24"/>
                <w:szCs w:val="24"/>
              </w:rPr>
              <w:t>330m</w:t>
            </w:r>
            <w:r>
              <w:rPr>
                <w:rFonts w:ascii="仿宋_GB2312" w:eastAsia="仿宋_GB2312" w:hAnsi="仿宋_GB2312" w:cs="仿宋_GB2312" w:hint="eastAsia"/>
                <w:color w:val="000000"/>
                <w:sz w:val="24"/>
                <w:szCs w:val="24"/>
              </w:rPr>
              <w:t>，场地平整</w:t>
            </w:r>
            <w:r>
              <w:rPr>
                <w:rFonts w:ascii="仿宋_GB2312" w:eastAsia="仿宋_GB2312" w:hAnsi="仿宋_GB2312" w:cs="仿宋_GB2312" w:hint="eastAsia"/>
                <w:color w:val="000000"/>
                <w:sz w:val="24"/>
                <w:szCs w:val="24"/>
              </w:rPr>
              <w:t>0.12hm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，覆土</w:t>
            </w:r>
            <w:r>
              <w:rPr>
                <w:rFonts w:ascii="仿宋_GB2312" w:eastAsia="仿宋_GB2312" w:hAnsi="仿宋_GB2312" w:cs="仿宋_GB2312" w:hint="eastAsia"/>
                <w:color w:val="000000"/>
                <w:sz w:val="24"/>
                <w:szCs w:val="24"/>
              </w:rPr>
              <w:t>0.05</w:t>
            </w:r>
            <w:r>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m</w:t>
            </w:r>
            <w:r>
              <w:rPr>
                <w:rFonts w:ascii="仿宋_GB2312" w:eastAsia="仿宋_GB2312" w:hAnsi="仿宋_GB2312" w:cs="仿宋_GB2312" w:hint="eastAsia"/>
                <w:color w:val="000000"/>
                <w:sz w:val="24"/>
                <w:szCs w:val="24"/>
                <w:vertAlign w:val="superscript"/>
              </w:rPr>
              <w:t>3</w:t>
            </w:r>
            <w:r>
              <w:rPr>
                <w:rFonts w:ascii="仿宋_GB2312" w:eastAsia="仿宋_GB2312" w:hAnsi="仿宋_GB2312" w:cs="仿宋_GB2312" w:hint="eastAsia"/>
                <w:color w:val="000000"/>
                <w:sz w:val="24"/>
                <w:szCs w:val="24"/>
              </w:rPr>
              <w:t>，厂区绿化</w:t>
            </w:r>
            <w:r>
              <w:rPr>
                <w:rFonts w:ascii="仿宋_GB2312" w:eastAsia="仿宋_GB2312" w:hAnsi="仿宋_GB2312" w:cs="仿宋_GB2312" w:hint="eastAsia"/>
                <w:color w:val="000000"/>
                <w:sz w:val="24"/>
                <w:szCs w:val="24"/>
              </w:rPr>
              <w:t>1200m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，临时编织袋装土挡护</w:t>
            </w:r>
            <w:r>
              <w:rPr>
                <w:rFonts w:ascii="仿宋_GB2312" w:eastAsia="仿宋_GB2312" w:hAnsi="仿宋_GB2312" w:cs="仿宋_GB2312" w:hint="eastAsia"/>
                <w:color w:val="000000"/>
                <w:sz w:val="24"/>
                <w:szCs w:val="24"/>
              </w:rPr>
              <w:t>300m</w:t>
            </w:r>
            <w:r>
              <w:rPr>
                <w:rFonts w:ascii="仿宋_GB2312" w:eastAsia="仿宋_GB2312" w:hAnsi="仿宋_GB2312" w:cs="仿宋_GB2312" w:hint="eastAsia"/>
                <w:color w:val="000000"/>
                <w:sz w:val="24"/>
                <w:szCs w:val="24"/>
              </w:rPr>
              <w:t>，彩条布覆盖</w:t>
            </w:r>
            <w:r>
              <w:rPr>
                <w:rFonts w:ascii="仿宋_GB2312" w:eastAsia="仿宋_GB2312" w:hAnsi="仿宋_GB2312" w:cs="仿宋_GB2312" w:hint="eastAsia"/>
                <w:color w:val="000000"/>
                <w:sz w:val="24"/>
                <w:szCs w:val="24"/>
              </w:rPr>
              <w:t>500m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；污水管道区：场地平整</w:t>
            </w:r>
            <w:r>
              <w:rPr>
                <w:rFonts w:ascii="仿宋_GB2312" w:eastAsia="仿宋_GB2312" w:hAnsi="仿宋_GB2312" w:cs="仿宋_GB2312" w:hint="eastAsia"/>
                <w:color w:val="000000"/>
                <w:sz w:val="24"/>
                <w:szCs w:val="24"/>
              </w:rPr>
              <w:t>9.90hm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，覆土</w:t>
            </w:r>
            <w:r>
              <w:rPr>
                <w:rFonts w:ascii="仿宋_GB2312" w:eastAsia="仿宋_GB2312" w:hAnsi="仿宋_GB2312" w:cs="仿宋_GB2312" w:hint="eastAsia"/>
                <w:color w:val="000000"/>
                <w:sz w:val="24"/>
                <w:szCs w:val="24"/>
              </w:rPr>
              <w:t>1.90</w:t>
            </w:r>
            <w:r>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m</w:t>
            </w:r>
            <w:r>
              <w:rPr>
                <w:rFonts w:ascii="仿宋_GB2312" w:eastAsia="仿宋_GB2312" w:hAnsi="仿宋_GB2312" w:cs="仿宋_GB2312" w:hint="eastAsia"/>
                <w:color w:val="000000"/>
                <w:sz w:val="24"/>
                <w:szCs w:val="24"/>
                <w:vertAlign w:val="superscript"/>
              </w:rPr>
              <w:t>3</w:t>
            </w:r>
            <w:r>
              <w:rPr>
                <w:rFonts w:ascii="仿宋_GB2312" w:eastAsia="仿宋_GB2312" w:hAnsi="仿宋_GB2312" w:cs="仿宋_GB2312" w:hint="eastAsia"/>
                <w:color w:val="000000"/>
                <w:sz w:val="24"/>
                <w:szCs w:val="24"/>
              </w:rPr>
              <w:t>，表土剥离</w:t>
            </w:r>
            <w:r>
              <w:rPr>
                <w:rFonts w:ascii="仿宋_GB2312" w:eastAsia="仿宋_GB2312" w:hAnsi="仿宋_GB2312" w:cs="仿宋_GB2312" w:hint="eastAsia"/>
                <w:color w:val="000000"/>
                <w:sz w:val="24"/>
                <w:szCs w:val="24"/>
              </w:rPr>
              <w:t>1.95</w:t>
            </w:r>
            <w:r>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m</w:t>
            </w:r>
            <w:r>
              <w:rPr>
                <w:rFonts w:ascii="仿宋_GB2312" w:eastAsia="仿宋_GB2312" w:hAnsi="仿宋_GB2312" w:cs="仿宋_GB2312" w:hint="eastAsia"/>
                <w:color w:val="000000"/>
                <w:sz w:val="24"/>
                <w:szCs w:val="24"/>
                <w:vertAlign w:val="superscript"/>
              </w:rPr>
              <w:t>3</w:t>
            </w:r>
            <w:r>
              <w:rPr>
                <w:rFonts w:ascii="仿宋_GB2312" w:eastAsia="仿宋_GB2312" w:hAnsi="仿宋_GB2312" w:cs="仿宋_GB2312" w:hint="eastAsia"/>
                <w:color w:val="000000"/>
                <w:sz w:val="24"/>
                <w:szCs w:val="24"/>
              </w:rPr>
              <w:t>，场地清理</w:t>
            </w:r>
            <w:r>
              <w:rPr>
                <w:rFonts w:ascii="仿宋_GB2312" w:eastAsia="仿宋_GB2312" w:hAnsi="仿宋_GB2312" w:cs="仿宋_GB2312" w:hint="eastAsia"/>
                <w:color w:val="000000"/>
                <w:sz w:val="24"/>
                <w:szCs w:val="24"/>
              </w:rPr>
              <w:t>1.09hm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，恢复田坎</w:t>
            </w:r>
            <w:r>
              <w:rPr>
                <w:rFonts w:ascii="仿宋_GB2312" w:eastAsia="仿宋_GB2312" w:hAnsi="仿宋_GB2312" w:cs="仿宋_GB2312" w:hint="eastAsia"/>
                <w:color w:val="000000"/>
                <w:sz w:val="24"/>
                <w:szCs w:val="24"/>
              </w:rPr>
              <w:t>613m</w:t>
            </w:r>
            <w:r>
              <w:rPr>
                <w:rFonts w:ascii="仿宋_GB2312" w:eastAsia="仿宋_GB2312" w:hAnsi="仿宋_GB2312" w:cs="仿宋_GB2312" w:hint="eastAsia"/>
                <w:color w:val="000000"/>
                <w:sz w:val="24"/>
                <w:szCs w:val="24"/>
              </w:rPr>
              <w:t>，顺坡挡护</w:t>
            </w:r>
            <w:r>
              <w:rPr>
                <w:rFonts w:ascii="仿宋_GB2312" w:eastAsia="仿宋_GB2312" w:hAnsi="仿宋_GB2312" w:cs="仿宋_GB2312" w:hint="eastAsia"/>
                <w:color w:val="000000"/>
                <w:sz w:val="24"/>
                <w:szCs w:val="24"/>
              </w:rPr>
              <w:t>692m</w:t>
            </w:r>
            <w:r>
              <w:rPr>
                <w:rFonts w:ascii="仿宋_GB2312" w:eastAsia="仿宋_GB2312" w:hAnsi="仿宋_GB2312" w:cs="仿宋_GB2312" w:hint="eastAsia"/>
                <w:color w:val="000000"/>
                <w:sz w:val="24"/>
                <w:szCs w:val="24"/>
              </w:rPr>
              <w:t>，播撒草籽</w:t>
            </w:r>
            <w:r>
              <w:rPr>
                <w:rFonts w:ascii="仿宋_GB2312" w:eastAsia="仿宋_GB2312" w:hAnsi="仿宋_GB2312" w:cs="仿宋_GB2312" w:hint="eastAsia"/>
                <w:color w:val="000000"/>
                <w:sz w:val="24"/>
                <w:szCs w:val="24"/>
              </w:rPr>
              <w:t>6.69hm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，临时编织袋装土挡护</w:t>
            </w:r>
            <w:r>
              <w:rPr>
                <w:rFonts w:ascii="仿宋_GB2312" w:eastAsia="仿宋_GB2312" w:hAnsi="仿宋_GB2312" w:cs="仿宋_GB2312" w:hint="eastAsia"/>
                <w:color w:val="000000"/>
                <w:sz w:val="24"/>
                <w:szCs w:val="24"/>
              </w:rPr>
              <w:t>5480m</w:t>
            </w:r>
            <w:r>
              <w:rPr>
                <w:rFonts w:ascii="仿宋_GB2312" w:eastAsia="仿宋_GB2312" w:hAnsi="仿宋_GB2312" w:cs="仿宋_GB2312" w:hint="eastAsia"/>
                <w:color w:val="000000"/>
                <w:sz w:val="24"/>
                <w:szCs w:val="24"/>
              </w:rPr>
              <w:t>，彩条布覆盖</w:t>
            </w:r>
            <w:r>
              <w:rPr>
                <w:rFonts w:ascii="仿宋_GB2312" w:eastAsia="仿宋_GB2312" w:hAnsi="仿宋_GB2312" w:cs="仿宋_GB2312" w:hint="eastAsia"/>
                <w:color w:val="000000"/>
                <w:sz w:val="24"/>
                <w:szCs w:val="24"/>
              </w:rPr>
              <w:t>8200m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，彩钢板</w:t>
            </w:r>
            <w:r>
              <w:rPr>
                <w:rFonts w:ascii="仿宋_GB2312" w:eastAsia="仿宋_GB2312" w:hAnsi="仿宋_GB2312" w:cs="仿宋_GB2312" w:hint="eastAsia"/>
                <w:color w:val="000000"/>
                <w:sz w:val="24"/>
                <w:szCs w:val="24"/>
              </w:rPr>
              <w:t>896m</w:t>
            </w:r>
            <w:r>
              <w:rPr>
                <w:rFonts w:ascii="仿宋_GB2312" w:eastAsia="仿宋_GB2312" w:hAnsi="仿宋_GB2312" w:cs="仿宋_GB2312" w:hint="eastAsia"/>
                <w:color w:val="000000"/>
                <w:sz w:val="24"/>
                <w:szCs w:val="24"/>
              </w:rPr>
              <w:t>；临时堆管区场地平整</w:t>
            </w:r>
            <w:r>
              <w:rPr>
                <w:rFonts w:ascii="仿宋_GB2312" w:eastAsia="仿宋_GB2312" w:hAnsi="仿宋_GB2312" w:cs="仿宋_GB2312" w:hint="eastAsia"/>
                <w:color w:val="000000"/>
                <w:sz w:val="24"/>
                <w:szCs w:val="24"/>
              </w:rPr>
              <w:t>0.32hm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，临时排水沟</w:t>
            </w:r>
            <w:r>
              <w:rPr>
                <w:rFonts w:ascii="仿宋_GB2312" w:eastAsia="仿宋_GB2312" w:hAnsi="仿宋_GB2312" w:cs="仿宋_GB2312" w:hint="eastAsia"/>
                <w:color w:val="000000"/>
                <w:sz w:val="24"/>
                <w:szCs w:val="24"/>
              </w:rPr>
              <w:t>488m</w:t>
            </w:r>
            <w:r>
              <w:rPr>
                <w:rFonts w:ascii="仿宋_GB2312" w:eastAsia="仿宋_GB2312" w:hAnsi="仿宋_GB2312" w:cs="仿宋_GB2312" w:hint="eastAsia"/>
                <w:color w:val="000000"/>
                <w:sz w:val="24"/>
                <w:szCs w:val="24"/>
              </w:rPr>
              <w:t>，沉砂池</w:t>
            </w: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sz w:val="24"/>
                <w:szCs w:val="24"/>
              </w:rPr>
              <w:t>口，临时铺垫</w:t>
            </w:r>
            <w:r>
              <w:rPr>
                <w:rFonts w:ascii="仿宋_GB2312" w:eastAsia="仿宋_GB2312" w:hAnsi="仿宋_GB2312" w:cs="仿宋_GB2312" w:hint="eastAsia"/>
                <w:color w:val="000000"/>
                <w:sz w:val="24"/>
                <w:szCs w:val="24"/>
              </w:rPr>
              <w:t>3800m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sz w:val="24"/>
              </w:rPr>
              <w:t>。</w:t>
            </w:r>
          </w:p>
          <w:p w:rsidR="00D56A0B" w:rsidRDefault="000C4BA2">
            <w:pPr>
              <w:spacing w:line="5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、本项目实际完成水土保持总投资</w:t>
            </w:r>
            <w:r>
              <w:rPr>
                <w:rFonts w:ascii="仿宋_GB2312" w:eastAsia="仿宋_GB2312" w:hAnsi="仿宋_GB2312" w:cs="仿宋_GB2312" w:hint="eastAsia"/>
                <w:sz w:val="24"/>
                <w:szCs w:val="24"/>
              </w:rPr>
              <w:t>182.17</w:t>
            </w:r>
            <w:r>
              <w:rPr>
                <w:rFonts w:ascii="仿宋_GB2312" w:eastAsia="仿宋_GB2312" w:hAnsi="仿宋_GB2312" w:cs="仿宋_GB2312" w:hint="eastAsia"/>
                <w:sz w:val="24"/>
                <w:szCs w:val="24"/>
              </w:rPr>
              <w:t>万元，</w:t>
            </w:r>
            <w:r>
              <w:rPr>
                <w:rFonts w:ascii="仿宋_GB2312" w:eastAsia="仿宋_GB2312" w:hint="eastAsia"/>
                <w:sz w:val="24"/>
                <w:szCs w:val="24"/>
              </w:rPr>
              <w:t>较水保方案</w:t>
            </w:r>
            <w:r>
              <w:rPr>
                <w:rFonts w:ascii="仿宋_GB2312" w:eastAsia="仿宋_GB2312" w:hint="eastAsia"/>
                <w:sz w:val="24"/>
                <w:szCs w:val="24"/>
              </w:rPr>
              <w:t>242.93</w:t>
            </w:r>
            <w:r>
              <w:rPr>
                <w:rFonts w:ascii="仿宋_GB2312" w:eastAsia="仿宋_GB2312" w:hint="eastAsia"/>
                <w:sz w:val="24"/>
                <w:szCs w:val="24"/>
              </w:rPr>
              <w:t>万元</w:t>
            </w:r>
            <w:r>
              <w:rPr>
                <w:rFonts w:ascii="仿宋_GB2312" w:eastAsia="仿宋_GB2312" w:hint="eastAsia"/>
                <w:sz w:val="24"/>
                <w:szCs w:val="24"/>
              </w:rPr>
              <w:t>减少</w:t>
            </w:r>
            <w:r>
              <w:rPr>
                <w:rFonts w:ascii="仿宋_GB2312" w:eastAsia="仿宋_GB2312" w:hint="eastAsia"/>
                <w:sz w:val="24"/>
                <w:szCs w:val="24"/>
              </w:rPr>
              <w:t>60.76</w:t>
            </w:r>
            <w:r>
              <w:rPr>
                <w:rFonts w:ascii="仿宋_GB2312" w:eastAsia="仿宋_GB2312" w:hint="eastAsia"/>
                <w:sz w:val="24"/>
                <w:szCs w:val="24"/>
              </w:rPr>
              <w:t>万元。</w:t>
            </w:r>
            <w:r>
              <w:rPr>
                <w:rFonts w:ascii="仿宋_GB2312" w:eastAsia="仿宋_GB2312" w:hint="eastAsia"/>
                <w:sz w:val="24"/>
                <w:szCs w:val="24"/>
              </w:rPr>
              <w:t>实际完成</w:t>
            </w:r>
            <w:r>
              <w:rPr>
                <w:rFonts w:ascii="仿宋_GB2312" w:eastAsia="仿宋_GB2312" w:hAnsi="仿宋_GB2312" w:cs="仿宋_GB2312" w:hint="eastAsia"/>
                <w:sz w:val="24"/>
                <w:szCs w:val="24"/>
              </w:rPr>
              <w:t>工程措施</w:t>
            </w:r>
            <w:r>
              <w:rPr>
                <w:rFonts w:ascii="仿宋_GB2312" w:eastAsia="仿宋_GB2312" w:hAnsi="仿宋_GB2312" w:cs="仿宋_GB2312" w:hint="eastAsia"/>
                <w:sz w:val="24"/>
                <w:szCs w:val="24"/>
              </w:rPr>
              <w:t>48.36</w:t>
            </w:r>
            <w:r>
              <w:rPr>
                <w:rFonts w:ascii="仿宋_GB2312" w:eastAsia="仿宋_GB2312" w:hAnsi="仿宋_GB2312" w:cs="仿宋_GB2312" w:hint="eastAsia"/>
                <w:sz w:val="24"/>
                <w:szCs w:val="24"/>
              </w:rPr>
              <w:t>万元，植物措施费</w:t>
            </w:r>
            <w:r>
              <w:rPr>
                <w:rFonts w:ascii="仿宋_GB2312" w:eastAsia="仿宋_GB2312" w:hAnsi="仿宋_GB2312" w:cs="仿宋_GB2312" w:hint="eastAsia"/>
                <w:sz w:val="24"/>
                <w:szCs w:val="24"/>
              </w:rPr>
              <w:t>14.88</w:t>
            </w:r>
            <w:r>
              <w:rPr>
                <w:rFonts w:ascii="仿宋_GB2312" w:eastAsia="仿宋_GB2312" w:hAnsi="仿宋_GB2312" w:cs="仿宋_GB2312" w:hint="eastAsia"/>
                <w:sz w:val="24"/>
                <w:szCs w:val="24"/>
              </w:rPr>
              <w:t>万元，监测设施费</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万元，临时措施费</w:t>
            </w:r>
            <w:r>
              <w:rPr>
                <w:rFonts w:ascii="仿宋_GB2312" w:eastAsia="仿宋_GB2312" w:hAnsi="仿宋_GB2312" w:cs="仿宋_GB2312" w:hint="eastAsia"/>
                <w:sz w:val="24"/>
                <w:szCs w:val="24"/>
              </w:rPr>
              <w:t>95.93</w:t>
            </w:r>
            <w:r>
              <w:rPr>
                <w:rFonts w:ascii="仿宋_GB2312" w:eastAsia="仿宋_GB2312" w:hAnsi="仿宋_GB2312" w:cs="仿宋_GB2312" w:hint="eastAsia"/>
                <w:sz w:val="24"/>
                <w:szCs w:val="24"/>
              </w:rPr>
              <w:t>万元，独立费用</w:t>
            </w:r>
            <w:r>
              <w:rPr>
                <w:rFonts w:ascii="仿宋_GB2312" w:eastAsia="仿宋_GB2312" w:hAnsi="仿宋_GB2312" w:cs="仿宋_GB2312" w:hint="eastAsia"/>
                <w:sz w:val="24"/>
                <w:szCs w:val="24"/>
              </w:rPr>
              <w:t>23.</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万元，基本预备费</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万元，水土保持补偿费</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万元。</w:t>
            </w:r>
          </w:p>
          <w:p w:rsidR="00D56A0B" w:rsidRDefault="000C4BA2">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本项目实际水土保持投资最终以审计部门审计结果为准。</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（六）验收结论</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综上所述，验收组认为：</w:t>
            </w:r>
            <w:r>
              <w:rPr>
                <w:rFonts w:ascii="仿宋_GB2312" w:eastAsia="仿宋_GB2312" w:hAnsi="仿宋_GB2312" w:cs="仿宋_GB2312" w:hint="eastAsia"/>
                <w:sz w:val="24"/>
                <w:szCs w:val="24"/>
              </w:rPr>
              <w:t>武隆污水处理厂二期扩建工程</w:t>
            </w:r>
            <w:r>
              <w:rPr>
                <w:rFonts w:ascii="仿宋_GB2312" w:eastAsia="仿宋_GB2312" w:hAnsi="仿宋_GB2312" w:cs="仿宋_GB2312" w:hint="eastAsia"/>
                <w:color w:val="000000"/>
                <w:sz w:val="24"/>
                <w:szCs w:val="24"/>
              </w:rPr>
              <w:t>在建设期间，落实了水土保持方案及批复文件要求的各项水土保持措施，完成了水土流失预防和治理任务，水土流失防治指标达到水土保持方案确定的目标值，符合水土保持设施验收的条件，同意该项目水土保持设施通过验收。</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（七）后续管护要求</w:t>
            </w:r>
          </w:p>
          <w:p w:rsidR="00D56A0B" w:rsidRDefault="000C4BA2">
            <w:pPr>
              <w:adjustRightInd w:val="0"/>
              <w:snapToGrid w:val="0"/>
              <w:spacing w:line="500" w:lineRule="exact"/>
              <w:ind w:firstLineChars="200" w:firstLine="4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4"/>
                <w:szCs w:val="24"/>
              </w:rPr>
              <w:t>该项目水土保持设施专项验收通过后，建设单位要进一步加强水土保持设施管护，确保其正常运行和发挥效益。</w:t>
            </w:r>
          </w:p>
        </w:tc>
      </w:tr>
    </w:tbl>
    <w:p w:rsidR="00D56A0B" w:rsidRDefault="00D56A0B">
      <w:pPr>
        <w:rPr>
          <w:rFonts w:ascii="Times New Roman" w:eastAsia="宋体" w:hAnsi="Times New Roman" w:cs="Times New Roman"/>
          <w:color w:val="000000" w:themeColor="text1"/>
          <w:sz w:val="30"/>
          <w:szCs w:val="30"/>
        </w:rPr>
      </w:pPr>
    </w:p>
    <w:p w:rsidR="00D56A0B" w:rsidRDefault="00D56A0B">
      <w:pPr>
        <w:rPr>
          <w:rFonts w:ascii="Times New Roman" w:eastAsia="宋体" w:hAnsi="Times New Roman" w:cs="Times New Roman"/>
          <w:color w:val="000000" w:themeColor="text1"/>
          <w:sz w:val="30"/>
          <w:szCs w:val="30"/>
        </w:rPr>
      </w:pPr>
    </w:p>
    <w:p w:rsidR="00D56A0B" w:rsidRDefault="00D56A0B">
      <w:pPr>
        <w:jc w:val="left"/>
        <w:outlineLvl w:val="0"/>
        <w:rPr>
          <w:rFonts w:ascii="Times New Roman" w:eastAsia="宋体" w:hAnsi="Times New Roman" w:cs="Times New Roman"/>
          <w:color w:val="000000" w:themeColor="text1"/>
          <w:sz w:val="30"/>
          <w:szCs w:val="30"/>
        </w:rPr>
        <w:sectPr w:rsidR="00D56A0B">
          <w:footerReference w:type="default" r:id="rId10"/>
          <w:pgSz w:w="11906" w:h="16838"/>
          <w:pgMar w:top="1440" w:right="1800" w:bottom="1440" w:left="1800" w:header="851" w:footer="992" w:gutter="0"/>
          <w:pgNumType w:start="2"/>
          <w:cols w:space="425"/>
          <w:docGrid w:type="lines" w:linePitch="312"/>
        </w:sectPr>
      </w:pPr>
    </w:p>
    <w:p w:rsidR="00D56A0B" w:rsidRDefault="000C4BA2">
      <w:pPr>
        <w:jc w:val="left"/>
        <w:outlineLvl w:val="0"/>
        <w:rPr>
          <w:rFonts w:ascii="Times New Roman" w:eastAsia="宋体" w:hAnsi="Times New Roman" w:cs="Times New Roman"/>
          <w:color w:val="000000" w:themeColor="text1"/>
          <w:sz w:val="30"/>
          <w:szCs w:val="30"/>
        </w:rPr>
      </w:pPr>
      <w:r>
        <w:rPr>
          <w:rFonts w:ascii="Times New Roman" w:eastAsia="宋体" w:hAnsi="Times New Roman" w:cs="Times New Roman" w:hint="eastAsia"/>
          <w:noProof/>
          <w:color w:val="000000" w:themeColor="text1"/>
          <w:sz w:val="30"/>
          <w:szCs w:val="30"/>
        </w:rPr>
        <w:drawing>
          <wp:inline distT="0" distB="0" distL="114300" distR="114300">
            <wp:extent cx="5671820" cy="8021320"/>
            <wp:effectExtent l="0" t="0" r="5080" b="17780"/>
            <wp:docPr id="2" name="图片 2" descr="2021033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331-00056"/>
                    <pic:cNvPicPr>
                      <a:picLocks noChangeAspect="1"/>
                    </pic:cNvPicPr>
                  </pic:nvPicPr>
                  <pic:blipFill>
                    <a:blip r:embed="rId11"/>
                    <a:stretch>
                      <a:fillRect/>
                    </a:stretch>
                  </pic:blipFill>
                  <pic:spPr>
                    <a:xfrm>
                      <a:off x="0" y="0"/>
                      <a:ext cx="5671820" cy="8021320"/>
                    </a:xfrm>
                    <a:prstGeom prst="rect">
                      <a:avLst/>
                    </a:prstGeom>
                  </pic:spPr>
                </pic:pic>
              </a:graphicData>
            </a:graphic>
          </wp:inline>
        </w:drawing>
      </w:r>
    </w:p>
    <w:sectPr w:rsidR="00D56A0B">
      <w:footerReference w:type="default" r:id="rId12"/>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4BA2">
      <w:r>
        <w:separator/>
      </w:r>
    </w:p>
  </w:endnote>
  <w:endnote w:type="continuationSeparator" w:id="0">
    <w:p w:rsidR="00000000" w:rsidRDefault="000C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0B" w:rsidRDefault="000C4BA2">
    <w:pPr>
      <w:pStyle w:val="a9"/>
      <w:jc w:val="center"/>
      <w:rPr>
        <w:color w:val="5B9BD5" w:themeColor="accent1"/>
      </w:rPr>
    </w:pPr>
    <w:r>
      <w:rPr>
        <w:color w:val="5B9BD5" w:themeColor="accent1"/>
        <w:lang w:val="zh-CN"/>
      </w:rPr>
      <w:t xml:space="preserve"> </w:t>
    </w:r>
    <w:r>
      <w:fldChar w:fldCharType="begin"/>
    </w:r>
    <w:r>
      <w:instrText>PAGE  \* Arabic  \* MERGEFORMAT</w:instrText>
    </w:r>
    <w:r>
      <w:fldChar w:fldCharType="separate"/>
    </w:r>
    <w:r w:rsidRPr="000C4BA2">
      <w:rPr>
        <w:noProof/>
        <w:lang w:val="zh-CN"/>
      </w:rPr>
      <w:t>5</w:t>
    </w:r>
    <w:r>
      <w:fldChar w:fldCharType="end"/>
    </w:r>
    <w:r>
      <w:rPr>
        <w:lang w:val="zh-CN"/>
      </w:rPr>
      <w:t xml:space="preserve"> </w:t>
    </w:r>
    <w:r>
      <w:rPr>
        <w:lang w:val="zh-CN"/>
      </w:rPr>
      <w:t xml:space="preserve">/ </w:t>
    </w:r>
    <w:r>
      <w:fldChar w:fldCharType="begin"/>
    </w:r>
    <w:r>
      <w:instrText>NUMPAGES  \* Arabic  \* MERGEFORMAT</w:instrText>
    </w:r>
    <w:r>
      <w:fldChar w:fldCharType="separate"/>
    </w:r>
    <w:r w:rsidRPr="000C4BA2">
      <w:rPr>
        <w:noProof/>
        <w:lang w:val="zh-CN"/>
      </w:rPr>
      <w:t>6</w:t>
    </w:r>
    <w:r>
      <w:rPr>
        <w:lang w:val="zh-CN"/>
      </w:rPr>
      <w:fldChar w:fldCharType="end"/>
    </w:r>
  </w:p>
  <w:p w:rsidR="00D56A0B" w:rsidRDefault="00D56A0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0B" w:rsidRDefault="00D56A0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4BA2">
      <w:r>
        <w:separator/>
      </w:r>
    </w:p>
  </w:footnote>
  <w:footnote w:type="continuationSeparator" w:id="0">
    <w:p w:rsidR="00000000" w:rsidRDefault="000C4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71B4"/>
    <w:multiLevelType w:val="singleLevel"/>
    <w:tmpl w:val="5A2E71B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17855"/>
    <w:rsid w:val="000411D8"/>
    <w:rsid w:val="000422F4"/>
    <w:rsid w:val="00082658"/>
    <w:rsid w:val="000B7CAD"/>
    <w:rsid w:val="000C0EF2"/>
    <w:rsid w:val="000C4BA2"/>
    <w:rsid w:val="000D5333"/>
    <w:rsid w:val="000F59BE"/>
    <w:rsid w:val="00106813"/>
    <w:rsid w:val="001227C9"/>
    <w:rsid w:val="00123B43"/>
    <w:rsid w:val="00125F97"/>
    <w:rsid w:val="00126656"/>
    <w:rsid w:val="00134F3E"/>
    <w:rsid w:val="0014388A"/>
    <w:rsid w:val="0014450C"/>
    <w:rsid w:val="00147D1F"/>
    <w:rsid w:val="0015092B"/>
    <w:rsid w:val="001539D7"/>
    <w:rsid w:val="00156391"/>
    <w:rsid w:val="00163519"/>
    <w:rsid w:val="00186F8D"/>
    <w:rsid w:val="001A17F8"/>
    <w:rsid w:val="001A2D66"/>
    <w:rsid w:val="001B305F"/>
    <w:rsid w:val="001B52B1"/>
    <w:rsid w:val="001C4863"/>
    <w:rsid w:val="001E357B"/>
    <w:rsid w:val="001F374B"/>
    <w:rsid w:val="001F5A89"/>
    <w:rsid w:val="00201313"/>
    <w:rsid w:val="00206BD3"/>
    <w:rsid w:val="00207DDD"/>
    <w:rsid w:val="00214665"/>
    <w:rsid w:val="00217545"/>
    <w:rsid w:val="00220CC0"/>
    <w:rsid w:val="0027554C"/>
    <w:rsid w:val="002904B6"/>
    <w:rsid w:val="002D638B"/>
    <w:rsid w:val="002F4E04"/>
    <w:rsid w:val="003062B4"/>
    <w:rsid w:val="003200B3"/>
    <w:rsid w:val="003269C3"/>
    <w:rsid w:val="003316B4"/>
    <w:rsid w:val="00337250"/>
    <w:rsid w:val="00366E67"/>
    <w:rsid w:val="003962E0"/>
    <w:rsid w:val="003C4748"/>
    <w:rsid w:val="003E59B1"/>
    <w:rsid w:val="003F480D"/>
    <w:rsid w:val="00422BEB"/>
    <w:rsid w:val="004503A8"/>
    <w:rsid w:val="00456728"/>
    <w:rsid w:val="004B33EF"/>
    <w:rsid w:val="004C3D6D"/>
    <w:rsid w:val="004E6602"/>
    <w:rsid w:val="004F6A84"/>
    <w:rsid w:val="00526350"/>
    <w:rsid w:val="00556361"/>
    <w:rsid w:val="00581D16"/>
    <w:rsid w:val="00590CF7"/>
    <w:rsid w:val="005B0B01"/>
    <w:rsid w:val="005B1FE3"/>
    <w:rsid w:val="0060686A"/>
    <w:rsid w:val="00611F65"/>
    <w:rsid w:val="006136AF"/>
    <w:rsid w:val="006141A1"/>
    <w:rsid w:val="00640D60"/>
    <w:rsid w:val="00645348"/>
    <w:rsid w:val="00680741"/>
    <w:rsid w:val="0068095B"/>
    <w:rsid w:val="00687B32"/>
    <w:rsid w:val="006A1541"/>
    <w:rsid w:val="006B5D14"/>
    <w:rsid w:val="006B60C4"/>
    <w:rsid w:val="006F3CBE"/>
    <w:rsid w:val="006F63D4"/>
    <w:rsid w:val="006F78CB"/>
    <w:rsid w:val="00712BD3"/>
    <w:rsid w:val="00721B32"/>
    <w:rsid w:val="007236D3"/>
    <w:rsid w:val="0076543E"/>
    <w:rsid w:val="00784C91"/>
    <w:rsid w:val="007854A0"/>
    <w:rsid w:val="007867BF"/>
    <w:rsid w:val="007A54C1"/>
    <w:rsid w:val="007E2B1F"/>
    <w:rsid w:val="0080306D"/>
    <w:rsid w:val="00846066"/>
    <w:rsid w:val="00852F2A"/>
    <w:rsid w:val="00856683"/>
    <w:rsid w:val="00867964"/>
    <w:rsid w:val="00881FF4"/>
    <w:rsid w:val="00882EF7"/>
    <w:rsid w:val="008904A3"/>
    <w:rsid w:val="008B5B80"/>
    <w:rsid w:val="008D5742"/>
    <w:rsid w:val="008E1DC6"/>
    <w:rsid w:val="009126E5"/>
    <w:rsid w:val="0093058E"/>
    <w:rsid w:val="00942D44"/>
    <w:rsid w:val="0095264A"/>
    <w:rsid w:val="00960422"/>
    <w:rsid w:val="00977DA1"/>
    <w:rsid w:val="009800D9"/>
    <w:rsid w:val="00986992"/>
    <w:rsid w:val="00990F15"/>
    <w:rsid w:val="0099337D"/>
    <w:rsid w:val="009C10A2"/>
    <w:rsid w:val="009D036D"/>
    <w:rsid w:val="009D124B"/>
    <w:rsid w:val="009D1B5D"/>
    <w:rsid w:val="009E74F6"/>
    <w:rsid w:val="00A01381"/>
    <w:rsid w:val="00A31289"/>
    <w:rsid w:val="00A70EFC"/>
    <w:rsid w:val="00A80B37"/>
    <w:rsid w:val="00AA11A1"/>
    <w:rsid w:val="00AA63C5"/>
    <w:rsid w:val="00AB36AE"/>
    <w:rsid w:val="00AD6FED"/>
    <w:rsid w:val="00AF1409"/>
    <w:rsid w:val="00AF60DF"/>
    <w:rsid w:val="00B05A8C"/>
    <w:rsid w:val="00B07F3D"/>
    <w:rsid w:val="00B606FF"/>
    <w:rsid w:val="00B731B2"/>
    <w:rsid w:val="00BD5FEB"/>
    <w:rsid w:val="00BE195B"/>
    <w:rsid w:val="00BE610F"/>
    <w:rsid w:val="00BF09F1"/>
    <w:rsid w:val="00BF6E1D"/>
    <w:rsid w:val="00BF78D5"/>
    <w:rsid w:val="00C15156"/>
    <w:rsid w:val="00C25CE4"/>
    <w:rsid w:val="00C858BC"/>
    <w:rsid w:val="00CA3718"/>
    <w:rsid w:val="00CA5A54"/>
    <w:rsid w:val="00CC0B5E"/>
    <w:rsid w:val="00CD3DEE"/>
    <w:rsid w:val="00CE3205"/>
    <w:rsid w:val="00CF1C8B"/>
    <w:rsid w:val="00D21AC2"/>
    <w:rsid w:val="00D4544E"/>
    <w:rsid w:val="00D56A0B"/>
    <w:rsid w:val="00D76AC6"/>
    <w:rsid w:val="00D83F20"/>
    <w:rsid w:val="00DB5B10"/>
    <w:rsid w:val="00DC34FB"/>
    <w:rsid w:val="00DD5EF8"/>
    <w:rsid w:val="00DD7A57"/>
    <w:rsid w:val="00DE7761"/>
    <w:rsid w:val="00E65AB8"/>
    <w:rsid w:val="00EA46E2"/>
    <w:rsid w:val="00EC53CD"/>
    <w:rsid w:val="00ED20EE"/>
    <w:rsid w:val="00EE3078"/>
    <w:rsid w:val="00F1442C"/>
    <w:rsid w:val="00F25CEB"/>
    <w:rsid w:val="00F46EFB"/>
    <w:rsid w:val="00F702B8"/>
    <w:rsid w:val="00F845EC"/>
    <w:rsid w:val="00F961BE"/>
    <w:rsid w:val="00FC47EB"/>
    <w:rsid w:val="00FC5A87"/>
    <w:rsid w:val="00FC6ACB"/>
    <w:rsid w:val="00FD30B7"/>
    <w:rsid w:val="00FD5BCB"/>
    <w:rsid w:val="07337F67"/>
    <w:rsid w:val="085F5FA2"/>
    <w:rsid w:val="09FE0C38"/>
    <w:rsid w:val="10143155"/>
    <w:rsid w:val="116114EB"/>
    <w:rsid w:val="129D7D8F"/>
    <w:rsid w:val="177F3E24"/>
    <w:rsid w:val="1E1760D7"/>
    <w:rsid w:val="20461DAA"/>
    <w:rsid w:val="219F60D4"/>
    <w:rsid w:val="22B704DC"/>
    <w:rsid w:val="238D1B31"/>
    <w:rsid w:val="24B520CD"/>
    <w:rsid w:val="26E043FF"/>
    <w:rsid w:val="26F10A4B"/>
    <w:rsid w:val="28281905"/>
    <w:rsid w:val="28687287"/>
    <w:rsid w:val="28AC73E6"/>
    <w:rsid w:val="2D117B1B"/>
    <w:rsid w:val="33576819"/>
    <w:rsid w:val="362D3276"/>
    <w:rsid w:val="3657017E"/>
    <w:rsid w:val="38E63518"/>
    <w:rsid w:val="39FE69FC"/>
    <w:rsid w:val="3A723F2B"/>
    <w:rsid w:val="3ABB5ACB"/>
    <w:rsid w:val="3AE80A01"/>
    <w:rsid w:val="3EF217BC"/>
    <w:rsid w:val="3FC544D7"/>
    <w:rsid w:val="47A268E8"/>
    <w:rsid w:val="48023C30"/>
    <w:rsid w:val="4DC852A2"/>
    <w:rsid w:val="4F2E1BB1"/>
    <w:rsid w:val="4F6269BC"/>
    <w:rsid w:val="5079710F"/>
    <w:rsid w:val="5388436D"/>
    <w:rsid w:val="53AF42EB"/>
    <w:rsid w:val="556A4882"/>
    <w:rsid w:val="55F261F4"/>
    <w:rsid w:val="57AC450F"/>
    <w:rsid w:val="59BD09E8"/>
    <w:rsid w:val="5BE13F3E"/>
    <w:rsid w:val="5F455249"/>
    <w:rsid w:val="5F9915ED"/>
    <w:rsid w:val="62895EAF"/>
    <w:rsid w:val="663D530E"/>
    <w:rsid w:val="678D328E"/>
    <w:rsid w:val="681B3A9D"/>
    <w:rsid w:val="694C0484"/>
    <w:rsid w:val="696334D9"/>
    <w:rsid w:val="6C4B6A21"/>
    <w:rsid w:val="706F4F08"/>
    <w:rsid w:val="72726F02"/>
    <w:rsid w:val="7481619E"/>
    <w:rsid w:val="757B329C"/>
    <w:rsid w:val="7587012F"/>
    <w:rsid w:val="76801B65"/>
    <w:rsid w:val="768236D9"/>
    <w:rsid w:val="7AC63799"/>
    <w:rsid w:val="7B332CD3"/>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AC38D4B-6B0D-4435-9E37-13D4303B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ind w:firstLine="675"/>
    </w:pPr>
    <w:rPr>
      <w:rFonts w:eastAsia="宋体"/>
      <w:sz w:val="28"/>
      <w:szCs w:val="28"/>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4">
    <w:name w:val="正文文本缩进 字符"/>
    <w:basedOn w:val="a0"/>
    <w:link w:val="a3"/>
    <w:qFormat/>
    <w:rPr>
      <w:rFonts w:eastAsia="宋体"/>
      <w:sz w:val="28"/>
      <w:szCs w:val="2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6">
    <w:name w:val="日期 字符"/>
    <w:basedOn w:val="a0"/>
    <w:link w:val="a5"/>
    <w:uiPriority w:val="99"/>
    <w:semiHidden/>
    <w:qFormat/>
    <w:rPr>
      <w:rFonts w:asciiTheme="minorHAnsi" w:eastAsiaTheme="minorEastAsia" w:hAnsiTheme="minorHAnsi" w:cstheme="minorBidi"/>
      <w:kern w:val="2"/>
      <w:sz w:val="21"/>
      <w:szCs w:val="22"/>
    </w:rPr>
  </w:style>
  <w:style w:type="paragraph" w:customStyle="1" w:styleId="Char2CharCharCharCharCharCharCharChar">
    <w:name w:val="Char2 Char Char Char Char Char Char Char Char"/>
    <w:basedOn w:val="a"/>
    <w:qFormat/>
    <w:rPr>
      <w:rFonts w:ascii="Times New Roman" w:eastAsia="宋体" w:hAnsi="Times New Roman" w:cs="Times New Roman"/>
    </w:rPr>
  </w:style>
  <w:style w:type="character" w:customStyle="1" w:styleId="1Char">
    <w:name w:val="正文文本（使用1） Char"/>
    <w:link w:val="11"/>
    <w:qFormat/>
    <w:rPr>
      <w:rFonts w:ascii="宋体"/>
      <w:color w:val="0000FF"/>
      <w:kern w:val="2"/>
      <w:sz w:val="24"/>
    </w:rPr>
  </w:style>
  <w:style w:type="paragraph" w:customStyle="1" w:styleId="11">
    <w:name w:val="正文文本（使用1）"/>
    <w:basedOn w:val="a"/>
    <w:link w:val="1Char"/>
    <w:qFormat/>
    <w:pPr>
      <w:adjustRightInd w:val="0"/>
      <w:snapToGrid w:val="0"/>
      <w:spacing w:line="360" w:lineRule="auto"/>
      <w:ind w:firstLineChars="200" w:firstLine="480"/>
    </w:pPr>
    <w:rPr>
      <w:rFonts w:ascii="宋体" w:eastAsia="宋体" w:hAnsi="Times New Roman" w:cs="Times New Roman"/>
      <w:color w:val="0000FF"/>
      <w:sz w:val="24"/>
      <w:szCs w:val="20"/>
    </w:rPr>
  </w:style>
  <w:style w:type="character" w:customStyle="1" w:styleId="Char">
    <w:name w:val="正文 Char"/>
    <w:link w:val="2"/>
    <w:qFormat/>
    <w:rPr>
      <w:rFonts w:cs="宋体"/>
      <w:kern w:val="2"/>
      <w:sz w:val="24"/>
    </w:rPr>
  </w:style>
  <w:style w:type="paragraph" w:customStyle="1" w:styleId="2">
    <w:name w:val="正文2"/>
    <w:basedOn w:val="a"/>
    <w:link w:val="Char"/>
    <w:qFormat/>
    <w:pPr>
      <w:spacing w:line="360" w:lineRule="auto"/>
      <w:ind w:firstLineChars="200" w:firstLine="480"/>
    </w:pPr>
    <w:rPr>
      <w:rFonts w:ascii="Times New Roman" w:eastAsia="宋体" w:hAnsi="Times New Roman" w:cs="宋体"/>
      <w:sz w:val="24"/>
      <w:szCs w:val="20"/>
    </w:rPr>
  </w:style>
  <w:style w:type="paragraph" w:customStyle="1" w:styleId="787815">
    <w:name w:val="样式 小四 段前: 7.8 磅 段后: 7.8 磅 行距: 1.5 倍行距"/>
    <w:basedOn w:val="a"/>
    <w:qFormat/>
    <w:pPr>
      <w:adjustRightInd w:val="0"/>
      <w:snapToGrid w:val="0"/>
      <w:spacing w:line="360" w:lineRule="auto"/>
      <w:ind w:firstLineChars="200" w:firstLine="480"/>
    </w:pPr>
    <w:rPr>
      <w:rFonts w:ascii="Times New Roman" w:eastAsia="宋体" w:hAnsi="Times New Roman" w:cs="Times New Roman"/>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082A1-ACAE-4A6E-A457-67BBB4DE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2378</Words>
  <Characters>443</Characters>
  <Application>Microsoft Office Word</Application>
  <DocSecurity>0</DocSecurity>
  <Lines>3</Lines>
  <Paragraphs>5</Paragraphs>
  <ScaleCrop>false</ScaleCrop>
  <Company>JDC</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郭宏忠</cp:lastModifiedBy>
  <cp:revision>3</cp:revision>
  <cp:lastPrinted>2019-12-07T08:05:00Z</cp:lastPrinted>
  <dcterms:created xsi:type="dcterms:W3CDTF">2021-04-19T08:37:00Z</dcterms:created>
  <dcterms:modified xsi:type="dcterms:W3CDTF">2021-04-19T08:38:00Z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A86F99A9A0A24F42B8313128947EACEE</vt:lpwstr>
  </property>
</Properties>
</file>