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合川高瓦房220千伏输变电工程</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国网重庆市电力公司合川供电分公司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你司提交的合川高瓦房220千伏输变电工程水土保持方案审批申请（项目代码：</w:t>
      </w:r>
      <w:r>
        <w:rPr>
          <w:rFonts w:hint="eastAsia" w:ascii="Times New Roman" w:hAnsi="Times New Roman" w:eastAsia="方正仿宋_GBK"/>
          <w:sz w:val="32"/>
          <w:szCs w:val="32"/>
          <w:lang w:val="en-US" w:eastAsia="zh-CN"/>
        </w:rPr>
        <w:t>2403-500117-04-01-420504</w:t>
      </w:r>
      <w:r>
        <w:rPr>
          <w:rFonts w:hint="eastAsia" w:ascii="Times New Roman" w:hAnsi="Times New Roman" w:eastAsia="方正仿宋_GBK"/>
          <w:sz w:val="32"/>
          <w:szCs w:val="32"/>
        </w:rPr>
        <w:t>）和《合川高瓦房220千伏输变电工程水土保持方案报告书》收悉。经审查，该申请符合法定条件，根据《中华人民共和国行政许可法》第三十八条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w:t>
      </w:r>
      <w:r>
        <w:rPr>
          <w:rFonts w:hint="eastAsia" w:ascii="Times New Roman" w:hAnsi="Times New Roman" w:eastAsia="方正仿宋_GBK"/>
          <w:sz w:val="32"/>
          <w:szCs w:val="32"/>
          <w:lang w:val="en-US" w:eastAsia="zh-CN"/>
        </w:rPr>
        <w:t>27</w:t>
      </w:r>
      <w:r>
        <w:rPr>
          <w:rFonts w:hint="eastAsia" w:ascii="Times New Roman" w:hAnsi="Times New Roman" w:eastAsia="方正仿宋_GBK"/>
          <w:sz w:val="32"/>
          <w:szCs w:val="32"/>
        </w:rPr>
        <w:t>年。</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w:t>
      </w:r>
      <w:r>
        <w:rPr>
          <w:rFonts w:hint="eastAsia" w:ascii="Times New Roman" w:hAnsi="Times New Roman" w:eastAsia="方正仿宋_GBK" w:cs="Times New Roman"/>
          <w:sz w:val="32"/>
          <w:szCs w:val="32"/>
          <w:lang w:val="en-US" w:eastAsia="zh-CN"/>
        </w:rPr>
        <w:t>13.69hm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，其中：合川区12.75hm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，铜梁区0.94hm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%，表土保护率92%，林草植被恢复率97%，林草覆盖率2</w:t>
      </w:r>
      <w:r>
        <w:rPr>
          <w:rFonts w:hint="default"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582.85万元，其中：主体已列460.56万元，方案新增122.29万元（工程措施2.15万元，植物措施0.36万元，监测措施18.84万元，施工临时措施37.72万元，独立费用38.22万元，基本预备费5.84万元，水土保持补偿费19.161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.合川高瓦房220千伏输变电工程</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default" w:ascii="Times New Roman" w:hAnsi="Times New Roman" w:eastAsia="方正仿宋_GBK" w:cs="Times New Roman"/>
          <w:bCs/>
          <w:sz w:val="32"/>
          <w:szCs w:val="32"/>
        </w:rPr>
        <w:t>合川高瓦房220千伏输变电工程水土保持方案</w:t>
      </w:r>
      <w:r>
        <w:rPr>
          <w:rFonts w:hint="default" w:ascii="Times New Roman" w:hAnsi="Times New Roman" w:eastAsia="方正仿宋_GBK" w:cs="Times New Roman"/>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color w:val="FF0000"/>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24</w:t>
      </w:r>
      <w:bookmarkStart w:id="0" w:name="_GoBack"/>
      <w:bookmarkEnd w:id="0"/>
      <w:r>
        <w:rPr>
          <w:rFonts w:ascii="Times New Roman" w:hAnsi="Times New Roman" w:eastAsia="方正仿宋_GBK"/>
          <w:color w:val="auto"/>
          <w:sz w:val="32"/>
          <w:szCs w:val="32"/>
        </w:rPr>
        <w:t>日</w:t>
      </w:r>
    </w:p>
    <w:p>
      <w:pPr>
        <w:pStyle w:val="2"/>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spacing w:line="594" w:lineRule="exact"/>
        <w:jc w:val="left"/>
        <w:rPr>
          <w:rFonts w:hint="eastAsia" w:ascii="方正黑体_GBK" w:hAnsi="方正黑体_GBK" w:eastAsia="方正黑体_GBK" w:cs="方正黑体_GBK"/>
          <w:sz w:val="32"/>
          <w:szCs w:val="32"/>
        </w:rPr>
      </w:pPr>
    </w:p>
    <w:p>
      <w:pPr>
        <w:spacing w:line="594" w:lineRule="exact"/>
        <w:jc w:val="left"/>
        <w:rPr>
          <w:rFonts w:hint="eastAsia" w:ascii="方正黑体_GBK" w:hAnsi="方正黑体_GBK" w:eastAsia="方正黑体_GBK" w:cs="方正黑体_GBK"/>
          <w:sz w:val="32"/>
          <w:szCs w:val="32"/>
        </w:rPr>
      </w:pPr>
    </w:p>
    <w:p>
      <w:pPr>
        <w:rPr>
          <w:rFonts w:hint="eastAsia"/>
        </w:rPr>
      </w:pPr>
      <w:r>
        <w:rPr>
          <w:rFonts w:hint="eastAsia"/>
        </w:rPr>
        <w:br w:type="page"/>
      </w: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小标宋_GBK" w:cs="Times New Roman"/>
          <w:b w:val="0"/>
          <w:bCs/>
          <w:color w:val="auto"/>
          <w:sz w:val="30"/>
          <w:szCs w:val="30"/>
        </w:rPr>
      </w:pPr>
    </w:p>
    <w:p>
      <w:pPr>
        <w:keepNext w:val="0"/>
        <w:keepLines w:val="0"/>
        <w:pageBreakBefore w:val="0"/>
        <w:widowControl w:val="0"/>
        <w:numPr>
          <w:ilvl w:val="0"/>
          <w:numId w:val="0"/>
        </w:numPr>
        <w:kinsoku/>
        <w:wordWrap/>
        <w:overflowPunct/>
        <w:topLinePunct/>
        <w:autoSpaceDE w:val="0"/>
        <w:autoSpaceDN w:val="0"/>
        <w:bidi w:val="0"/>
        <w:adjustRightInd/>
        <w:snapToGrid w:val="0"/>
        <w:spacing w:line="500" w:lineRule="exact"/>
        <w:ind w:leftChars="0"/>
        <w:jc w:val="center"/>
        <w:textAlignment w:val="auto"/>
        <w:rPr>
          <w:rFonts w:hint="default" w:ascii="Times New Roman" w:hAnsi="Times New Roman" w:eastAsia="方正仿宋_GBK" w:cs="Times New Roman"/>
          <w:b w:val="0"/>
          <w:bCs/>
          <w:color w:val="auto"/>
          <w:sz w:val="21"/>
          <w:szCs w:val="21"/>
        </w:rPr>
      </w:pPr>
      <w:r>
        <w:rPr>
          <w:rFonts w:hint="default" w:ascii="Times New Roman" w:hAnsi="Times New Roman" w:eastAsia="方正小标宋_GBK" w:cs="Times New Roman"/>
          <w:b w:val="0"/>
          <w:bCs/>
          <w:color w:val="auto"/>
          <w:sz w:val="30"/>
          <w:szCs w:val="30"/>
        </w:rPr>
        <w:t>合川高瓦房220千伏输变电工程水土保持方案特性表</w:t>
      </w:r>
    </w:p>
    <w:tbl>
      <w:tblPr>
        <w:tblStyle w:val="9"/>
        <w:tblpPr w:leftFromText="180" w:rightFromText="180" w:vertAnchor="text" w:horzAnchor="page" w:tblpXSpec="center" w:tblpY="37"/>
        <w:tblOverlap w:val="never"/>
        <w:tblW w:w="918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24"/>
        <w:gridCol w:w="404"/>
        <w:gridCol w:w="225"/>
        <w:gridCol w:w="1354"/>
        <w:gridCol w:w="545"/>
        <w:gridCol w:w="91"/>
        <w:gridCol w:w="1329"/>
        <w:gridCol w:w="1200"/>
        <w:gridCol w:w="129"/>
        <w:gridCol w:w="176"/>
        <w:gridCol w:w="751"/>
        <w:gridCol w:w="586"/>
        <w:gridCol w:w="140"/>
        <w:gridCol w:w="153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8" w:type="dxa"/>
            <w:gridSpan w:val="2"/>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项目名称</w:t>
            </w:r>
          </w:p>
        </w:tc>
        <w:tc>
          <w:tcPr>
            <w:tcW w:w="3544" w:type="dxa"/>
            <w:gridSpan w:val="5"/>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kern w:val="0"/>
                <w:sz w:val="21"/>
                <w:szCs w:val="21"/>
                <w:lang w:eastAsia="zh-CN" w:bidi="ar"/>
              </w:rPr>
              <w:t>合川高瓦房220千伏输变电工程</w:t>
            </w:r>
          </w:p>
        </w:tc>
        <w:tc>
          <w:tcPr>
            <w:tcW w:w="1505" w:type="dxa"/>
            <w:gridSpan w:val="3"/>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流域管理机构</w:t>
            </w:r>
          </w:p>
        </w:tc>
        <w:tc>
          <w:tcPr>
            <w:tcW w:w="3009" w:type="dxa"/>
            <w:gridSpan w:val="4"/>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水利部</w:t>
            </w:r>
            <w:r>
              <w:rPr>
                <w:rFonts w:hint="default" w:ascii="Times New Roman" w:hAnsi="Times New Roman" w:eastAsia="仿宋_GB2312" w:cs="Times New Roman"/>
                <w:color w:val="auto"/>
                <w:sz w:val="21"/>
                <w:szCs w:val="21"/>
              </w:rPr>
              <w:t>长江水利委员会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8"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涉及省区</w:t>
            </w:r>
          </w:p>
        </w:tc>
        <w:tc>
          <w:tcPr>
            <w:tcW w:w="2124"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重庆市</w:t>
            </w:r>
          </w:p>
        </w:tc>
        <w:tc>
          <w:tcPr>
            <w:tcW w:w="1420"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涉及地市</w:t>
            </w:r>
          </w:p>
        </w:tc>
        <w:tc>
          <w:tcPr>
            <w:tcW w:w="1505"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w:t>
            </w:r>
          </w:p>
        </w:tc>
        <w:tc>
          <w:tcPr>
            <w:tcW w:w="1477"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涉及县</w:t>
            </w:r>
          </w:p>
        </w:tc>
        <w:tc>
          <w:tcPr>
            <w:tcW w:w="1532" w:type="dxa"/>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合川区、铜梁区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8" w:type="dxa"/>
            <w:gridSpan w:val="2"/>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240" w:lineRule="auto"/>
              <w:textAlignment w:val="auto"/>
              <w:rPr>
                <w:rFonts w:hint="default" w:ascii="Times New Roman" w:hAnsi="Times New Roman" w:eastAsia="仿宋_GB2312" w:cs="Times New Roman"/>
                <w:bCs/>
                <w:color w:val="auto"/>
                <w:sz w:val="21"/>
                <w:szCs w:val="21"/>
                <w:lang w:eastAsia="zh-CN"/>
              </w:rPr>
            </w:pPr>
            <w:r>
              <w:rPr>
                <w:rFonts w:hint="default" w:ascii="Times New Roman" w:hAnsi="Times New Roman" w:eastAsia="仿宋_GB2312" w:cs="Times New Roman"/>
                <w:bCs/>
                <w:color w:val="auto"/>
                <w:sz w:val="21"/>
                <w:szCs w:val="21"/>
                <w:lang w:eastAsia="zh-CN"/>
              </w:rPr>
              <w:t>项目规模</w:t>
            </w:r>
          </w:p>
        </w:tc>
        <w:tc>
          <w:tcPr>
            <w:tcW w:w="2124" w:type="dxa"/>
            <w:gridSpan w:val="3"/>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240" w:lineRule="auto"/>
              <w:textAlignment w:val="auto"/>
              <w:rPr>
                <w:rFonts w:hint="default" w:ascii="Times New Roman" w:hAnsi="Times New Roman" w:eastAsia="仿宋_GB2312" w:cs="Times New Roman"/>
                <w:bCs/>
                <w:color w:val="auto"/>
                <w:sz w:val="21"/>
                <w:szCs w:val="21"/>
                <w:lang w:eastAsia="zh-CN"/>
              </w:rPr>
            </w:pPr>
            <w:r>
              <w:rPr>
                <w:rFonts w:hint="default" w:ascii="Times New Roman" w:hAnsi="Times New Roman" w:eastAsia="仿宋_GB2312" w:cs="Times New Roman"/>
                <w:bCs/>
                <w:color w:val="auto"/>
                <w:sz w:val="21"/>
                <w:szCs w:val="21"/>
                <w:lang w:eastAsia="zh-CN"/>
              </w:rPr>
              <w:t>新建高瓦房220kV变电站工程，扩建铜梁500kV变电站</w:t>
            </w:r>
            <w:r>
              <w:rPr>
                <w:rFonts w:hint="default" w:ascii="Times New Roman" w:hAnsi="Times New Roman" w:eastAsia="仿宋_GB2312" w:cs="Times New Roman"/>
                <w:bCs/>
                <w:color w:val="auto"/>
                <w:sz w:val="21"/>
                <w:szCs w:val="21"/>
                <w:lang w:val="en-US" w:eastAsia="zh-CN"/>
              </w:rPr>
              <w:t>出线间隔2个</w:t>
            </w:r>
            <w:r>
              <w:rPr>
                <w:rFonts w:hint="default" w:ascii="Times New Roman" w:hAnsi="Times New Roman" w:eastAsia="仿宋_GB2312" w:cs="Times New Roman"/>
                <w:bCs/>
                <w:color w:val="auto"/>
                <w:sz w:val="21"/>
                <w:szCs w:val="21"/>
                <w:lang w:eastAsia="zh-CN"/>
              </w:rPr>
              <w:t>，</w:t>
            </w:r>
            <w:r>
              <w:rPr>
                <w:rFonts w:hint="default" w:ascii="Times New Roman" w:hAnsi="Times New Roman" w:eastAsia="仿宋_GB2312" w:cs="Times New Roman"/>
                <w:bCs/>
                <w:color w:val="auto"/>
                <w:sz w:val="21"/>
                <w:szCs w:val="21"/>
                <w:lang w:val="en-US" w:eastAsia="zh-CN"/>
              </w:rPr>
              <w:t>扩建</w:t>
            </w:r>
            <w:r>
              <w:rPr>
                <w:rFonts w:hint="default" w:ascii="Times New Roman" w:hAnsi="Times New Roman" w:eastAsia="仿宋_GB2312" w:cs="Times New Roman"/>
                <w:bCs/>
                <w:color w:val="auto"/>
                <w:sz w:val="21"/>
                <w:szCs w:val="21"/>
                <w:lang w:eastAsia="zh-CN"/>
              </w:rPr>
              <w:t>大石220kV变电站</w:t>
            </w:r>
            <w:r>
              <w:rPr>
                <w:rFonts w:hint="default" w:ascii="Times New Roman" w:hAnsi="Times New Roman" w:eastAsia="仿宋_GB2312" w:cs="Times New Roman"/>
                <w:bCs/>
                <w:color w:val="auto"/>
                <w:sz w:val="21"/>
                <w:szCs w:val="21"/>
                <w:lang w:val="en-US" w:eastAsia="zh-CN"/>
              </w:rPr>
              <w:t>出线间隔2个，</w:t>
            </w:r>
            <w:r>
              <w:rPr>
                <w:rFonts w:hint="default" w:ascii="Times New Roman" w:hAnsi="Times New Roman" w:eastAsia="仿宋_GB2312" w:cs="Times New Roman"/>
                <w:bCs/>
                <w:color w:val="auto"/>
                <w:sz w:val="21"/>
                <w:szCs w:val="21"/>
                <w:lang w:eastAsia="zh-CN"/>
              </w:rPr>
              <w:t>新建220kV双回线路36.</w:t>
            </w:r>
            <w:r>
              <w:rPr>
                <w:rFonts w:hint="eastAsia" w:ascii="Times New Roman" w:hAnsi="Times New Roman" w:eastAsia="仿宋_GB2312" w:cs="Times New Roman"/>
                <w:bCs/>
                <w:color w:val="auto"/>
                <w:sz w:val="21"/>
                <w:szCs w:val="21"/>
                <w:lang w:val="en-US" w:eastAsia="zh-CN"/>
              </w:rPr>
              <w:t>08</w:t>
            </w:r>
            <w:r>
              <w:rPr>
                <w:rFonts w:hint="default" w:ascii="Times New Roman" w:hAnsi="Times New Roman" w:eastAsia="仿宋_GB2312" w:cs="Times New Roman"/>
                <w:bCs/>
                <w:color w:val="auto"/>
                <w:sz w:val="21"/>
                <w:szCs w:val="21"/>
                <w:lang w:eastAsia="zh-CN"/>
              </w:rPr>
              <w:t>km，均为架空线路</w:t>
            </w:r>
            <w:r>
              <w:rPr>
                <w:rFonts w:hint="eastAsia" w:ascii="Times New Roman" w:hAnsi="Times New Roman" w:eastAsia="仿宋_GB2312" w:cs="Times New Roman"/>
                <w:bCs/>
                <w:color w:val="auto"/>
                <w:sz w:val="21"/>
                <w:szCs w:val="21"/>
                <w:lang w:eastAsia="zh-CN"/>
              </w:rPr>
              <w:t>，</w:t>
            </w:r>
            <w:r>
              <w:rPr>
                <w:rFonts w:hint="eastAsia" w:ascii="Times New Roman" w:hAnsi="Times New Roman" w:eastAsia="仿宋_GB2312" w:cs="Times New Roman"/>
                <w:bCs/>
                <w:color w:val="auto"/>
                <w:sz w:val="21"/>
                <w:szCs w:val="21"/>
                <w:lang w:val="en-US" w:eastAsia="zh-CN"/>
              </w:rPr>
              <w:t>新建塔基107基，其中直线塔48基，耐张塔59基</w:t>
            </w:r>
            <w:r>
              <w:rPr>
                <w:rFonts w:hint="default" w:ascii="Times New Roman" w:hAnsi="Times New Roman" w:eastAsia="仿宋_GB2312" w:cs="Times New Roman"/>
                <w:bCs/>
                <w:color w:val="auto"/>
                <w:sz w:val="21"/>
                <w:szCs w:val="21"/>
                <w:lang w:eastAsia="zh-CN"/>
              </w:rPr>
              <w:t>。</w:t>
            </w:r>
          </w:p>
        </w:tc>
        <w:tc>
          <w:tcPr>
            <w:tcW w:w="1420"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总投资（万元）</w:t>
            </w:r>
          </w:p>
        </w:tc>
        <w:tc>
          <w:tcPr>
            <w:tcW w:w="150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28478.00</w:t>
            </w:r>
          </w:p>
        </w:tc>
        <w:tc>
          <w:tcPr>
            <w:tcW w:w="1477"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土建投资（万元）</w:t>
            </w:r>
          </w:p>
        </w:tc>
        <w:tc>
          <w:tcPr>
            <w:tcW w:w="1532" w:type="dxa"/>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15309.00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8" w:type="dxa"/>
            <w:gridSpan w:val="2"/>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240" w:lineRule="auto"/>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t>动工时间</w:t>
            </w:r>
          </w:p>
        </w:tc>
        <w:tc>
          <w:tcPr>
            <w:tcW w:w="2124" w:type="dxa"/>
            <w:gridSpan w:val="3"/>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240" w:lineRule="auto"/>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bCs/>
                <w:color w:val="auto"/>
                <w:sz w:val="21"/>
                <w:szCs w:val="21"/>
                <w:lang w:eastAsia="zh-CN"/>
              </w:rPr>
              <w:t>2025年12月</w:t>
            </w:r>
          </w:p>
        </w:tc>
        <w:tc>
          <w:tcPr>
            <w:tcW w:w="1420" w:type="dxa"/>
            <w:gridSpan w:val="2"/>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240" w:lineRule="auto"/>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t>完工时间</w:t>
            </w:r>
          </w:p>
        </w:tc>
        <w:tc>
          <w:tcPr>
            <w:tcW w:w="1505" w:type="dxa"/>
            <w:gridSpan w:val="3"/>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240" w:lineRule="auto"/>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bCs/>
                <w:color w:val="auto"/>
                <w:sz w:val="21"/>
                <w:szCs w:val="21"/>
                <w:lang w:eastAsia="zh-CN"/>
              </w:rPr>
              <w:t>2027年6月</w:t>
            </w:r>
          </w:p>
        </w:tc>
        <w:tc>
          <w:tcPr>
            <w:tcW w:w="1477" w:type="dxa"/>
            <w:gridSpan w:val="3"/>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240" w:lineRule="auto"/>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t>设计水平年</w:t>
            </w:r>
          </w:p>
        </w:tc>
        <w:tc>
          <w:tcPr>
            <w:tcW w:w="1532" w:type="dxa"/>
            <w:noWrap w:val="0"/>
            <w:tcMar>
              <w:top w:w="15" w:type="dxa"/>
              <w:left w:w="15" w:type="dxa"/>
              <w:right w:w="15" w:type="dxa"/>
            </w:tcMar>
            <w:vAlign w:val="center"/>
          </w:tcPr>
          <w:p>
            <w:pPr>
              <w:pStyle w:val="29"/>
              <w:pBdr>
                <w:top w:val="none" w:color="auto" w:sz="0" w:space="0"/>
                <w:left w:val="none" w:color="auto" w:sz="0" w:space="0"/>
                <w:bottom w:val="none" w:color="auto" w:sz="0" w:space="0"/>
                <w:right w:val="none" w:color="auto" w:sz="0" w:space="0"/>
              </w:pBdr>
              <w:spacing w:before="0" w:beforeAutospacing="0" w:after="0" w:afterAutospacing="0" w:line="240" w:lineRule="auto"/>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Cs/>
                <w:color w:val="auto"/>
                <w:sz w:val="21"/>
                <w:szCs w:val="21"/>
              </w:rPr>
              <w:t>202</w:t>
            </w:r>
            <w:r>
              <w:rPr>
                <w:rFonts w:hint="default" w:ascii="Times New Roman" w:hAnsi="Times New Roman" w:eastAsia="仿宋_GB2312" w:cs="Times New Roman"/>
                <w:bCs/>
                <w:color w:val="auto"/>
                <w:sz w:val="21"/>
                <w:szCs w:val="21"/>
                <w:lang w:val="en-US" w:eastAsia="zh-CN"/>
              </w:rPr>
              <w:t>7</w:t>
            </w:r>
            <w:r>
              <w:rPr>
                <w:rFonts w:hint="default" w:ascii="Times New Roman" w:hAnsi="Times New Roman" w:eastAsia="仿宋_GB2312" w:cs="Times New Roman"/>
                <w:bCs/>
                <w:color w:val="auto"/>
                <w:sz w:val="21"/>
                <w:szCs w:val="21"/>
              </w:rPr>
              <w:t>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128"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工程占地（hm²）</w:t>
            </w:r>
          </w:p>
        </w:tc>
        <w:tc>
          <w:tcPr>
            <w:tcW w:w="2124"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13.69</w:t>
            </w:r>
          </w:p>
        </w:tc>
        <w:tc>
          <w:tcPr>
            <w:tcW w:w="1420"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永久占地（hm²）</w:t>
            </w:r>
          </w:p>
        </w:tc>
        <w:tc>
          <w:tcPr>
            <w:tcW w:w="150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4.97</w:t>
            </w:r>
          </w:p>
        </w:tc>
        <w:tc>
          <w:tcPr>
            <w:tcW w:w="1477"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临时占地（hm²）</w:t>
            </w:r>
          </w:p>
        </w:tc>
        <w:tc>
          <w:tcPr>
            <w:tcW w:w="1532" w:type="dxa"/>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8.72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52" w:type="dxa"/>
            <w:gridSpan w:val="5"/>
            <w:vMerge w:val="restart"/>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土石方量（万m³）</w:t>
            </w:r>
          </w:p>
        </w:tc>
        <w:tc>
          <w:tcPr>
            <w:tcW w:w="1420"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挖方</w:t>
            </w:r>
          </w:p>
        </w:tc>
        <w:tc>
          <w:tcPr>
            <w:tcW w:w="150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填方</w:t>
            </w:r>
          </w:p>
        </w:tc>
        <w:tc>
          <w:tcPr>
            <w:tcW w:w="1477"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借方</w:t>
            </w:r>
          </w:p>
        </w:tc>
        <w:tc>
          <w:tcPr>
            <w:tcW w:w="1532" w:type="dxa"/>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余方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52" w:type="dxa"/>
            <w:gridSpan w:val="5"/>
            <w:vMerge w:val="continue"/>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rPr>
            </w:pPr>
          </w:p>
        </w:tc>
        <w:tc>
          <w:tcPr>
            <w:tcW w:w="1420" w:type="dxa"/>
            <w:gridSpan w:val="2"/>
            <w:noWrap w:val="0"/>
            <w:tcMar>
              <w:top w:w="15" w:type="dxa"/>
              <w:left w:w="15" w:type="dxa"/>
              <w:right w:w="15" w:type="dxa"/>
            </w:tcMar>
            <w:vAlign w:val="center"/>
          </w:tcPr>
          <w:p>
            <w:pPr>
              <w:widowControl/>
              <w:spacing w:line="240" w:lineRule="auto"/>
              <w:ind w:firstLine="0" w:firstLineChars="0"/>
              <w:jc w:val="center"/>
              <w:textAlignment w:val="bottom"/>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9.78</w:t>
            </w:r>
          </w:p>
        </w:tc>
        <w:tc>
          <w:tcPr>
            <w:tcW w:w="1505" w:type="dxa"/>
            <w:gridSpan w:val="3"/>
            <w:noWrap w:val="0"/>
            <w:tcMar>
              <w:top w:w="15" w:type="dxa"/>
              <w:left w:w="15" w:type="dxa"/>
              <w:right w:w="15" w:type="dxa"/>
            </w:tcMar>
            <w:vAlign w:val="center"/>
          </w:tcPr>
          <w:p>
            <w:pPr>
              <w:widowControl/>
              <w:spacing w:line="240" w:lineRule="auto"/>
              <w:ind w:firstLine="0" w:firstLineChars="0"/>
              <w:jc w:val="center"/>
              <w:textAlignment w:val="bottom"/>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9.78</w:t>
            </w:r>
          </w:p>
        </w:tc>
        <w:tc>
          <w:tcPr>
            <w:tcW w:w="1477"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0.00</w:t>
            </w:r>
          </w:p>
        </w:tc>
        <w:tc>
          <w:tcPr>
            <w:tcW w:w="1532" w:type="dxa"/>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rPr>
              <w:t>0</w:t>
            </w:r>
            <w:r>
              <w:rPr>
                <w:rFonts w:hint="default" w:ascii="Times New Roman" w:hAnsi="Times New Roman" w:eastAsia="仿宋_GB2312" w:cs="Times New Roman"/>
                <w:color w:val="auto"/>
                <w:sz w:val="21"/>
                <w:szCs w:val="21"/>
                <w:highlight w:val="none"/>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52" w:type="dxa"/>
            <w:gridSpan w:val="5"/>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重点防治区名称</w:t>
            </w:r>
          </w:p>
        </w:tc>
        <w:tc>
          <w:tcPr>
            <w:tcW w:w="5934" w:type="dxa"/>
            <w:gridSpan w:val="9"/>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eastAsia="zh-CN"/>
              </w:rPr>
              <w:t>重庆市水土流失重点预防区和重点治理区</w:t>
            </w:r>
            <w:r>
              <w:rPr>
                <w:rFonts w:hint="eastAsia" w:ascii="Times New Roman" w:hAnsi="Times New Roman" w:eastAsia="仿宋_GB2312" w:cs="Times New Roman"/>
                <w:color w:val="auto"/>
                <w:sz w:val="21"/>
                <w:szCs w:val="21"/>
                <w:lang w:val="en-US" w:eastAsia="zh-CN"/>
              </w:rPr>
              <w:t>、涪江流域水土流失重点治理区、淮远河流域水土流失重点治理区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07"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地貌类型</w:t>
            </w:r>
          </w:p>
        </w:tc>
        <w:tc>
          <w:tcPr>
            <w:tcW w:w="196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丘陵地貌</w:t>
            </w:r>
          </w:p>
        </w:tc>
        <w:tc>
          <w:tcPr>
            <w:tcW w:w="2256"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水土保持区划</w:t>
            </w:r>
          </w:p>
        </w:tc>
        <w:tc>
          <w:tcPr>
            <w:tcW w:w="2258"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西南紫色土区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07"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土壤</w:t>
            </w:r>
            <w:r>
              <w:rPr>
                <w:rFonts w:hint="default" w:ascii="Times New Roman" w:hAnsi="Times New Roman" w:eastAsia="仿宋_GB2312" w:cs="Times New Roman"/>
                <w:color w:val="auto"/>
                <w:sz w:val="21"/>
                <w:szCs w:val="21"/>
                <w:lang w:val="en-US" w:eastAsia="zh-CN"/>
              </w:rPr>
              <w:t>侵蚀</w:t>
            </w:r>
            <w:r>
              <w:rPr>
                <w:rFonts w:hint="default" w:ascii="Times New Roman" w:hAnsi="Times New Roman" w:eastAsia="仿宋_GB2312" w:cs="Times New Roman"/>
                <w:color w:val="auto"/>
                <w:sz w:val="21"/>
                <w:szCs w:val="21"/>
              </w:rPr>
              <w:t>类型</w:t>
            </w:r>
          </w:p>
        </w:tc>
        <w:tc>
          <w:tcPr>
            <w:tcW w:w="196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水力侵蚀</w:t>
            </w:r>
          </w:p>
        </w:tc>
        <w:tc>
          <w:tcPr>
            <w:tcW w:w="2256"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土壤侵蚀强度</w:t>
            </w:r>
          </w:p>
        </w:tc>
        <w:tc>
          <w:tcPr>
            <w:tcW w:w="2258"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轻度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07"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防治责任范围面积（hm²）</w:t>
            </w:r>
          </w:p>
        </w:tc>
        <w:tc>
          <w:tcPr>
            <w:tcW w:w="196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eastAsia="zh-CN"/>
              </w:rPr>
              <w:t>13.69</w:t>
            </w:r>
          </w:p>
        </w:tc>
        <w:tc>
          <w:tcPr>
            <w:tcW w:w="2256"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容许土壤流失量t/km²•a</w:t>
            </w:r>
          </w:p>
        </w:tc>
        <w:tc>
          <w:tcPr>
            <w:tcW w:w="2258"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07"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eastAsia="zh-CN" w:bidi="ar"/>
              </w:rPr>
            </w:pPr>
            <w:r>
              <w:rPr>
                <w:rFonts w:hint="default" w:ascii="Times New Roman" w:hAnsi="Times New Roman" w:eastAsia="仿宋_GB2312" w:cs="Times New Roman"/>
                <w:color w:val="auto"/>
                <w:kern w:val="0"/>
                <w:sz w:val="21"/>
                <w:szCs w:val="21"/>
                <w:highlight w:val="none"/>
                <w:lang w:bidi="ar"/>
              </w:rPr>
              <w:t>水土流失预测总量</w:t>
            </w:r>
            <w:r>
              <w:rPr>
                <w:rFonts w:hint="default" w:ascii="Times New Roman" w:hAnsi="Times New Roman" w:eastAsia="仿宋_GB2312" w:cs="Times New Roman"/>
                <w:color w:val="auto"/>
                <w:kern w:val="0"/>
                <w:sz w:val="21"/>
                <w:szCs w:val="21"/>
                <w:highlight w:val="none"/>
                <w:lang w:eastAsia="zh-CN" w:bidi="ar"/>
              </w:rPr>
              <w:t>（</w:t>
            </w:r>
            <w:r>
              <w:rPr>
                <w:rFonts w:hint="default" w:ascii="Times New Roman" w:hAnsi="Times New Roman" w:eastAsia="仿宋_GB2312" w:cs="Times New Roman"/>
                <w:color w:val="auto"/>
                <w:kern w:val="0"/>
                <w:sz w:val="21"/>
                <w:szCs w:val="21"/>
                <w:highlight w:val="none"/>
                <w:lang w:bidi="ar"/>
              </w:rPr>
              <w:t>t</w:t>
            </w:r>
            <w:r>
              <w:rPr>
                <w:rFonts w:hint="default" w:ascii="Times New Roman" w:hAnsi="Times New Roman" w:eastAsia="仿宋_GB2312" w:cs="Times New Roman"/>
                <w:color w:val="auto"/>
                <w:kern w:val="0"/>
                <w:sz w:val="21"/>
                <w:szCs w:val="21"/>
                <w:highlight w:val="none"/>
                <w:lang w:eastAsia="zh-CN" w:bidi="ar"/>
              </w:rPr>
              <w:t>）</w:t>
            </w:r>
          </w:p>
        </w:tc>
        <w:tc>
          <w:tcPr>
            <w:tcW w:w="196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eastAsia="zh-CN" w:bidi="ar"/>
              </w:rPr>
            </w:pPr>
            <w:r>
              <w:rPr>
                <w:rFonts w:hint="eastAsia" w:ascii="Times New Roman" w:hAnsi="Times New Roman" w:eastAsia="仿宋_GB2312" w:cs="Times New Roman"/>
                <w:color w:val="auto"/>
                <w:kern w:val="0"/>
                <w:sz w:val="21"/>
                <w:szCs w:val="21"/>
                <w:highlight w:val="none"/>
                <w:lang w:eastAsia="zh-CN" w:bidi="ar"/>
              </w:rPr>
              <w:t>1505.58</w:t>
            </w:r>
          </w:p>
        </w:tc>
        <w:tc>
          <w:tcPr>
            <w:tcW w:w="2256"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新增水土流失量（t）</w:t>
            </w:r>
          </w:p>
        </w:tc>
        <w:tc>
          <w:tcPr>
            <w:tcW w:w="2258"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eastAsia="zh-CN" w:bidi="ar"/>
              </w:rPr>
            </w:pPr>
            <w:r>
              <w:rPr>
                <w:rFonts w:hint="eastAsia" w:ascii="Times New Roman" w:hAnsi="Times New Roman" w:eastAsia="仿宋_GB2312" w:cs="Times New Roman"/>
                <w:color w:val="auto"/>
                <w:kern w:val="0"/>
                <w:sz w:val="21"/>
                <w:szCs w:val="21"/>
                <w:highlight w:val="none"/>
                <w:lang w:eastAsia="zh-CN" w:bidi="ar"/>
              </w:rPr>
              <w:t>963.50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07"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水土流失防治标准执行等级</w:t>
            </w:r>
          </w:p>
        </w:tc>
        <w:tc>
          <w:tcPr>
            <w:tcW w:w="6479" w:type="dxa"/>
            <w:gridSpan w:val="10"/>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西南紫色土区</w:t>
            </w:r>
            <w:r>
              <w:rPr>
                <w:rFonts w:hint="default" w:ascii="Times New Roman" w:hAnsi="Times New Roman" w:eastAsia="仿宋_GB2312" w:cs="Times New Roman"/>
                <w:color w:val="auto"/>
                <w:kern w:val="0"/>
                <w:sz w:val="21"/>
                <w:szCs w:val="21"/>
                <w:lang w:val="en-US" w:eastAsia="zh-CN" w:bidi="ar"/>
              </w:rPr>
              <w:t>建设类项目</w:t>
            </w:r>
            <w:r>
              <w:rPr>
                <w:rFonts w:hint="default" w:ascii="Times New Roman" w:hAnsi="Times New Roman" w:eastAsia="仿宋_GB2312" w:cs="Times New Roman"/>
                <w:color w:val="auto"/>
                <w:kern w:val="0"/>
                <w:sz w:val="21"/>
                <w:szCs w:val="21"/>
                <w:lang w:bidi="ar"/>
              </w:rPr>
              <w:t>一级标准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restart"/>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kern w:val="0"/>
                <w:sz w:val="21"/>
                <w:szCs w:val="21"/>
                <w:lang w:bidi="ar"/>
              </w:rPr>
              <w:t>防治</w:t>
            </w:r>
          </w:p>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目标</w:t>
            </w:r>
          </w:p>
        </w:tc>
        <w:tc>
          <w:tcPr>
            <w:tcW w:w="1983"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水土流失治理度（%）</w:t>
            </w:r>
          </w:p>
        </w:tc>
        <w:tc>
          <w:tcPr>
            <w:tcW w:w="196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97</w:t>
            </w:r>
          </w:p>
        </w:tc>
        <w:tc>
          <w:tcPr>
            <w:tcW w:w="2256"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土壤流失控制比</w:t>
            </w:r>
          </w:p>
        </w:tc>
        <w:tc>
          <w:tcPr>
            <w:tcW w:w="2258"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rPr>
            </w:pPr>
          </w:p>
        </w:tc>
        <w:tc>
          <w:tcPr>
            <w:tcW w:w="1983"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渣土防护率（%）</w:t>
            </w:r>
          </w:p>
        </w:tc>
        <w:tc>
          <w:tcPr>
            <w:tcW w:w="196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94</w:t>
            </w:r>
          </w:p>
        </w:tc>
        <w:tc>
          <w:tcPr>
            <w:tcW w:w="2256"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表土保护率（%）</w:t>
            </w:r>
          </w:p>
        </w:tc>
        <w:tc>
          <w:tcPr>
            <w:tcW w:w="2258"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1983"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林草植被恢复率（%）</w:t>
            </w:r>
          </w:p>
        </w:tc>
        <w:tc>
          <w:tcPr>
            <w:tcW w:w="196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97</w:t>
            </w:r>
          </w:p>
        </w:tc>
        <w:tc>
          <w:tcPr>
            <w:tcW w:w="2256"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0"/>
                <w:sz w:val="21"/>
                <w:szCs w:val="21"/>
                <w:lang w:bidi="ar"/>
              </w:rPr>
              <w:t>林草覆盖率（%）</w:t>
            </w:r>
          </w:p>
        </w:tc>
        <w:tc>
          <w:tcPr>
            <w:tcW w:w="2258"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restart"/>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kern w:val="0"/>
                <w:sz w:val="21"/>
                <w:szCs w:val="21"/>
                <w:highlight w:val="none"/>
                <w:lang w:bidi="ar"/>
              </w:rPr>
              <w:t>防治措施及工程量</w:t>
            </w:r>
          </w:p>
        </w:tc>
        <w:tc>
          <w:tcPr>
            <w:tcW w:w="1983"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sz w:val="21"/>
                <w:szCs w:val="21"/>
                <w:highlight w:val="none"/>
              </w:rPr>
              <w:t>分区</w:t>
            </w:r>
          </w:p>
        </w:tc>
        <w:tc>
          <w:tcPr>
            <w:tcW w:w="1965" w:type="dxa"/>
            <w:gridSpan w:val="3"/>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bidi="ar"/>
              </w:rPr>
              <w:t>工程措施</w:t>
            </w:r>
          </w:p>
        </w:tc>
        <w:tc>
          <w:tcPr>
            <w:tcW w:w="2256" w:type="dxa"/>
            <w:gridSpan w:val="4"/>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bidi="ar"/>
              </w:rPr>
              <w:t>植物措施</w:t>
            </w:r>
          </w:p>
        </w:tc>
        <w:tc>
          <w:tcPr>
            <w:tcW w:w="2258"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0"/>
                <w:sz w:val="21"/>
                <w:szCs w:val="21"/>
                <w:highlight w:val="none"/>
                <w:lang w:bidi="ar"/>
              </w:rPr>
              <w:t>临时措施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404" w:type="dxa"/>
            <w:vMerge w:val="restart"/>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变电站工程</w:t>
            </w:r>
            <w:r>
              <w:rPr>
                <w:rFonts w:hint="eastAsia" w:ascii="Times New Roman" w:hAnsi="Times New Roman" w:eastAsia="仿宋_GB2312" w:cs="Times New Roman"/>
                <w:color w:val="auto"/>
                <w:kern w:val="0"/>
                <w:sz w:val="21"/>
                <w:szCs w:val="21"/>
                <w:highlight w:val="none"/>
                <w:lang w:val="en-US" w:eastAsia="zh-CN" w:bidi="ar"/>
              </w:rPr>
              <w:t>防治</w:t>
            </w:r>
            <w:r>
              <w:rPr>
                <w:rFonts w:hint="default" w:ascii="Times New Roman" w:hAnsi="Times New Roman" w:eastAsia="仿宋_GB2312" w:cs="Times New Roman"/>
                <w:color w:val="auto"/>
                <w:kern w:val="0"/>
                <w:sz w:val="21"/>
                <w:szCs w:val="21"/>
                <w:highlight w:val="none"/>
                <w:lang w:val="en-US" w:eastAsia="zh-CN" w:bidi="ar"/>
              </w:rPr>
              <w:t>区</w:t>
            </w:r>
          </w:p>
        </w:tc>
        <w:tc>
          <w:tcPr>
            <w:tcW w:w="1579"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sz w:val="21"/>
                <w:szCs w:val="21"/>
                <w:highlight w:val="none"/>
              </w:rPr>
              <w:t>站区</w:t>
            </w:r>
          </w:p>
        </w:tc>
        <w:tc>
          <w:tcPr>
            <w:tcW w:w="1965" w:type="dxa"/>
            <w:gridSpan w:val="3"/>
            <w:noWrap w:val="0"/>
            <w:tcMar>
              <w:top w:w="15" w:type="dxa"/>
              <w:left w:w="15" w:type="dxa"/>
              <w:right w:w="15" w:type="dxa"/>
            </w:tcMar>
            <w:vAlign w:val="center"/>
          </w:tcPr>
          <w:p>
            <w:pPr>
              <w:widowControl/>
              <w:spacing w:line="240" w:lineRule="auto"/>
              <w:ind w:firstLine="0" w:firstLineChars="0"/>
              <w:jc w:val="both"/>
              <w:textAlignment w:val="center"/>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val="en-US" w:eastAsia="zh-CN"/>
              </w:rPr>
              <w:t>主体设计：</w:t>
            </w:r>
            <w:r>
              <w:rPr>
                <w:rFonts w:hint="default" w:ascii="Times New Roman" w:hAnsi="Times New Roman" w:eastAsia="仿宋_GB2312" w:cs="Times New Roman"/>
                <w:color w:val="auto"/>
                <w:sz w:val="21"/>
                <w:szCs w:val="21"/>
                <w:lang w:val="en-US" w:eastAsia="zh-CN"/>
              </w:rPr>
              <w:t>碎石压盖10000m</w:t>
            </w:r>
            <w:r>
              <w:rPr>
                <w:rFonts w:hint="default" w:ascii="Times New Roman" w:hAnsi="Times New Roman" w:eastAsia="仿宋_GB2312" w:cs="Times New Roman"/>
                <w:color w:val="auto"/>
                <w:sz w:val="21"/>
                <w:szCs w:val="21"/>
                <w:vertAlign w:val="superscript"/>
                <w:lang w:val="en-US" w:eastAsia="zh-CN"/>
              </w:rPr>
              <w:t>2</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站内排水管线</w:t>
            </w:r>
            <w:r>
              <w:rPr>
                <w:rFonts w:hint="default" w:ascii="Times New Roman" w:hAnsi="Times New Roman" w:eastAsia="仿宋_GB2312" w:cs="Times New Roman"/>
                <w:color w:val="auto"/>
                <w:sz w:val="21"/>
                <w:szCs w:val="21"/>
                <w:lang w:val="en-US" w:eastAsia="zh-CN"/>
              </w:rPr>
              <w:t>1110</w:t>
            </w:r>
            <w:r>
              <w:rPr>
                <w:rFonts w:hint="default" w:ascii="Times New Roman" w:hAnsi="Times New Roman" w:eastAsia="仿宋_GB2312" w:cs="Times New Roman"/>
                <w:color w:val="auto"/>
                <w:sz w:val="21"/>
                <w:szCs w:val="21"/>
              </w:rPr>
              <w:t>m</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表土剥离</w:t>
            </w:r>
            <w:r>
              <w:rPr>
                <w:rFonts w:hint="default" w:ascii="Times New Roman" w:hAnsi="Times New Roman" w:eastAsia="仿宋_GB2312" w:cs="Times New Roman"/>
                <w:color w:val="auto"/>
                <w:sz w:val="21"/>
                <w:szCs w:val="21"/>
                <w:lang w:val="en-US" w:eastAsia="zh-CN"/>
              </w:rPr>
              <w:t>0.3</w:t>
            </w:r>
            <w:r>
              <w:rPr>
                <w:rFonts w:hint="eastAsia"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rPr>
              <w:t>万m</w:t>
            </w:r>
            <w:r>
              <w:rPr>
                <w:rFonts w:hint="default" w:ascii="Times New Roman" w:hAnsi="Times New Roman" w:eastAsia="仿宋_GB2312" w:cs="Times New Roman"/>
                <w:color w:val="auto"/>
                <w:sz w:val="21"/>
                <w:szCs w:val="21"/>
                <w:vertAlign w:val="superscript"/>
              </w:rPr>
              <w:t>3</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表土回覆0.</w:t>
            </w:r>
            <w:r>
              <w:rPr>
                <w:rFonts w:hint="eastAsia" w:ascii="Times New Roman" w:hAnsi="Times New Roman" w:eastAsia="仿宋_GB2312" w:cs="Times New Roman"/>
                <w:color w:val="auto"/>
                <w:sz w:val="21"/>
                <w:szCs w:val="21"/>
                <w:lang w:val="en-US" w:eastAsia="zh-CN"/>
              </w:rPr>
              <w:t>24</w:t>
            </w:r>
            <w:r>
              <w:rPr>
                <w:rFonts w:hint="default" w:ascii="Times New Roman" w:hAnsi="Times New Roman" w:eastAsia="仿宋_GB2312" w:cs="Times New Roman"/>
                <w:color w:val="auto"/>
                <w:sz w:val="21"/>
                <w:szCs w:val="21"/>
              </w:rPr>
              <w:t>万m</w:t>
            </w:r>
            <w:r>
              <w:rPr>
                <w:rFonts w:hint="default" w:ascii="Times New Roman" w:hAnsi="Times New Roman" w:eastAsia="仿宋_GB2312" w:cs="Times New Roman"/>
                <w:color w:val="auto"/>
                <w:sz w:val="21"/>
                <w:szCs w:val="21"/>
                <w:vertAlign w:val="superscript"/>
              </w:rPr>
              <w:t>3</w:t>
            </w:r>
            <w:r>
              <w:rPr>
                <w:rFonts w:hint="default"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val="en-US" w:eastAsia="zh-CN"/>
              </w:rPr>
              <w:t>透水砖铺装521.00m</w:t>
            </w:r>
            <w:r>
              <w:rPr>
                <w:rFonts w:hint="eastAsia" w:ascii="Times New Roman" w:hAnsi="Times New Roman" w:eastAsia="仿宋_GB2312" w:cs="Times New Roman"/>
                <w:color w:val="auto"/>
                <w:sz w:val="21"/>
                <w:szCs w:val="21"/>
                <w:vertAlign w:val="superscript"/>
                <w:lang w:val="en-US" w:eastAsia="zh-CN"/>
              </w:rPr>
              <w:t>2</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1#排水沟90.00</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lang w:val="en-US" w:eastAsia="zh-CN"/>
              </w:rPr>
              <w:t>2#排水沟160.82m，3#排水沟353.87m</w:t>
            </w:r>
            <w:r>
              <w:rPr>
                <w:rFonts w:hint="eastAsia" w:ascii="Times New Roman" w:hAnsi="Times New Roman" w:eastAsia="仿宋_GB2312" w:cs="Times New Roman"/>
                <w:color w:val="auto"/>
                <w:sz w:val="21"/>
                <w:szCs w:val="21"/>
                <w:lang w:eastAsia="zh-CN"/>
              </w:rPr>
              <w:t>；</w:t>
            </w:r>
          </w:p>
          <w:p>
            <w:pPr>
              <w:widowControl/>
              <w:spacing w:line="240" w:lineRule="auto"/>
              <w:ind w:firstLine="0" w:firstLineChars="0"/>
              <w:jc w:val="both"/>
              <w:textAlignment w:val="cente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lang w:val="en-US" w:eastAsia="zh-CN"/>
              </w:rPr>
              <w:t>方案新增：</w:t>
            </w:r>
            <w:r>
              <w:rPr>
                <w:rFonts w:hint="default" w:ascii="Times New Roman" w:hAnsi="Times New Roman" w:eastAsia="仿宋_GB2312" w:cs="Times New Roman"/>
                <w:color w:val="auto"/>
                <w:sz w:val="21"/>
                <w:szCs w:val="21"/>
                <w:lang w:val="en-US" w:eastAsia="zh-CN"/>
              </w:rPr>
              <w:t>土地整治0.12</w:t>
            </w:r>
            <w:r>
              <w:rPr>
                <w:rFonts w:hint="default" w:ascii="Times New Roman" w:hAnsi="Times New Roman" w:eastAsia="仿宋_GB2312" w:cs="Times New Roman"/>
                <w:color w:val="auto"/>
                <w:sz w:val="21"/>
                <w:szCs w:val="21"/>
                <w:highlight w:val="none"/>
              </w:rPr>
              <w:t>hm²</w:t>
            </w:r>
          </w:p>
        </w:tc>
        <w:tc>
          <w:tcPr>
            <w:tcW w:w="2256" w:type="dxa"/>
            <w:gridSpan w:val="4"/>
            <w:noWrap w:val="0"/>
            <w:tcMar>
              <w:top w:w="15" w:type="dxa"/>
              <w:left w:w="15" w:type="dxa"/>
              <w:right w:w="15" w:type="dxa"/>
            </w:tcMar>
            <w:vAlign w:val="center"/>
          </w:tcPr>
          <w:p>
            <w:pPr>
              <w:widowControl/>
              <w:spacing w:line="240" w:lineRule="auto"/>
              <w:ind w:firstLine="0" w:firstLineChars="0"/>
              <w:jc w:val="both"/>
              <w:textAlignment w:val="center"/>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lang w:val="en-US" w:eastAsia="zh-CN"/>
              </w:rPr>
              <w:t>主体设计：格网植草护坡0.47</w:t>
            </w:r>
            <w:r>
              <w:rPr>
                <w:rFonts w:hint="default" w:ascii="Times New Roman" w:hAnsi="Times New Roman" w:eastAsia="仿宋_GB2312" w:cs="Times New Roman"/>
                <w:color w:val="auto"/>
                <w:sz w:val="21"/>
                <w:szCs w:val="21"/>
              </w:rPr>
              <w:t>hm</w:t>
            </w:r>
            <w:r>
              <w:rPr>
                <w:rFonts w:hint="default" w:ascii="Times New Roman" w:hAnsi="Times New Roman" w:eastAsia="仿宋_GB2312" w:cs="Times New Roman"/>
                <w:color w:val="auto"/>
                <w:sz w:val="21"/>
                <w:szCs w:val="21"/>
                <w:vertAlign w:val="superscript"/>
              </w:rPr>
              <w:t>2</w:t>
            </w:r>
            <w:r>
              <w:rPr>
                <w:rFonts w:hint="eastAsia" w:ascii="Times New Roman" w:hAnsi="Times New Roman" w:eastAsia="仿宋_GB2312" w:cs="Times New Roman"/>
                <w:color w:val="auto"/>
                <w:sz w:val="21"/>
                <w:szCs w:val="21"/>
                <w:lang w:eastAsia="zh-CN"/>
              </w:rPr>
              <w:t>；</w:t>
            </w:r>
          </w:p>
          <w:p>
            <w:pPr>
              <w:widowControl/>
              <w:spacing w:line="240" w:lineRule="auto"/>
              <w:ind w:firstLine="0" w:firstLineChars="0"/>
              <w:jc w:val="both"/>
              <w:textAlignment w:val="center"/>
              <w:rPr>
                <w:rFonts w:hint="default" w:ascii="Times New Roman" w:hAnsi="Times New Roman" w:eastAsia="仿宋_GB2312" w:cs="Times New Roman"/>
                <w:color w:val="auto"/>
                <w:kern w:val="0"/>
                <w:sz w:val="21"/>
                <w:szCs w:val="21"/>
                <w:highlight w:val="none"/>
                <w:lang w:val="en-US" w:eastAsia="zh-CN" w:bidi="ar"/>
              </w:rPr>
            </w:pPr>
            <w:r>
              <w:rPr>
                <w:rFonts w:hint="eastAsia" w:ascii="Times New Roman" w:hAnsi="Times New Roman" w:eastAsia="仿宋_GB2312" w:cs="Times New Roman"/>
                <w:color w:val="auto"/>
                <w:sz w:val="21"/>
                <w:szCs w:val="21"/>
                <w:lang w:val="en-US" w:eastAsia="zh-CN"/>
              </w:rPr>
              <w:t>方案新增：</w:t>
            </w:r>
            <w:r>
              <w:rPr>
                <w:rFonts w:hint="eastAsia" w:ascii="Times New Roman" w:hAnsi="Times New Roman" w:eastAsia="仿宋_GB2312" w:cs="Times New Roman"/>
                <w:color w:val="auto"/>
                <w:sz w:val="21"/>
                <w:szCs w:val="21"/>
                <w:highlight w:val="none"/>
                <w:lang w:val="en-US" w:eastAsia="zh-CN"/>
              </w:rPr>
              <w:t>撒播草籽</w:t>
            </w:r>
            <w:r>
              <w:rPr>
                <w:rFonts w:hint="default" w:ascii="Times New Roman" w:hAnsi="Times New Roman" w:eastAsia="仿宋_GB2312" w:cs="Times New Roman"/>
                <w:color w:val="auto"/>
                <w:sz w:val="21"/>
                <w:szCs w:val="21"/>
                <w:highlight w:val="none"/>
              </w:rPr>
              <w:t>0.</w:t>
            </w:r>
            <w:r>
              <w:rPr>
                <w:rFonts w:hint="default" w:ascii="Times New Roman" w:hAnsi="Times New Roman" w:eastAsia="仿宋_GB2312" w:cs="Times New Roman"/>
                <w:color w:val="auto"/>
                <w:sz w:val="21"/>
                <w:szCs w:val="21"/>
                <w:highlight w:val="none"/>
                <w:lang w:val="en-US" w:eastAsia="zh-CN"/>
              </w:rPr>
              <w:t>12</w:t>
            </w:r>
            <w:r>
              <w:rPr>
                <w:rFonts w:hint="default" w:ascii="Times New Roman" w:hAnsi="Times New Roman" w:eastAsia="仿宋_GB2312" w:cs="Times New Roman"/>
                <w:color w:val="auto"/>
                <w:sz w:val="21"/>
                <w:szCs w:val="21"/>
                <w:highlight w:val="none"/>
              </w:rPr>
              <w:t>hm²</w:t>
            </w:r>
          </w:p>
        </w:tc>
        <w:tc>
          <w:tcPr>
            <w:tcW w:w="2258" w:type="dxa"/>
            <w:gridSpan w:val="3"/>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rPr>
            </w:pPr>
            <w:r>
              <w:rPr>
                <w:rFonts w:hint="eastAsia" w:ascii="Times New Roman" w:hAnsi="Times New Roman" w:eastAsia="仿宋_GB2312" w:cs="Times New Roman"/>
                <w:color w:val="auto"/>
                <w:sz w:val="21"/>
                <w:szCs w:val="21"/>
                <w:lang w:val="en-US" w:eastAsia="zh-CN"/>
              </w:rPr>
              <w:t>方案新增：彩条布</w:t>
            </w:r>
            <w:r>
              <w:rPr>
                <w:rFonts w:hint="default" w:ascii="Times New Roman" w:hAnsi="Times New Roman" w:eastAsia="仿宋_GB2312" w:cs="Times New Roman"/>
                <w:color w:val="auto"/>
                <w:sz w:val="21"/>
                <w:szCs w:val="21"/>
              </w:rPr>
              <w:t>苫盖</w:t>
            </w:r>
            <w:r>
              <w:rPr>
                <w:rFonts w:hint="eastAsia" w:ascii="Times New Roman" w:hAnsi="Times New Roman" w:eastAsia="仿宋_GB2312" w:cs="Times New Roman"/>
                <w:color w:val="auto"/>
                <w:sz w:val="21"/>
                <w:szCs w:val="21"/>
                <w:lang w:val="en-US" w:eastAsia="zh-CN"/>
              </w:rPr>
              <w:t>510</w:t>
            </w:r>
            <w:r>
              <w:rPr>
                <w:rFonts w:hint="default" w:ascii="Times New Roman" w:hAnsi="Times New Roman" w:eastAsia="仿宋_GB2312" w:cs="Times New Roman"/>
                <w:color w:val="auto"/>
                <w:sz w:val="21"/>
                <w:szCs w:val="21"/>
                <w:lang w:val="en-US" w:eastAsia="zh-CN"/>
              </w:rPr>
              <w:t>0.00</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vertAlign w:val="superscript"/>
              </w:rPr>
              <w:t>2</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编织袋拦挡256.00m，</w:t>
            </w:r>
            <w:r>
              <w:rPr>
                <w:rFonts w:hint="default" w:ascii="Times New Roman" w:hAnsi="Times New Roman" w:eastAsia="仿宋_GB2312" w:cs="Times New Roman"/>
                <w:color w:val="auto"/>
                <w:sz w:val="21"/>
                <w:szCs w:val="21"/>
                <w:lang w:eastAsia="zh-CN"/>
              </w:rPr>
              <w:t>临时排水沟</w:t>
            </w:r>
            <w:r>
              <w:rPr>
                <w:rFonts w:hint="eastAsia" w:ascii="Times New Roman" w:hAnsi="Times New Roman" w:eastAsia="仿宋_GB2312" w:cs="Times New Roman"/>
                <w:color w:val="auto"/>
                <w:sz w:val="21"/>
                <w:szCs w:val="21"/>
                <w:lang w:val="en-US" w:eastAsia="zh-CN"/>
              </w:rPr>
              <w:t>2</w:t>
            </w:r>
            <w:r>
              <w:rPr>
                <w:rFonts w:hint="default" w:ascii="Times New Roman" w:hAnsi="Times New Roman" w:eastAsia="仿宋_GB2312" w:cs="Times New Roman"/>
                <w:color w:val="auto"/>
                <w:sz w:val="21"/>
                <w:szCs w:val="21"/>
                <w:lang w:val="en-US" w:eastAsia="zh-CN"/>
              </w:rPr>
              <w:t>09</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lang w:eastAsia="zh-CN"/>
              </w:rPr>
              <w:t>临时沉沙池</w:t>
            </w:r>
            <w:r>
              <w:rPr>
                <w:rFonts w:hint="default" w:ascii="Times New Roman" w:hAnsi="Times New Roman" w:eastAsia="仿宋_GB2312" w:cs="Times New Roman"/>
                <w:color w:val="auto"/>
                <w:sz w:val="21"/>
                <w:szCs w:val="21"/>
              </w:rPr>
              <w:t>1座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40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1579"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highlight w:val="none"/>
              </w:rPr>
              <w:t>施工生产生活区</w:t>
            </w:r>
          </w:p>
        </w:tc>
        <w:tc>
          <w:tcPr>
            <w:tcW w:w="1965" w:type="dxa"/>
            <w:gridSpan w:val="3"/>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highlight w:val="none"/>
                <w:lang w:val="en-US" w:eastAsia="zh-CN"/>
              </w:rPr>
              <w:t>主体设计</w:t>
            </w:r>
            <w:r>
              <w:rPr>
                <w:rFonts w:hint="eastAsia"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表土回覆0.</w:t>
            </w:r>
            <w:r>
              <w:rPr>
                <w:rFonts w:hint="eastAsia" w:ascii="Times New Roman" w:hAnsi="Times New Roman" w:eastAsia="仿宋_GB2312" w:cs="Times New Roman"/>
                <w:color w:val="auto"/>
                <w:sz w:val="21"/>
                <w:szCs w:val="21"/>
                <w:lang w:val="en-US" w:eastAsia="zh-CN"/>
              </w:rPr>
              <w:t>10</w:t>
            </w:r>
            <w:r>
              <w:rPr>
                <w:rFonts w:hint="default" w:ascii="Times New Roman" w:hAnsi="Times New Roman" w:eastAsia="仿宋_GB2312" w:cs="Times New Roman"/>
                <w:color w:val="auto"/>
                <w:sz w:val="21"/>
                <w:szCs w:val="21"/>
              </w:rPr>
              <w:t>万m</w:t>
            </w:r>
            <w:r>
              <w:rPr>
                <w:rFonts w:hint="default" w:ascii="Times New Roman" w:hAnsi="Times New Roman" w:eastAsia="仿宋_GB2312" w:cs="Times New Roman"/>
                <w:color w:val="auto"/>
                <w:sz w:val="21"/>
                <w:szCs w:val="21"/>
                <w:vertAlign w:val="superscript"/>
              </w:rPr>
              <w:t>3</w:t>
            </w:r>
            <w:r>
              <w:rPr>
                <w:rFonts w:hint="default"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val="en-US" w:eastAsia="zh-CN"/>
              </w:rPr>
              <w:t>土地整治0.34</w:t>
            </w:r>
            <w:r>
              <w:rPr>
                <w:rFonts w:hint="default" w:ascii="Times New Roman" w:hAnsi="Times New Roman" w:eastAsia="仿宋_GB2312" w:cs="Times New Roman"/>
                <w:color w:val="auto"/>
                <w:sz w:val="21"/>
                <w:szCs w:val="21"/>
                <w:highlight w:val="none"/>
              </w:rPr>
              <w:t>hm²</w:t>
            </w:r>
          </w:p>
        </w:tc>
        <w:tc>
          <w:tcPr>
            <w:tcW w:w="2982" w:type="dxa"/>
            <w:gridSpan w:val="6"/>
            <w:noWrap w:val="0"/>
            <w:tcMar>
              <w:top w:w="15" w:type="dxa"/>
              <w:left w:w="15" w:type="dxa"/>
              <w:right w:w="15" w:type="dxa"/>
            </w:tcMar>
            <w:vAlign w:val="center"/>
          </w:tcPr>
          <w:p>
            <w:pPr>
              <w:widowControl/>
              <w:spacing w:line="240" w:lineRule="auto"/>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1"/>
                <w:szCs w:val="21"/>
                <w:highlight w:val="none"/>
                <w:lang w:val="en-US" w:eastAsia="zh-CN"/>
              </w:rPr>
              <w:t>主体设计</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highlight w:val="none"/>
                <w:lang w:val="en-US" w:eastAsia="zh-CN"/>
              </w:rPr>
              <w:t>栽植灌木850株</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lang w:val="en-US" w:eastAsia="zh-CN"/>
              </w:rPr>
              <w:t>撒播草籽</w:t>
            </w:r>
            <w:r>
              <w:rPr>
                <w:rFonts w:hint="eastAsia" w:ascii="Times New Roman" w:hAnsi="Times New Roman" w:eastAsia="仿宋_GB2312" w:cs="Times New Roman"/>
                <w:color w:val="auto"/>
                <w:sz w:val="21"/>
                <w:szCs w:val="21"/>
                <w:highlight w:val="none"/>
                <w:lang w:val="en-US" w:eastAsia="zh-CN"/>
              </w:rPr>
              <w:t>0.34</w:t>
            </w:r>
            <w:r>
              <w:rPr>
                <w:rFonts w:hint="default" w:ascii="Times New Roman" w:hAnsi="Times New Roman" w:eastAsia="仿宋_GB2312" w:cs="Times New Roman"/>
                <w:color w:val="auto"/>
                <w:sz w:val="21"/>
                <w:szCs w:val="21"/>
                <w:highlight w:val="none"/>
              </w:rPr>
              <w:t>hm²</w:t>
            </w:r>
          </w:p>
        </w:tc>
        <w:tc>
          <w:tcPr>
            <w:tcW w:w="1532" w:type="dxa"/>
            <w:noWrap w:val="0"/>
            <w:tcMar>
              <w:top w:w="15" w:type="dxa"/>
              <w:left w:w="15" w:type="dxa"/>
              <w:right w:w="15" w:type="dxa"/>
            </w:tcMar>
            <w:vAlign w:val="center"/>
          </w:tcPr>
          <w:p>
            <w:pPr>
              <w:spacing w:line="240" w:lineRule="auto"/>
              <w:ind w:firstLine="0" w:firstLineChars="0"/>
              <w:jc w:val="both"/>
              <w:rPr>
                <w:rFonts w:hint="eastAsia" w:ascii="Times New Roman" w:hAnsi="Times New Roman" w:eastAsia="仿宋_GB2312" w:cs="Times New Roman"/>
                <w:color w:val="auto"/>
                <w:sz w:val="21"/>
                <w:szCs w:val="21"/>
                <w:lang w:eastAsia="zh-CN"/>
              </w:rPr>
            </w:pPr>
            <w:r>
              <w:rPr>
                <w:rFonts w:hint="eastAsia" w:ascii="Times New Roman" w:hAnsi="Times New Roman" w:eastAsia="仿宋_GB2312" w:cs="Times New Roman"/>
                <w:color w:val="auto"/>
                <w:sz w:val="21"/>
                <w:szCs w:val="21"/>
                <w:highlight w:val="none"/>
                <w:lang w:val="en-US" w:eastAsia="zh-CN"/>
              </w:rPr>
              <w:t>主体设计</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highlight w:val="none"/>
                <w:lang w:val="en-US" w:eastAsia="zh-CN"/>
              </w:rPr>
              <w:t>彩条布苫盖34</w:t>
            </w:r>
            <w:r>
              <w:rPr>
                <w:rFonts w:hint="default" w:ascii="Times New Roman" w:hAnsi="Times New Roman" w:eastAsia="仿宋_GB2312" w:cs="Times New Roman"/>
                <w:color w:val="auto"/>
                <w:sz w:val="21"/>
                <w:szCs w:val="21"/>
                <w:highlight w:val="none"/>
                <w:lang w:val="en-US" w:eastAsia="zh-CN"/>
              </w:rPr>
              <w:t>00.00</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rPr>
              <w:t>2</w:t>
            </w:r>
          </w:p>
          <w:p>
            <w:pPr>
              <w:spacing w:line="240" w:lineRule="auto"/>
              <w:ind w:firstLine="0" w:firstLineChars="0"/>
              <w:jc w:val="both"/>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方案新增：</w:t>
            </w:r>
            <w:r>
              <w:rPr>
                <w:rFonts w:hint="default" w:ascii="Times New Roman" w:hAnsi="Times New Roman" w:eastAsia="仿宋_GB2312" w:cs="Times New Roman"/>
                <w:color w:val="auto"/>
                <w:sz w:val="21"/>
                <w:szCs w:val="21"/>
                <w:lang w:eastAsia="zh-CN"/>
              </w:rPr>
              <w:t>编织袋拦挡</w:t>
            </w:r>
            <w:r>
              <w:rPr>
                <w:rFonts w:hint="default" w:ascii="Times New Roman" w:hAnsi="Times New Roman" w:eastAsia="仿宋_GB2312" w:cs="Times New Roman"/>
                <w:color w:val="auto"/>
                <w:sz w:val="21"/>
                <w:szCs w:val="21"/>
                <w:lang w:val="en-US" w:eastAsia="zh-CN"/>
              </w:rPr>
              <w:t>1</w:t>
            </w:r>
            <w:r>
              <w:rPr>
                <w:rFonts w:hint="eastAsia" w:ascii="Times New Roman" w:hAnsi="Times New Roman"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lang w:val="en-US" w:eastAsia="zh-CN"/>
              </w:rPr>
              <w:t>0.00</w:t>
            </w:r>
            <w:r>
              <w:rPr>
                <w:rFonts w:hint="default" w:ascii="Times New Roman" w:hAnsi="Times New Roman" w:eastAsia="仿宋_GB2312" w:cs="Times New Roman"/>
                <w:color w:val="auto"/>
                <w:sz w:val="21"/>
                <w:szCs w:val="21"/>
                <w:lang w:eastAsia="zh-CN"/>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40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1579"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施工电源区</w:t>
            </w:r>
          </w:p>
        </w:tc>
        <w:tc>
          <w:tcPr>
            <w:tcW w:w="1965" w:type="dxa"/>
            <w:gridSpan w:val="3"/>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方案新增：</w:t>
            </w:r>
            <w:r>
              <w:rPr>
                <w:rFonts w:hint="default" w:ascii="Times New Roman" w:hAnsi="Times New Roman" w:eastAsia="仿宋_GB2312" w:cs="Times New Roman"/>
                <w:color w:val="auto"/>
                <w:sz w:val="21"/>
                <w:szCs w:val="21"/>
                <w:highlight w:val="none"/>
                <w:lang w:val="en-US" w:eastAsia="zh-CN"/>
              </w:rPr>
              <w:t>复耕0.01</w:t>
            </w:r>
            <w:r>
              <w:rPr>
                <w:rFonts w:hint="default" w:ascii="Times New Roman" w:hAnsi="Times New Roman" w:eastAsia="仿宋_GB2312" w:cs="Times New Roman"/>
                <w:color w:val="auto"/>
                <w:sz w:val="21"/>
                <w:szCs w:val="21"/>
                <w:highlight w:val="none"/>
              </w:rPr>
              <w:t>hm²</w:t>
            </w:r>
          </w:p>
        </w:tc>
        <w:tc>
          <w:tcPr>
            <w:tcW w:w="2982" w:type="dxa"/>
            <w:gridSpan w:val="6"/>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eastAsia" w:ascii="Times New Roman" w:hAnsi="Times New Roman" w:eastAsia="仿宋_GB2312" w:cs="Times New Roman"/>
                <w:color w:val="auto"/>
                <w:sz w:val="21"/>
                <w:szCs w:val="21"/>
                <w:lang w:val="en-US" w:eastAsia="zh-CN"/>
              </w:rPr>
              <w:t>/</w:t>
            </w:r>
          </w:p>
        </w:tc>
        <w:tc>
          <w:tcPr>
            <w:tcW w:w="1532" w:type="dxa"/>
            <w:noWrap w:val="0"/>
            <w:tcMar>
              <w:top w:w="15" w:type="dxa"/>
              <w:left w:w="15" w:type="dxa"/>
              <w:right w:w="15" w:type="dxa"/>
            </w:tcMar>
            <w:vAlign w:val="center"/>
          </w:tcPr>
          <w:p>
            <w:pPr>
              <w:spacing w:line="240" w:lineRule="auto"/>
              <w:ind w:firstLine="0" w:firstLineChars="0"/>
              <w:jc w:val="both"/>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方案新增：</w:t>
            </w:r>
            <w:r>
              <w:rPr>
                <w:rFonts w:hint="default" w:ascii="Times New Roman" w:hAnsi="Times New Roman" w:eastAsia="仿宋_GB2312" w:cs="Times New Roman"/>
                <w:color w:val="auto"/>
                <w:sz w:val="21"/>
                <w:szCs w:val="21"/>
                <w:highlight w:val="none"/>
                <w:lang w:val="en-US" w:eastAsia="zh-CN"/>
              </w:rPr>
              <w:t>彩条布</w:t>
            </w:r>
            <w:r>
              <w:rPr>
                <w:rFonts w:hint="default" w:ascii="Times New Roman" w:hAnsi="Times New Roman" w:eastAsia="仿宋_GB2312" w:cs="Times New Roman"/>
                <w:color w:val="auto"/>
                <w:sz w:val="21"/>
                <w:szCs w:val="21"/>
                <w:highlight w:val="none"/>
              </w:rPr>
              <w:t>铺垫</w:t>
            </w:r>
            <w:r>
              <w:rPr>
                <w:rFonts w:hint="eastAsia" w:ascii="Times New Roman" w:hAnsi="Times New Roman" w:eastAsia="仿宋_GB2312" w:cs="Times New Roman"/>
                <w:color w:val="auto"/>
                <w:sz w:val="21"/>
                <w:szCs w:val="21"/>
                <w:highlight w:val="none"/>
                <w:lang w:val="en-US" w:eastAsia="zh-CN"/>
              </w:rPr>
              <w:t>9</w:t>
            </w:r>
            <w:r>
              <w:rPr>
                <w:rFonts w:hint="default" w:ascii="Times New Roman" w:hAnsi="Times New Roman" w:eastAsia="仿宋_GB2312" w:cs="Times New Roman"/>
                <w:color w:val="auto"/>
                <w:sz w:val="21"/>
                <w:szCs w:val="21"/>
                <w:highlight w:val="none"/>
                <w:lang w:val="en-US" w:eastAsia="zh-CN"/>
              </w:rPr>
              <w:t>0.00</w:t>
            </w:r>
            <w:r>
              <w:rPr>
                <w:rFonts w:hint="default" w:ascii="Times New Roman" w:hAnsi="Times New Roman" w:eastAsia="仿宋_GB2312" w:cs="Times New Roman"/>
                <w:color w:val="auto"/>
                <w:sz w:val="21"/>
                <w:szCs w:val="21"/>
                <w:highlight w:val="none"/>
              </w:rPr>
              <w:t>m²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40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1579"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河道改道区</w:t>
            </w:r>
          </w:p>
        </w:tc>
        <w:tc>
          <w:tcPr>
            <w:tcW w:w="1965" w:type="dxa"/>
            <w:gridSpan w:val="3"/>
            <w:noWrap w:val="0"/>
            <w:tcMar>
              <w:top w:w="15" w:type="dxa"/>
              <w:left w:w="15" w:type="dxa"/>
              <w:right w:w="15" w:type="dxa"/>
            </w:tcMar>
            <w:vAlign w:val="center"/>
          </w:tcPr>
          <w:p>
            <w:pPr>
              <w:widowControl/>
              <w:spacing w:line="240" w:lineRule="auto"/>
              <w:ind w:firstLine="0" w:firstLineChars="0"/>
              <w:jc w:val="both"/>
              <w:textAlignment w:val="center"/>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highlight w:val="none"/>
                <w:lang w:val="en-US" w:eastAsia="zh-CN"/>
              </w:rPr>
              <w:t>主体设计</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lang w:val="en-US" w:eastAsia="zh-CN"/>
              </w:rPr>
              <w:t>表土剥离0.12</w:t>
            </w:r>
            <w:r>
              <w:rPr>
                <w:rFonts w:hint="default" w:ascii="Times New Roman" w:hAnsi="Times New Roman" w:eastAsia="仿宋_GB2312" w:cs="Times New Roman"/>
                <w:color w:val="auto"/>
                <w:sz w:val="21"/>
                <w:szCs w:val="21"/>
              </w:rPr>
              <w:t>万m</w:t>
            </w:r>
            <w:r>
              <w:rPr>
                <w:rFonts w:hint="default" w:ascii="Times New Roman" w:hAnsi="Times New Roman" w:eastAsia="仿宋_GB2312" w:cs="Times New Roman"/>
                <w:color w:val="auto"/>
                <w:sz w:val="21"/>
                <w:szCs w:val="21"/>
                <w:vertAlign w:val="superscript"/>
              </w:rPr>
              <w:t>3</w:t>
            </w:r>
            <w:r>
              <w:rPr>
                <w:rFonts w:hint="default"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val="en-US" w:eastAsia="zh-CN"/>
              </w:rPr>
              <w:t>表土回覆0.10</w:t>
            </w:r>
            <w:r>
              <w:rPr>
                <w:rFonts w:hint="default" w:ascii="Times New Roman" w:hAnsi="Times New Roman" w:eastAsia="仿宋_GB2312" w:cs="Times New Roman"/>
                <w:color w:val="auto"/>
                <w:sz w:val="21"/>
                <w:szCs w:val="21"/>
              </w:rPr>
              <w:t>万m</w:t>
            </w:r>
            <w:r>
              <w:rPr>
                <w:rFonts w:hint="default" w:ascii="Times New Roman" w:hAnsi="Times New Roman" w:eastAsia="仿宋_GB2312" w:cs="Times New Roman"/>
                <w:color w:val="auto"/>
                <w:sz w:val="21"/>
                <w:szCs w:val="21"/>
                <w:vertAlign w:val="superscript"/>
              </w:rPr>
              <w:t>3</w:t>
            </w:r>
            <w:r>
              <w:rPr>
                <w:rFonts w:hint="eastAsia" w:ascii="Times New Roman" w:hAnsi="Times New Roman" w:eastAsia="仿宋_GB2312" w:cs="Times New Roman"/>
                <w:color w:val="auto"/>
                <w:sz w:val="21"/>
                <w:szCs w:val="21"/>
                <w:lang w:val="en-US" w:eastAsia="zh-CN"/>
              </w:rPr>
              <w:t>，复耕0.19</w:t>
            </w:r>
            <w:r>
              <w:rPr>
                <w:rFonts w:hint="default" w:ascii="Times New Roman" w:hAnsi="Times New Roman" w:eastAsia="仿宋_GB2312" w:cs="Times New Roman"/>
                <w:color w:val="auto"/>
                <w:sz w:val="21"/>
                <w:szCs w:val="21"/>
                <w:highlight w:val="none"/>
              </w:rPr>
              <w:t>hm²</w:t>
            </w:r>
          </w:p>
        </w:tc>
        <w:tc>
          <w:tcPr>
            <w:tcW w:w="2982" w:type="dxa"/>
            <w:gridSpan w:val="6"/>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w:t>
            </w:r>
          </w:p>
        </w:tc>
        <w:tc>
          <w:tcPr>
            <w:tcW w:w="1532" w:type="dxa"/>
            <w:noWrap w:val="0"/>
            <w:tcMar>
              <w:top w:w="15" w:type="dxa"/>
              <w:left w:w="15" w:type="dxa"/>
              <w:right w:w="15" w:type="dxa"/>
            </w:tcMar>
            <w:vAlign w:val="center"/>
          </w:tcPr>
          <w:p>
            <w:pPr>
              <w:spacing w:line="240" w:lineRule="auto"/>
              <w:ind w:firstLine="0" w:firstLineChars="0"/>
              <w:jc w:val="both"/>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主体设计：彩条布</w:t>
            </w:r>
            <w:r>
              <w:rPr>
                <w:rFonts w:hint="default" w:ascii="Times New Roman" w:hAnsi="Times New Roman" w:eastAsia="仿宋_GB2312" w:cs="Times New Roman"/>
                <w:color w:val="auto"/>
                <w:sz w:val="21"/>
                <w:szCs w:val="21"/>
                <w:highlight w:val="none"/>
              </w:rPr>
              <w:t>苫盖</w:t>
            </w:r>
            <w:r>
              <w:rPr>
                <w:rFonts w:hint="eastAsia" w:ascii="Times New Roman" w:hAnsi="Times New Roman" w:eastAsia="仿宋_GB2312" w:cs="Times New Roman"/>
                <w:color w:val="auto"/>
                <w:sz w:val="21"/>
                <w:szCs w:val="21"/>
                <w:highlight w:val="none"/>
                <w:lang w:val="en-US" w:eastAsia="zh-CN"/>
              </w:rPr>
              <w:t>250</w:t>
            </w:r>
            <w:r>
              <w:rPr>
                <w:rFonts w:hint="default" w:ascii="Times New Roman" w:hAnsi="Times New Roman" w:eastAsia="仿宋_GB2312" w:cs="Times New Roman"/>
                <w:color w:val="auto"/>
                <w:sz w:val="21"/>
                <w:szCs w:val="21"/>
                <w:highlight w:val="none"/>
              </w:rPr>
              <w:t>0</w:t>
            </w:r>
            <w:r>
              <w:rPr>
                <w:rFonts w:hint="default" w:ascii="Times New Roman" w:hAnsi="Times New Roman" w:eastAsia="仿宋_GB2312" w:cs="Times New Roman"/>
                <w:color w:val="auto"/>
                <w:sz w:val="21"/>
                <w:szCs w:val="21"/>
                <w:highlight w:val="none"/>
                <w:lang w:val="en-US" w:eastAsia="zh-CN"/>
              </w:rPr>
              <w:t>.00</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40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1579"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间隔扩建区</w:t>
            </w:r>
          </w:p>
        </w:tc>
        <w:tc>
          <w:tcPr>
            <w:tcW w:w="1965" w:type="dxa"/>
            <w:gridSpan w:val="3"/>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主体设计：恢复碎石压盖750</w:t>
            </w:r>
            <w:r>
              <w:rPr>
                <w:rFonts w:hint="default" w:ascii="Times New Roman" w:hAnsi="Times New Roman" w:eastAsia="仿宋_GB2312" w:cs="Times New Roman"/>
                <w:color w:val="auto"/>
                <w:sz w:val="21"/>
                <w:szCs w:val="21"/>
                <w:lang w:val="en-US" w:eastAsia="zh-CN"/>
              </w:rPr>
              <w:t>m</w:t>
            </w:r>
            <w:r>
              <w:rPr>
                <w:rFonts w:hint="default" w:ascii="Times New Roman" w:hAnsi="Times New Roman" w:eastAsia="仿宋_GB2312" w:cs="Times New Roman"/>
                <w:color w:val="auto"/>
                <w:sz w:val="21"/>
                <w:szCs w:val="21"/>
                <w:vertAlign w:val="superscript"/>
                <w:lang w:val="en-US" w:eastAsia="zh-CN"/>
              </w:rPr>
              <w:t>2</w:t>
            </w:r>
            <w:r>
              <w:rPr>
                <w:rFonts w:hint="eastAsia" w:ascii="Times New Roman" w:hAnsi="Times New Roman" w:eastAsia="仿宋_GB2312" w:cs="Times New Roman"/>
                <w:color w:val="auto"/>
                <w:sz w:val="21"/>
                <w:szCs w:val="21"/>
                <w:lang w:val="en-US" w:eastAsia="zh-CN"/>
              </w:rPr>
              <w:t>，恢复透水砖铺装150</w:t>
            </w:r>
            <w:r>
              <w:rPr>
                <w:rFonts w:hint="default" w:ascii="Times New Roman" w:hAnsi="Times New Roman" w:eastAsia="仿宋_GB2312" w:cs="Times New Roman"/>
                <w:color w:val="auto"/>
                <w:sz w:val="21"/>
                <w:szCs w:val="21"/>
                <w:highlight w:val="none"/>
              </w:rPr>
              <w:t>m²</w:t>
            </w:r>
          </w:p>
        </w:tc>
        <w:tc>
          <w:tcPr>
            <w:tcW w:w="2982" w:type="dxa"/>
            <w:gridSpan w:val="6"/>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w:t>
            </w:r>
          </w:p>
        </w:tc>
        <w:tc>
          <w:tcPr>
            <w:tcW w:w="1532" w:type="dxa"/>
            <w:noWrap w:val="0"/>
            <w:tcMar>
              <w:top w:w="15" w:type="dxa"/>
              <w:left w:w="15" w:type="dxa"/>
              <w:right w:w="15" w:type="dxa"/>
            </w:tcMar>
            <w:vAlign w:val="center"/>
          </w:tcPr>
          <w:p>
            <w:pPr>
              <w:spacing w:line="240" w:lineRule="auto"/>
              <w:ind w:firstLine="0" w:firstLineChars="0"/>
              <w:jc w:val="both"/>
              <w:rPr>
                <w:rFonts w:hint="default"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方案新增：彩条布</w:t>
            </w:r>
            <w:r>
              <w:rPr>
                <w:rFonts w:hint="default" w:ascii="Times New Roman" w:hAnsi="Times New Roman" w:eastAsia="仿宋_GB2312" w:cs="Times New Roman"/>
                <w:color w:val="auto"/>
                <w:sz w:val="21"/>
                <w:szCs w:val="21"/>
                <w:highlight w:val="none"/>
              </w:rPr>
              <w:t>苫盖</w:t>
            </w:r>
            <w:r>
              <w:rPr>
                <w:rFonts w:hint="eastAsia" w:ascii="Times New Roman" w:hAnsi="Times New Roman" w:eastAsia="仿宋_GB2312" w:cs="Times New Roman"/>
                <w:color w:val="auto"/>
                <w:sz w:val="21"/>
                <w:szCs w:val="21"/>
                <w:highlight w:val="none"/>
                <w:lang w:val="en-US" w:eastAsia="zh-CN"/>
              </w:rPr>
              <w:t>3</w:t>
            </w:r>
            <w:r>
              <w:rPr>
                <w:rFonts w:hint="default" w:ascii="Times New Roman" w:hAnsi="Times New Roman" w:eastAsia="仿宋_GB2312"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rPr>
              <w:t>0</w:t>
            </w:r>
            <w:r>
              <w:rPr>
                <w:rFonts w:hint="default" w:ascii="Times New Roman" w:hAnsi="Times New Roman" w:eastAsia="仿宋_GB2312" w:cs="Times New Roman"/>
                <w:color w:val="auto"/>
                <w:sz w:val="21"/>
                <w:szCs w:val="21"/>
                <w:highlight w:val="none"/>
                <w:lang w:val="en-US" w:eastAsia="zh-CN"/>
              </w:rPr>
              <w:t>.00</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404" w:type="dxa"/>
            <w:vMerge w:val="restart"/>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r>
              <w:rPr>
                <w:rFonts w:hint="default" w:ascii="Times New Roman" w:hAnsi="Times New Roman" w:eastAsia="仿宋_GB2312" w:cs="Times New Roman"/>
                <w:color w:val="auto"/>
                <w:kern w:val="0"/>
                <w:sz w:val="21"/>
                <w:szCs w:val="21"/>
                <w:lang w:val="en-US" w:eastAsia="zh-CN" w:bidi="ar"/>
              </w:rPr>
              <w:t>输电线路</w:t>
            </w:r>
            <w:r>
              <w:rPr>
                <w:rFonts w:hint="eastAsia" w:ascii="Times New Roman" w:hAnsi="Times New Roman" w:eastAsia="仿宋_GB2312" w:cs="Times New Roman"/>
                <w:color w:val="auto"/>
                <w:kern w:val="0"/>
                <w:sz w:val="21"/>
                <w:szCs w:val="21"/>
                <w:lang w:val="en-US" w:eastAsia="zh-CN" w:bidi="ar"/>
              </w:rPr>
              <w:t>防治</w:t>
            </w:r>
            <w:r>
              <w:rPr>
                <w:rFonts w:hint="default" w:ascii="Times New Roman" w:hAnsi="Times New Roman" w:eastAsia="仿宋_GB2312" w:cs="Times New Roman"/>
                <w:color w:val="auto"/>
                <w:kern w:val="0"/>
                <w:sz w:val="21"/>
                <w:szCs w:val="21"/>
                <w:lang w:val="en-US" w:eastAsia="zh-CN" w:bidi="ar"/>
              </w:rPr>
              <w:t>区</w:t>
            </w:r>
          </w:p>
        </w:tc>
        <w:tc>
          <w:tcPr>
            <w:tcW w:w="1579"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sz w:val="21"/>
                <w:szCs w:val="21"/>
              </w:rPr>
              <w:t>塔基及施工场地区</w:t>
            </w:r>
          </w:p>
        </w:tc>
        <w:tc>
          <w:tcPr>
            <w:tcW w:w="1965" w:type="dxa"/>
            <w:gridSpan w:val="3"/>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主体设计：</w:t>
            </w:r>
            <w:r>
              <w:rPr>
                <w:rFonts w:hint="default" w:ascii="Times New Roman" w:hAnsi="Times New Roman" w:eastAsia="仿宋_GB2312" w:cs="Times New Roman"/>
                <w:color w:val="auto"/>
                <w:sz w:val="21"/>
                <w:szCs w:val="21"/>
              </w:rPr>
              <w:t>浆砌石排水沟</w:t>
            </w:r>
            <w:r>
              <w:rPr>
                <w:rFonts w:hint="eastAsia" w:ascii="Times New Roman" w:hAnsi="Times New Roman" w:eastAsia="仿宋_GB2312" w:cs="Times New Roman"/>
                <w:color w:val="auto"/>
                <w:sz w:val="21"/>
                <w:szCs w:val="21"/>
                <w:lang w:val="en-US" w:eastAsia="zh-CN"/>
              </w:rPr>
              <w:t>359</w:t>
            </w:r>
            <w:r>
              <w:rPr>
                <w:rFonts w:hint="default" w:ascii="Times New Roman" w:hAnsi="Times New Roman" w:eastAsia="仿宋_GB2312" w:cs="Times New Roman"/>
                <w:color w:val="auto"/>
                <w:sz w:val="21"/>
                <w:szCs w:val="21"/>
                <w:lang w:val="en-US" w:eastAsia="zh-CN"/>
              </w:rPr>
              <w:t>.00</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lang w:val="en-US" w:eastAsia="zh-CN"/>
              </w:rPr>
              <w:t>堡坎</w:t>
            </w:r>
            <w:r>
              <w:rPr>
                <w:rFonts w:hint="eastAsia" w:ascii="Times New Roman" w:hAnsi="Times New Roman" w:eastAsia="仿宋_GB2312" w:cs="Times New Roman"/>
                <w:color w:val="auto"/>
                <w:sz w:val="21"/>
                <w:szCs w:val="21"/>
                <w:lang w:val="en-US" w:eastAsia="zh-CN"/>
              </w:rPr>
              <w:t>184</w:t>
            </w:r>
            <w:r>
              <w:rPr>
                <w:rFonts w:hint="default" w:ascii="Times New Roman" w:hAnsi="Times New Roman" w:eastAsia="仿宋_GB2312" w:cs="Times New Roman"/>
                <w:color w:val="auto"/>
                <w:sz w:val="21"/>
                <w:szCs w:val="21"/>
                <w:lang w:val="en-US" w:eastAsia="zh-CN"/>
              </w:rPr>
              <w:t>.00</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vertAlign w:val="superscript"/>
              </w:rPr>
              <w:t>3</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表土剥离</w:t>
            </w:r>
            <w:r>
              <w:rPr>
                <w:rFonts w:hint="default" w:ascii="Times New Roman" w:hAnsi="Times New Roman" w:eastAsia="仿宋_GB2312" w:cs="Times New Roman"/>
                <w:color w:val="auto"/>
                <w:sz w:val="21"/>
                <w:szCs w:val="21"/>
                <w:highlight w:val="none"/>
                <w:lang w:val="en-US" w:eastAsia="zh-CN"/>
              </w:rPr>
              <w:t>0</w:t>
            </w:r>
            <w:r>
              <w:rPr>
                <w:rFonts w:hint="eastAsia" w:ascii="Times New Roman" w:hAnsi="Times New Roman" w:eastAsia="仿宋_GB2312" w:cs="Times New Roman"/>
                <w:color w:val="auto"/>
                <w:sz w:val="21"/>
                <w:szCs w:val="21"/>
                <w:highlight w:val="none"/>
                <w:lang w:val="en-US" w:eastAsia="zh-CN"/>
              </w:rPr>
              <w:t>.59</w:t>
            </w:r>
            <w:r>
              <w:rPr>
                <w:rFonts w:hint="default" w:ascii="Times New Roman" w:hAnsi="Times New Roman" w:eastAsia="仿宋_GB2312" w:cs="Times New Roman"/>
                <w:color w:val="auto"/>
                <w:sz w:val="21"/>
                <w:szCs w:val="21"/>
                <w:highlight w:val="none"/>
                <w:lang w:val="en-US" w:eastAsia="zh-CN"/>
              </w:rPr>
              <w:t>万</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lang w:val="en-US" w:eastAsia="zh-CN"/>
              </w:rPr>
              <w:t>3</w:t>
            </w:r>
            <w:r>
              <w:rPr>
                <w:rFonts w:hint="default" w:ascii="Times New Roman" w:hAnsi="Times New Roman" w:eastAsia="仿宋_GB2312" w:cs="Times New Roman"/>
                <w:color w:val="auto"/>
                <w:sz w:val="21"/>
                <w:szCs w:val="21"/>
                <w:highlight w:val="none"/>
              </w:rPr>
              <w:t>，表土回覆</w:t>
            </w:r>
            <w:r>
              <w:rPr>
                <w:rFonts w:hint="default" w:ascii="Times New Roman" w:hAnsi="Times New Roman" w:eastAsia="仿宋_GB2312" w:cs="Times New Roman"/>
                <w:color w:val="auto"/>
                <w:sz w:val="21"/>
                <w:szCs w:val="21"/>
                <w:highlight w:val="none"/>
                <w:lang w:val="en-US" w:eastAsia="zh-CN"/>
              </w:rPr>
              <w:t>0</w:t>
            </w:r>
            <w:r>
              <w:rPr>
                <w:rFonts w:hint="eastAsia" w:ascii="Times New Roman" w:hAnsi="Times New Roman" w:eastAsia="仿宋_GB2312" w:cs="Times New Roman"/>
                <w:color w:val="auto"/>
                <w:sz w:val="21"/>
                <w:szCs w:val="21"/>
                <w:highlight w:val="none"/>
                <w:lang w:val="en-US" w:eastAsia="zh-CN"/>
              </w:rPr>
              <w:t>.59</w:t>
            </w:r>
            <w:r>
              <w:rPr>
                <w:rFonts w:hint="default" w:ascii="Times New Roman" w:hAnsi="Times New Roman" w:eastAsia="仿宋_GB2312" w:cs="Times New Roman"/>
                <w:color w:val="auto"/>
                <w:sz w:val="21"/>
                <w:szCs w:val="21"/>
                <w:highlight w:val="none"/>
              </w:rPr>
              <w:t>万m</w:t>
            </w:r>
            <w:r>
              <w:rPr>
                <w:rFonts w:hint="default" w:ascii="Times New Roman" w:hAnsi="Times New Roman" w:eastAsia="仿宋_GB2312" w:cs="Times New Roman"/>
                <w:color w:val="auto"/>
                <w:sz w:val="21"/>
                <w:szCs w:val="21"/>
                <w:highlight w:val="none"/>
                <w:vertAlign w:val="superscript"/>
              </w:rPr>
              <w:t>3</w:t>
            </w: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z w:val="21"/>
                <w:szCs w:val="21"/>
                <w:highlight w:val="none"/>
                <w:lang w:val="en-US" w:eastAsia="zh-CN"/>
              </w:rPr>
              <w:t>复耕2.</w:t>
            </w:r>
            <w:r>
              <w:rPr>
                <w:rFonts w:hint="eastAsia" w:ascii="Times New Roman" w:hAnsi="Times New Roman" w:eastAsia="仿宋_GB2312" w:cs="Times New Roman"/>
                <w:color w:val="auto"/>
                <w:sz w:val="21"/>
                <w:szCs w:val="21"/>
                <w:highlight w:val="none"/>
                <w:lang w:val="en-US" w:eastAsia="zh-CN"/>
              </w:rPr>
              <w:t>51</w:t>
            </w:r>
            <w:r>
              <w:rPr>
                <w:rFonts w:hint="default" w:ascii="Times New Roman" w:hAnsi="Times New Roman" w:eastAsia="仿宋_GB2312" w:cs="Times New Roman"/>
                <w:color w:val="auto"/>
                <w:sz w:val="21"/>
                <w:szCs w:val="21"/>
                <w:highlight w:val="none"/>
              </w:rPr>
              <w:t>hm</w:t>
            </w:r>
            <w:r>
              <w:rPr>
                <w:rFonts w:hint="default" w:ascii="Times New Roman" w:hAnsi="Times New Roman" w:eastAsia="仿宋_GB2312" w:cs="Times New Roman"/>
                <w:color w:val="auto"/>
                <w:sz w:val="21"/>
                <w:szCs w:val="21"/>
                <w:highlight w:val="none"/>
                <w:vertAlign w:val="superscript"/>
              </w:rPr>
              <w:t>2</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rPr>
              <w:t>土地整治</w:t>
            </w:r>
            <w:r>
              <w:rPr>
                <w:rFonts w:hint="eastAsia" w:ascii="Times New Roman" w:hAnsi="Times New Roman" w:eastAsia="仿宋_GB2312" w:cs="Times New Roman"/>
                <w:color w:val="auto"/>
                <w:sz w:val="21"/>
                <w:szCs w:val="21"/>
                <w:highlight w:val="none"/>
                <w:lang w:val="en-US" w:eastAsia="zh-CN"/>
              </w:rPr>
              <w:t>3.20</w:t>
            </w:r>
            <w:r>
              <w:rPr>
                <w:rFonts w:hint="default" w:ascii="Times New Roman" w:hAnsi="Times New Roman" w:eastAsia="仿宋_GB2312" w:cs="Times New Roman"/>
                <w:color w:val="auto"/>
                <w:sz w:val="21"/>
                <w:szCs w:val="21"/>
                <w:highlight w:val="none"/>
              </w:rPr>
              <w:t>hm</w:t>
            </w:r>
            <w:r>
              <w:rPr>
                <w:rFonts w:hint="default" w:ascii="Times New Roman" w:hAnsi="Times New Roman" w:eastAsia="仿宋_GB2312" w:cs="Times New Roman"/>
                <w:color w:val="auto"/>
                <w:sz w:val="21"/>
                <w:szCs w:val="21"/>
                <w:highlight w:val="none"/>
                <w:vertAlign w:val="superscript"/>
              </w:rPr>
              <w:t>2</w:t>
            </w:r>
          </w:p>
        </w:tc>
        <w:tc>
          <w:tcPr>
            <w:tcW w:w="2982" w:type="dxa"/>
            <w:gridSpan w:val="6"/>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sz w:val="24"/>
                <w:szCs w:val="24"/>
                <w:lang w:val="en-US" w:eastAsia="zh-CN"/>
              </w:rPr>
            </w:pPr>
            <w:r>
              <w:rPr>
                <w:rFonts w:ascii="Times New Roman" w:hAnsi="Times New Roman" w:eastAsia="仿宋_GB2312" w:cs="Times New Roman"/>
                <w:color w:val="auto"/>
                <w:spacing w:val="-2"/>
                <w:sz w:val="21"/>
                <w:szCs w:val="21"/>
              </w:rPr>
              <w:t>主体设计：</w:t>
            </w:r>
            <w:r>
              <w:rPr>
                <w:rFonts w:hint="eastAsia" w:ascii="Times New Roman" w:hAnsi="Times New Roman" w:eastAsia="仿宋_GB2312" w:cs="Times New Roman"/>
                <w:color w:val="auto"/>
                <w:sz w:val="21"/>
                <w:szCs w:val="21"/>
                <w:highlight w:val="none"/>
                <w:lang w:eastAsia="zh-CN"/>
              </w:rPr>
              <w:t>栽植灌木</w:t>
            </w:r>
            <w:r>
              <w:rPr>
                <w:rFonts w:hint="eastAsia" w:ascii="Times New Roman" w:hAnsi="Times New Roman" w:eastAsia="仿宋_GB2312" w:cs="Times New Roman"/>
                <w:color w:val="auto"/>
                <w:sz w:val="21"/>
                <w:szCs w:val="21"/>
                <w:highlight w:val="none"/>
                <w:lang w:val="en-US" w:eastAsia="zh-CN"/>
              </w:rPr>
              <w:t>2750株</w:t>
            </w:r>
            <w:r>
              <w:rPr>
                <w:rFonts w:hint="default" w:ascii="Times New Roman" w:hAnsi="Times New Roman" w:eastAsia="仿宋_GB2312" w:cs="Times New Roman"/>
                <w:color w:val="auto"/>
                <w:sz w:val="21"/>
                <w:szCs w:val="21"/>
                <w:highlight w:val="none"/>
              </w:rPr>
              <w:t>，</w:t>
            </w:r>
            <w:r>
              <w:rPr>
                <w:rFonts w:hint="eastAsia" w:ascii="Times New Roman" w:hAnsi="Times New Roman" w:eastAsia="仿宋_GB2312" w:cs="Times New Roman"/>
                <w:color w:val="auto"/>
                <w:sz w:val="21"/>
                <w:szCs w:val="21"/>
                <w:highlight w:val="none"/>
                <w:lang w:eastAsia="zh-CN"/>
              </w:rPr>
              <w:t>撒播草籽</w:t>
            </w:r>
            <w:r>
              <w:rPr>
                <w:rFonts w:hint="eastAsia" w:ascii="Times New Roman" w:hAnsi="Times New Roman" w:eastAsia="仿宋_GB2312" w:cs="Times New Roman"/>
                <w:color w:val="auto"/>
                <w:sz w:val="21"/>
                <w:szCs w:val="21"/>
                <w:highlight w:val="none"/>
                <w:lang w:val="en-US" w:eastAsia="zh-CN"/>
              </w:rPr>
              <w:t>3.20</w:t>
            </w:r>
            <w:r>
              <w:rPr>
                <w:rFonts w:hint="default" w:ascii="Times New Roman" w:hAnsi="Times New Roman" w:eastAsia="仿宋_GB2312" w:cs="Times New Roman"/>
                <w:color w:val="auto"/>
                <w:sz w:val="21"/>
                <w:szCs w:val="21"/>
                <w:highlight w:val="none"/>
              </w:rPr>
              <w:t>hm</w:t>
            </w:r>
            <w:r>
              <w:rPr>
                <w:rFonts w:hint="default" w:ascii="Times New Roman" w:hAnsi="Times New Roman" w:eastAsia="仿宋_GB2312" w:cs="Times New Roman"/>
                <w:color w:val="auto"/>
                <w:sz w:val="21"/>
                <w:szCs w:val="21"/>
                <w:highlight w:val="none"/>
                <w:vertAlign w:val="superscript"/>
              </w:rPr>
              <w:t>2</w:t>
            </w:r>
          </w:p>
        </w:tc>
        <w:tc>
          <w:tcPr>
            <w:tcW w:w="1532" w:type="dxa"/>
            <w:noWrap w:val="0"/>
            <w:tcMar>
              <w:top w:w="15" w:type="dxa"/>
              <w:left w:w="15" w:type="dxa"/>
              <w:right w:w="15" w:type="dxa"/>
            </w:tcMar>
            <w:vAlign w:val="center"/>
          </w:tcPr>
          <w:p>
            <w:pPr>
              <w:spacing w:line="240" w:lineRule="auto"/>
              <w:ind w:firstLine="0" w:firstLineChars="0"/>
              <w:jc w:val="both"/>
              <w:rPr>
                <w:rFonts w:hint="default" w:ascii="Times New Roman" w:hAnsi="Times New Roman" w:eastAsia="仿宋_GB2312" w:cs="Times New Roman"/>
                <w:color w:val="auto"/>
                <w:sz w:val="21"/>
                <w:szCs w:val="21"/>
                <w:vertAlign w:val="superscript"/>
              </w:rPr>
            </w:pPr>
            <w:r>
              <w:rPr>
                <w:rFonts w:hint="eastAsia" w:ascii="Times New Roman" w:hAnsi="Times New Roman" w:eastAsia="仿宋_GB2312" w:cs="Times New Roman"/>
                <w:color w:val="auto"/>
                <w:sz w:val="21"/>
                <w:szCs w:val="21"/>
                <w:lang w:val="en-US" w:eastAsia="zh-CN"/>
              </w:rPr>
              <w:t>主体设计：</w:t>
            </w:r>
            <w:r>
              <w:rPr>
                <w:rFonts w:hint="default" w:ascii="Times New Roman" w:hAnsi="Times New Roman" w:eastAsia="仿宋_GB2312" w:cs="Times New Roman"/>
                <w:color w:val="auto"/>
                <w:sz w:val="21"/>
                <w:szCs w:val="21"/>
              </w:rPr>
              <w:t>彩条布铺垫</w:t>
            </w:r>
            <w:r>
              <w:rPr>
                <w:rFonts w:hint="eastAsia" w:ascii="Times New Roman" w:hAnsi="Times New Roman" w:eastAsia="仿宋_GB2312" w:cs="Times New Roman"/>
                <w:color w:val="auto"/>
                <w:sz w:val="21"/>
                <w:szCs w:val="21"/>
                <w:lang w:val="en-US" w:eastAsia="zh-CN"/>
              </w:rPr>
              <w:t>36150.00</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vertAlign w:val="superscript"/>
              </w:rPr>
              <w:t>2</w:t>
            </w:r>
          </w:p>
          <w:p>
            <w:pPr>
              <w:spacing w:line="240" w:lineRule="auto"/>
              <w:ind w:firstLine="0" w:firstLineChars="0"/>
              <w:jc w:val="both"/>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方案新增：</w:t>
            </w:r>
            <w:r>
              <w:rPr>
                <w:rFonts w:hint="default" w:ascii="Times New Roman" w:hAnsi="Times New Roman" w:eastAsia="仿宋_GB2312" w:cs="Times New Roman"/>
                <w:color w:val="auto"/>
                <w:sz w:val="21"/>
                <w:szCs w:val="21"/>
                <w:lang w:eastAsia="zh-CN"/>
              </w:rPr>
              <w:t>编织袋拦挡</w:t>
            </w:r>
            <w:r>
              <w:rPr>
                <w:rFonts w:hint="default" w:ascii="Times New Roman" w:hAnsi="Times New Roman" w:eastAsia="仿宋_GB2312" w:cs="Times New Roman"/>
                <w:color w:val="auto"/>
                <w:sz w:val="21"/>
                <w:szCs w:val="21"/>
                <w:lang w:val="en-US" w:eastAsia="zh-CN"/>
              </w:rPr>
              <w:t>1206.00</w:t>
            </w:r>
            <w:r>
              <w:rPr>
                <w:rFonts w:hint="default" w:ascii="Times New Roman" w:hAnsi="Times New Roman" w:eastAsia="仿宋_GB2312" w:cs="Times New Roman"/>
                <w:color w:val="auto"/>
                <w:sz w:val="21"/>
                <w:szCs w:val="21"/>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40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1579"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牵张场区</w:t>
            </w:r>
          </w:p>
        </w:tc>
        <w:tc>
          <w:tcPr>
            <w:tcW w:w="1965" w:type="dxa"/>
            <w:gridSpan w:val="3"/>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主体设计：</w:t>
            </w:r>
            <w:r>
              <w:rPr>
                <w:rFonts w:hint="default" w:ascii="Times New Roman" w:hAnsi="Times New Roman" w:eastAsia="仿宋_GB2312" w:cs="Times New Roman"/>
                <w:color w:val="auto"/>
                <w:sz w:val="21"/>
                <w:szCs w:val="21"/>
                <w:highlight w:val="none"/>
                <w:lang w:val="en-US" w:eastAsia="zh-CN"/>
              </w:rPr>
              <w:t>复耕</w:t>
            </w:r>
            <w:r>
              <w:rPr>
                <w:rFonts w:hint="eastAsia" w:ascii="Times New Roman" w:hAnsi="Times New Roman" w:eastAsia="仿宋_GB2312" w:cs="Times New Roman"/>
                <w:color w:val="auto"/>
                <w:sz w:val="21"/>
                <w:szCs w:val="21"/>
                <w:highlight w:val="none"/>
                <w:lang w:val="en-US" w:eastAsia="zh-CN"/>
              </w:rPr>
              <w:t>0.71</w:t>
            </w:r>
            <w:r>
              <w:rPr>
                <w:rFonts w:hint="default" w:ascii="Times New Roman" w:hAnsi="Times New Roman" w:eastAsia="仿宋_GB2312" w:cs="Times New Roman"/>
                <w:color w:val="auto"/>
                <w:sz w:val="21"/>
                <w:szCs w:val="21"/>
                <w:highlight w:val="none"/>
              </w:rPr>
              <w:t>hm</w:t>
            </w:r>
            <w:r>
              <w:rPr>
                <w:rFonts w:hint="default" w:ascii="Times New Roman" w:hAnsi="Times New Roman" w:eastAsia="仿宋_GB2312" w:cs="Times New Roman"/>
                <w:color w:val="auto"/>
                <w:sz w:val="21"/>
                <w:szCs w:val="21"/>
                <w:highlight w:val="none"/>
                <w:vertAlign w:val="superscript"/>
              </w:rPr>
              <w:t>2</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rPr>
              <w:t>土地整治</w:t>
            </w:r>
            <w:r>
              <w:rPr>
                <w:rFonts w:hint="default" w:ascii="Times New Roman" w:hAnsi="Times New Roman" w:eastAsia="仿宋_GB2312" w:cs="Times New Roman"/>
                <w:color w:val="auto"/>
                <w:sz w:val="21"/>
                <w:szCs w:val="21"/>
                <w:lang w:val="en-US" w:eastAsia="zh-CN"/>
              </w:rPr>
              <w:t>0.</w:t>
            </w:r>
            <w:r>
              <w:rPr>
                <w:rFonts w:hint="eastAsia" w:ascii="Times New Roman" w:hAnsi="Times New Roman" w:eastAsia="仿宋_GB2312" w:cs="Times New Roman"/>
                <w:color w:val="auto"/>
                <w:sz w:val="21"/>
                <w:szCs w:val="21"/>
                <w:lang w:val="en-US" w:eastAsia="zh-CN"/>
              </w:rPr>
              <w:t>03</w:t>
            </w:r>
            <w:r>
              <w:rPr>
                <w:rFonts w:hint="default" w:ascii="Times New Roman" w:hAnsi="Times New Roman" w:eastAsia="仿宋_GB2312" w:cs="Times New Roman"/>
                <w:color w:val="auto"/>
                <w:sz w:val="21"/>
                <w:szCs w:val="21"/>
              </w:rPr>
              <w:t>hm</w:t>
            </w:r>
            <w:r>
              <w:rPr>
                <w:rFonts w:hint="default" w:ascii="Times New Roman" w:hAnsi="Times New Roman" w:eastAsia="仿宋_GB2312" w:cs="Times New Roman"/>
                <w:color w:val="auto"/>
                <w:sz w:val="21"/>
                <w:szCs w:val="21"/>
                <w:vertAlign w:val="superscript"/>
              </w:rPr>
              <w:t>2</w:t>
            </w:r>
          </w:p>
        </w:tc>
        <w:tc>
          <w:tcPr>
            <w:tcW w:w="2982" w:type="dxa"/>
            <w:gridSpan w:val="6"/>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kern w:val="0"/>
                <w:sz w:val="21"/>
                <w:szCs w:val="21"/>
                <w:lang w:bidi="ar"/>
              </w:rPr>
            </w:pPr>
            <w:r>
              <w:rPr>
                <w:rFonts w:ascii="Times New Roman" w:hAnsi="Times New Roman" w:eastAsia="仿宋_GB2312" w:cs="Times New Roman"/>
                <w:color w:val="auto"/>
                <w:spacing w:val="-2"/>
                <w:sz w:val="21"/>
                <w:szCs w:val="21"/>
              </w:rPr>
              <w:t>主体设计：</w:t>
            </w:r>
            <w:r>
              <w:rPr>
                <w:rFonts w:hint="eastAsia" w:ascii="Times New Roman" w:hAnsi="Times New Roman" w:eastAsia="仿宋_GB2312" w:cs="Times New Roman"/>
                <w:color w:val="auto"/>
                <w:sz w:val="21"/>
                <w:szCs w:val="21"/>
                <w:highlight w:val="none"/>
                <w:lang w:eastAsia="zh-CN"/>
              </w:rPr>
              <w:t>栽植灌木</w:t>
            </w:r>
            <w:r>
              <w:rPr>
                <w:rFonts w:hint="eastAsia" w:ascii="Times New Roman" w:hAnsi="Times New Roman" w:eastAsia="仿宋_GB2312" w:cs="Times New Roman"/>
                <w:color w:val="auto"/>
                <w:sz w:val="21"/>
                <w:szCs w:val="21"/>
                <w:lang w:val="en-US" w:eastAsia="zh-CN"/>
              </w:rPr>
              <w:t>75株</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highlight w:val="none"/>
                <w:lang w:eastAsia="zh-CN"/>
              </w:rPr>
              <w:t>撒播草籽</w:t>
            </w:r>
            <w:r>
              <w:rPr>
                <w:rFonts w:hint="eastAsia" w:ascii="Times New Roman" w:hAnsi="Times New Roman" w:eastAsia="仿宋_GB2312" w:cs="Times New Roman"/>
                <w:color w:val="auto"/>
                <w:sz w:val="21"/>
                <w:szCs w:val="21"/>
                <w:highlight w:val="none"/>
                <w:lang w:val="en-US" w:eastAsia="zh-CN"/>
              </w:rPr>
              <w:t>0.03</w:t>
            </w:r>
            <w:r>
              <w:rPr>
                <w:rFonts w:hint="default" w:ascii="Times New Roman" w:hAnsi="Times New Roman" w:eastAsia="仿宋_GB2312" w:cs="Times New Roman"/>
                <w:color w:val="auto"/>
                <w:sz w:val="21"/>
                <w:szCs w:val="21"/>
                <w:highlight w:val="none"/>
              </w:rPr>
              <w:t>hm</w:t>
            </w:r>
            <w:r>
              <w:rPr>
                <w:rFonts w:hint="default" w:ascii="Times New Roman" w:hAnsi="Times New Roman" w:eastAsia="仿宋_GB2312" w:cs="Times New Roman"/>
                <w:color w:val="auto"/>
                <w:sz w:val="21"/>
                <w:szCs w:val="21"/>
                <w:highlight w:val="none"/>
                <w:vertAlign w:val="superscript"/>
              </w:rPr>
              <w:t>2</w:t>
            </w:r>
          </w:p>
        </w:tc>
        <w:tc>
          <w:tcPr>
            <w:tcW w:w="1532" w:type="dxa"/>
            <w:noWrap w:val="0"/>
            <w:tcMar>
              <w:top w:w="15" w:type="dxa"/>
              <w:left w:w="15" w:type="dxa"/>
              <w:right w:w="15" w:type="dxa"/>
            </w:tcMar>
            <w:vAlign w:val="center"/>
          </w:tcPr>
          <w:p>
            <w:pPr>
              <w:spacing w:line="240" w:lineRule="auto"/>
              <w:ind w:firstLine="0" w:firstLineChars="0"/>
              <w:jc w:val="both"/>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主体设计：</w:t>
            </w:r>
            <w:r>
              <w:rPr>
                <w:rFonts w:hint="default" w:ascii="Times New Roman" w:hAnsi="Times New Roman" w:eastAsia="仿宋_GB2312" w:cs="Times New Roman"/>
                <w:color w:val="auto"/>
                <w:sz w:val="21"/>
                <w:szCs w:val="21"/>
              </w:rPr>
              <w:t>彩条布铺垫</w:t>
            </w:r>
            <w:r>
              <w:rPr>
                <w:rFonts w:hint="eastAsia" w:ascii="Times New Roman" w:hAnsi="Times New Roman" w:eastAsia="仿宋_GB2312" w:cs="Times New Roman"/>
                <w:color w:val="auto"/>
                <w:sz w:val="21"/>
                <w:szCs w:val="21"/>
                <w:lang w:val="en-US" w:eastAsia="zh-CN"/>
              </w:rPr>
              <w:t>76</w:t>
            </w:r>
            <w:r>
              <w:rPr>
                <w:rFonts w:hint="default" w:ascii="Times New Roman" w:hAnsi="Times New Roman" w:eastAsia="仿宋_GB2312" w:cs="Times New Roman"/>
                <w:color w:val="auto"/>
                <w:sz w:val="21"/>
                <w:szCs w:val="21"/>
              </w:rPr>
              <w:t>00</w:t>
            </w:r>
            <w:r>
              <w:rPr>
                <w:rFonts w:hint="default" w:ascii="Times New Roman" w:hAnsi="Times New Roman" w:eastAsia="仿宋_GB2312" w:cs="Times New Roman"/>
                <w:color w:val="auto"/>
                <w:sz w:val="21"/>
                <w:szCs w:val="21"/>
                <w:lang w:val="en-US" w:eastAsia="zh-CN"/>
              </w:rPr>
              <w:t>.00</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40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1579"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highlight w:val="none"/>
              </w:rPr>
              <w:t>跨越施工场地区</w:t>
            </w:r>
          </w:p>
        </w:tc>
        <w:tc>
          <w:tcPr>
            <w:tcW w:w="1965" w:type="dxa"/>
            <w:gridSpan w:val="3"/>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lang w:val="en-US" w:eastAsia="zh-CN"/>
              </w:rPr>
              <w:t>方案新增：</w:t>
            </w:r>
            <w:r>
              <w:rPr>
                <w:rFonts w:hint="default" w:ascii="Times New Roman" w:hAnsi="Times New Roman" w:eastAsia="仿宋_GB2312" w:cs="Times New Roman"/>
                <w:color w:val="auto"/>
                <w:sz w:val="21"/>
                <w:szCs w:val="21"/>
                <w:lang w:val="en-US" w:eastAsia="zh-CN"/>
              </w:rPr>
              <w:t>土地整治0.</w:t>
            </w:r>
            <w:r>
              <w:rPr>
                <w:rFonts w:hint="eastAsia" w:ascii="Times New Roman" w:hAnsi="Times New Roman" w:eastAsia="仿宋_GB2312" w:cs="Times New Roman"/>
                <w:color w:val="auto"/>
                <w:sz w:val="21"/>
                <w:szCs w:val="21"/>
                <w:lang w:val="en-US" w:eastAsia="zh-CN"/>
              </w:rPr>
              <w:t>06</w:t>
            </w:r>
            <w:r>
              <w:rPr>
                <w:rFonts w:hint="default" w:ascii="Times New Roman" w:hAnsi="Times New Roman" w:eastAsia="仿宋_GB2312" w:cs="Times New Roman"/>
                <w:color w:val="auto"/>
                <w:sz w:val="21"/>
                <w:szCs w:val="21"/>
                <w:highlight w:val="none"/>
              </w:rPr>
              <w:t>hm²</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highlight w:val="none"/>
                <w:lang w:val="en-US" w:eastAsia="zh-CN"/>
              </w:rPr>
              <w:t>复耕</w:t>
            </w:r>
            <w:r>
              <w:rPr>
                <w:rFonts w:hint="eastAsia" w:ascii="Times New Roman" w:hAnsi="Times New Roman" w:eastAsia="仿宋_GB2312" w:cs="Times New Roman"/>
                <w:color w:val="auto"/>
                <w:sz w:val="21"/>
                <w:szCs w:val="21"/>
                <w:highlight w:val="none"/>
                <w:lang w:val="en-US" w:eastAsia="zh-CN"/>
              </w:rPr>
              <w:t>0.10</w:t>
            </w:r>
            <w:r>
              <w:rPr>
                <w:rFonts w:hint="default" w:ascii="Times New Roman" w:hAnsi="Times New Roman" w:eastAsia="仿宋_GB2312" w:cs="Times New Roman"/>
                <w:color w:val="auto"/>
                <w:sz w:val="21"/>
                <w:szCs w:val="21"/>
                <w:highlight w:val="none"/>
              </w:rPr>
              <w:t>hm²</w:t>
            </w:r>
          </w:p>
        </w:tc>
        <w:tc>
          <w:tcPr>
            <w:tcW w:w="2982" w:type="dxa"/>
            <w:gridSpan w:val="6"/>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方案新增：</w:t>
            </w:r>
            <w:r>
              <w:rPr>
                <w:rFonts w:hint="eastAsia" w:ascii="Times New Roman" w:hAnsi="Times New Roman" w:eastAsia="仿宋_GB2312" w:cs="Times New Roman"/>
                <w:color w:val="auto"/>
                <w:sz w:val="21"/>
                <w:szCs w:val="21"/>
                <w:highlight w:val="none"/>
                <w:lang w:eastAsia="zh-CN"/>
              </w:rPr>
              <w:t>栽植灌木</w:t>
            </w:r>
            <w:r>
              <w:rPr>
                <w:rFonts w:hint="eastAsia" w:ascii="Times New Roman" w:hAnsi="Times New Roman" w:eastAsia="仿宋_GB2312" w:cs="Times New Roman"/>
                <w:color w:val="auto"/>
                <w:sz w:val="21"/>
                <w:szCs w:val="21"/>
                <w:lang w:val="en-US" w:eastAsia="zh-CN"/>
              </w:rPr>
              <w:t>150株</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highlight w:val="none"/>
                <w:lang w:eastAsia="zh-CN"/>
              </w:rPr>
              <w:t>撒播草籽</w:t>
            </w:r>
            <w:r>
              <w:rPr>
                <w:rFonts w:hint="default" w:ascii="Times New Roman" w:hAnsi="Times New Roman" w:eastAsia="仿宋_GB2312" w:cs="Times New Roman"/>
                <w:color w:val="auto"/>
                <w:sz w:val="21"/>
                <w:szCs w:val="21"/>
                <w:highlight w:val="none"/>
                <w:lang w:val="en-US" w:eastAsia="zh-CN"/>
              </w:rPr>
              <w:t>0.</w:t>
            </w:r>
            <w:r>
              <w:rPr>
                <w:rFonts w:hint="eastAsia" w:ascii="Times New Roman" w:hAnsi="Times New Roman" w:eastAsia="仿宋_GB2312" w:cs="Times New Roman"/>
                <w:color w:val="auto"/>
                <w:sz w:val="21"/>
                <w:szCs w:val="21"/>
                <w:highlight w:val="none"/>
                <w:lang w:val="en-US" w:eastAsia="zh-CN"/>
              </w:rPr>
              <w:t>06</w:t>
            </w:r>
            <w:r>
              <w:rPr>
                <w:rFonts w:hint="default" w:ascii="Times New Roman" w:hAnsi="Times New Roman" w:eastAsia="仿宋_GB2312" w:cs="Times New Roman"/>
                <w:color w:val="auto"/>
                <w:sz w:val="21"/>
                <w:szCs w:val="21"/>
                <w:highlight w:val="none"/>
              </w:rPr>
              <w:t>hm²</w:t>
            </w:r>
          </w:p>
        </w:tc>
        <w:tc>
          <w:tcPr>
            <w:tcW w:w="1532" w:type="dxa"/>
            <w:noWrap w:val="0"/>
            <w:tcMar>
              <w:top w:w="15" w:type="dxa"/>
              <w:left w:w="15" w:type="dxa"/>
              <w:right w:w="15" w:type="dxa"/>
            </w:tcMar>
            <w:vAlign w:val="center"/>
          </w:tcPr>
          <w:p>
            <w:pPr>
              <w:spacing w:line="240" w:lineRule="auto"/>
              <w:ind w:firstLine="0" w:firstLineChars="0"/>
              <w:jc w:val="both"/>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主体设计：</w:t>
            </w:r>
            <w:r>
              <w:rPr>
                <w:rFonts w:hint="default" w:ascii="Times New Roman" w:hAnsi="Times New Roman" w:eastAsia="仿宋_GB2312" w:cs="Times New Roman"/>
                <w:color w:val="auto"/>
                <w:sz w:val="21"/>
                <w:szCs w:val="21"/>
              </w:rPr>
              <w:t>彩条布铺垫</w:t>
            </w:r>
            <w:r>
              <w:rPr>
                <w:rFonts w:hint="eastAsia" w:ascii="Times New Roman" w:hAnsi="Times New Roman" w:eastAsia="仿宋_GB2312" w:cs="Times New Roman"/>
                <w:color w:val="auto"/>
                <w:sz w:val="21"/>
                <w:szCs w:val="21"/>
                <w:lang w:val="en-US" w:eastAsia="zh-CN"/>
              </w:rPr>
              <w:t>16</w:t>
            </w:r>
            <w:r>
              <w:rPr>
                <w:rFonts w:hint="default" w:ascii="Times New Roman" w:hAnsi="Times New Roman" w:eastAsia="仿宋_GB2312" w:cs="Times New Roman"/>
                <w:color w:val="auto"/>
                <w:sz w:val="21"/>
                <w:szCs w:val="21"/>
              </w:rPr>
              <w:t>00</w:t>
            </w:r>
            <w:r>
              <w:rPr>
                <w:rFonts w:hint="default" w:ascii="Times New Roman" w:hAnsi="Times New Roman" w:eastAsia="仿宋_GB2312" w:cs="Times New Roman"/>
                <w:color w:val="auto"/>
                <w:sz w:val="21"/>
                <w:szCs w:val="21"/>
                <w:lang w:val="en-US" w:eastAsia="zh-CN"/>
              </w:rPr>
              <w:t>.00</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vertAlign w:val="superscript"/>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2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p>
        </w:tc>
        <w:tc>
          <w:tcPr>
            <w:tcW w:w="404" w:type="dxa"/>
            <w:vMerge w:val="continue"/>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lang w:val="en-US" w:eastAsia="zh-CN" w:bidi="ar"/>
              </w:rPr>
            </w:pPr>
          </w:p>
        </w:tc>
        <w:tc>
          <w:tcPr>
            <w:tcW w:w="1579" w:type="dxa"/>
            <w:gridSpan w:val="2"/>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施工道路区</w:t>
            </w:r>
          </w:p>
        </w:tc>
        <w:tc>
          <w:tcPr>
            <w:tcW w:w="1965" w:type="dxa"/>
            <w:gridSpan w:val="3"/>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主体设计：</w:t>
            </w:r>
            <w:r>
              <w:rPr>
                <w:rFonts w:hint="default" w:ascii="Times New Roman" w:hAnsi="Times New Roman" w:eastAsia="仿宋_GB2312" w:cs="Times New Roman"/>
                <w:color w:val="auto"/>
                <w:sz w:val="21"/>
                <w:szCs w:val="21"/>
              </w:rPr>
              <w:t>表土剥离</w:t>
            </w:r>
            <w:r>
              <w:rPr>
                <w:rFonts w:hint="eastAsia" w:ascii="Times New Roman" w:hAnsi="Times New Roman" w:eastAsia="仿宋_GB2312" w:cs="Times New Roman"/>
                <w:color w:val="auto"/>
                <w:sz w:val="21"/>
                <w:szCs w:val="21"/>
                <w:lang w:val="en-US" w:eastAsia="zh-CN"/>
              </w:rPr>
              <w:t>0.66</w:t>
            </w:r>
            <w:r>
              <w:rPr>
                <w:rFonts w:hint="default" w:ascii="Times New Roman" w:hAnsi="Times New Roman" w:eastAsia="仿宋_GB2312" w:cs="Times New Roman"/>
                <w:color w:val="auto"/>
                <w:sz w:val="21"/>
                <w:szCs w:val="21"/>
                <w:highlight w:val="none"/>
                <w:lang w:val="en-US" w:eastAsia="zh-CN"/>
              </w:rPr>
              <w:t>万</w:t>
            </w:r>
            <w:r>
              <w:rPr>
                <w:rFonts w:hint="default" w:ascii="Times New Roman" w:hAnsi="Times New Roman" w:eastAsia="仿宋_GB2312" w:cs="Times New Roman"/>
                <w:color w:val="auto"/>
                <w:sz w:val="21"/>
                <w:szCs w:val="21"/>
                <w:highlight w:val="none"/>
              </w:rPr>
              <w:t>m</w:t>
            </w:r>
            <w:r>
              <w:rPr>
                <w:rFonts w:hint="default" w:ascii="Times New Roman" w:hAnsi="Times New Roman" w:eastAsia="仿宋_GB2312" w:cs="Times New Roman"/>
                <w:color w:val="auto"/>
                <w:sz w:val="21"/>
                <w:szCs w:val="21"/>
                <w:highlight w:val="none"/>
                <w:vertAlign w:val="superscript"/>
                <w:lang w:val="en-US" w:eastAsia="zh-CN"/>
              </w:rPr>
              <w:t>3</w:t>
            </w:r>
            <w:r>
              <w:rPr>
                <w:rFonts w:hint="default" w:ascii="Times New Roman" w:hAnsi="Times New Roman" w:eastAsia="仿宋_GB2312" w:cs="Times New Roman"/>
                <w:color w:val="auto"/>
                <w:sz w:val="21"/>
                <w:szCs w:val="21"/>
              </w:rPr>
              <w:t>，表土回覆</w:t>
            </w:r>
            <w:r>
              <w:rPr>
                <w:rFonts w:hint="eastAsia" w:ascii="Times New Roman" w:hAnsi="Times New Roman" w:eastAsia="仿宋_GB2312" w:cs="Times New Roman"/>
                <w:color w:val="auto"/>
                <w:sz w:val="21"/>
                <w:szCs w:val="21"/>
                <w:lang w:val="en-US" w:eastAsia="zh-CN"/>
              </w:rPr>
              <w:t>0.66</w:t>
            </w:r>
            <w:r>
              <w:rPr>
                <w:rFonts w:hint="default" w:ascii="Times New Roman" w:hAnsi="Times New Roman" w:eastAsia="仿宋_GB2312" w:cs="Times New Roman"/>
                <w:color w:val="auto"/>
                <w:sz w:val="21"/>
                <w:szCs w:val="21"/>
              </w:rPr>
              <w:t>万m</w:t>
            </w:r>
            <w:r>
              <w:rPr>
                <w:rFonts w:hint="default" w:ascii="Times New Roman" w:hAnsi="Times New Roman" w:eastAsia="仿宋_GB2312" w:cs="Times New Roman"/>
                <w:color w:val="auto"/>
                <w:sz w:val="21"/>
                <w:szCs w:val="21"/>
                <w:vertAlign w:val="superscript"/>
              </w:rPr>
              <w:t>3</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复耕</w:t>
            </w:r>
            <w:r>
              <w:rPr>
                <w:rFonts w:hint="eastAsia" w:ascii="Times New Roman" w:hAnsi="Times New Roman" w:eastAsia="仿宋_GB2312" w:cs="Times New Roman"/>
                <w:color w:val="auto"/>
                <w:sz w:val="21"/>
                <w:szCs w:val="21"/>
                <w:lang w:val="en-US" w:eastAsia="zh-CN"/>
              </w:rPr>
              <w:t>2.95</w:t>
            </w:r>
            <w:r>
              <w:rPr>
                <w:rFonts w:hint="default" w:ascii="Times New Roman" w:hAnsi="Times New Roman" w:eastAsia="仿宋_GB2312" w:cs="Times New Roman"/>
                <w:color w:val="auto"/>
                <w:sz w:val="21"/>
                <w:szCs w:val="21"/>
              </w:rPr>
              <w:t>hm</w:t>
            </w:r>
            <w:r>
              <w:rPr>
                <w:rFonts w:hint="default" w:ascii="Times New Roman" w:hAnsi="Times New Roman" w:eastAsia="仿宋_GB2312" w:cs="Times New Roman"/>
                <w:color w:val="auto"/>
                <w:sz w:val="21"/>
                <w:szCs w:val="21"/>
                <w:vertAlign w:val="superscript"/>
              </w:rPr>
              <w:t>2</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土地整治</w:t>
            </w:r>
            <w:r>
              <w:rPr>
                <w:rFonts w:hint="eastAsia" w:ascii="Times New Roman" w:hAnsi="Times New Roman" w:eastAsia="仿宋_GB2312" w:cs="Times New Roman"/>
                <w:color w:val="auto"/>
                <w:sz w:val="21"/>
                <w:szCs w:val="21"/>
                <w:lang w:val="en-US" w:eastAsia="zh-CN"/>
              </w:rPr>
              <w:t>0.63</w:t>
            </w:r>
            <w:r>
              <w:rPr>
                <w:rFonts w:hint="default" w:ascii="Times New Roman" w:hAnsi="Times New Roman" w:eastAsia="仿宋_GB2312" w:cs="Times New Roman"/>
                <w:color w:val="auto"/>
                <w:sz w:val="21"/>
                <w:szCs w:val="21"/>
              </w:rPr>
              <w:t>hm</w:t>
            </w:r>
            <w:r>
              <w:rPr>
                <w:rFonts w:hint="default" w:ascii="Times New Roman" w:hAnsi="Times New Roman" w:eastAsia="仿宋_GB2312" w:cs="Times New Roman"/>
                <w:color w:val="auto"/>
                <w:sz w:val="21"/>
                <w:szCs w:val="21"/>
                <w:vertAlign w:val="superscript"/>
              </w:rPr>
              <w:t>2</w:t>
            </w:r>
          </w:p>
        </w:tc>
        <w:tc>
          <w:tcPr>
            <w:tcW w:w="2982" w:type="dxa"/>
            <w:gridSpan w:val="6"/>
            <w:noWrap w:val="0"/>
            <w:tcMar>
              <w:top w:w="15" w:type="dxa"/>
              <w:left w:w="15" w:type="dxa"/>
              <w:right w:w="15" w:type="dxa"/>
            </w:tcMar>
            <w:vAlign w:val="center"/>
          </w:tcPr>
          <w:p>
            <w:pPr>
              <w:widowControl/>
              <w:spacing w:line="240" w:lineRule="auto"/>
              <w:ind w:firstLine="0" w:firstLineChars="0"/>
              <w:jc w:val="both"/>
              <w:textAlignment w:val="center"/>
              <w:rPr>
                <w:rFonts w:hint="default" w:ascii="Times New Roman" w:hAnsi="Times New Roman" w:eastAsia="仿宋_GB2312" w:cs="Times New Roman"/>
                <w:color w:val="auto"/>
                <w:kern w:val="0"/>
                <w:sz w:val="21"/>
                <w:szCs w:val="21"/>
                <w:lang w:bidi="ar"/>
              </w:rPr>
            </w:pPr>
            <w:r>
              <w:rPr>
                <w:rFonts w:hint="eastAsia" w:ascii="Times New Roman" w:hAnsi="Times New Roman" w:eastAsia="仿宋_GB2312" w:cs="Times New Roman"/>
                <w:color w:val="auto"/>
                <w:sz w:val="21"/>
                <w:szCs w:val="21"/>
                <w:lang w:val="en-US" w:eastAsia="zh-CN"/>
              </w:rPr>
              <w:t>主体设计：</w:t>
            </w:r>
            <w:r>
              <w:rPr>
                <w:rFonts w:hint="eastAsia" w:ascii="Times New Roman" w:hAnsi="Times New Roman" w:eastAsia="仿宋_GB2312" w:cs="Times New Roman"/>
                <w:color w:val="auto"/>
                <w:sz w:val="21"/>
                <w:szCs w:val="21"/>
                <w:lang w:eastAsia="zh-CN"/>
              </w:rPr>
              <w:t>栽植灌木</w:t>
            </w:r>
            <w:r>
              <w:rPr>
                <w:rFonts w:hint="eastAsia" w:ascii="Times New Roman" w:hAnsi="Times New Roman" w:eastAsia="仿宋_GB2312" w:cs="Times New Roman"/>
                <w:color w:val="auto"/>
                <w:sz w:val="21"/>
                <w:szCs w:val="21"/>
                <w:lang w:val="en-US" w:eastAsia="zh-CN"/>
              </w:rPr>
              <w:t>1575株</w:t>
            </w:r>
            <w:r>
              <w:rPr>
                <w:rFonts w:hint="default" w:ascii="Times New Roman" w:hAnsi="Times New Roman" w:eastAsia="仿宋_GB2312" w:cs="Times New Roman"/>
                <w:color w:val="auto"/>
                <w:sz w:val="21"/>
                <w:szCs w:val="21"/>
              </w:rPr>
              <w:t>，</w:t>
            </w:r>
            <w:r>
              <w:rPr>
                <w:rFonts w:hint="eastAsia" w:ascii="Times New Roman" w:hAnsi="Times New Roman" w:eastAsia="仿宋_GB2312" w:cs="Times New Roman"/>
                <w:color w:val="auto"/>
                <w:sz w:val="21"/>
                <w:szCs w:val="21"/>
                <w:lang w:eastAsia="zh-CN"/>
              </w:rPr>
              <w:t>撒播草籽</w:t>
            </w:r>
            <w:r>
              <w:rPr>
                <w:rFonts w:hint="eastAsia" w:ascii="Times New Roman" w:hAnsi="Times New Roman" w:eastAsia="仿宋_GB2312" w:cs="Times New Roman"/>
                <w:color w:val="auto"/>
                <w:sz w:val="21"/>
                <w:szCs w:val="21"/>
                <w:lang w:val="en-US" w:eastAsia="zh-CN"/>
              </w:rPr>
              <w:t>0.63</w:t>
            </w:r>
            <w:r>
              <w:rPr>
                <w:rFonts w:hint="default" w:ascii="Times New Roman" w:hAnsi="Times New Roman" w:eastAsia="仿宋_GB2312" w:cs="Times New Roman"/>
                <w:color w:val="auto"/>
                <w:sz w:val="21"/>
                <w:szCs w:val="21"/>
              </w:rPr>
              <w:t>hm</w:t>
            </w:r>
            <w:r>
              <w:rPr>
                <w:rFonts w:hint="default" w:ascii="Times New Roman" w:hAnsi="Times New Roman" w:eastAsia="仿宋_GB2312" w:cs="Times New Roman"/>
                <w:color w:val="auto"/>
                <w:sz w:val="21"/>
                <w:szCs w:val="21"/>
                <w:vertAlign w:val="superscript"/>
              </w:rPr>
              <w:t>2</w:t>
            </w:r>
          </w:p>
        </w:tc>
        <w:tc>
          <w:tcPr>
            <w:tcW w:w="1532" w:type="dxa"/>
            <w:noWrap w:val="0"/>
            <w:tcMar>
              <w:top w:w="15" w:type="dxa"/>
              <w:left w:w="15" w:type="dxa"/>
              <w:right w:w="15" w:type="dxa"/>
            </w:tcMar>
            <w:vAlign w:val="center"/>
          </w:tcPr>
          <w:p>
            <w:pPr>
              <w:spacing w:line="240" w:lineRule="auto"/>
              <w:ind w:firstLine="0" w:firstLineChars="0"/>
              <w:jc w:val="both"/>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主体设计：彩条布铺垫67</w:t>
            </w:r>
            <w:r>
              <w:rPr>
                <w:rFonts w:hint="default" w:ascii="Times New Roman" w:hAnsi="Times New Roman" w:eastAsia="仿宋_GB2312" w:cs="Times New Roman"/>
                <w:color w:val="auto"/>
                <w:sz w:val="21"/>
                <w:szCs w:val="21"/>
                <w:lang w:val="en-US" w:eastAsia="zh-CN"/>
              </w:rPr>
              <w:t>00.00</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vertAlign w:val="superscript"/>
              </w:rPr>
              <w:t>2</w:t>
            </w:r>
            <w:r>
              <w:rPr>
                <w:rFonts w:hint="eastAsia" w:ascii="Times New Roman" w:hAnsi="Times New Roman" w:eastAsia="仿宋_GB2312" w:cs="Times New Roman"/>
                <w:color w:val="auto"/>
                <w:sz w:val="21"/>
                <w:szCs w:val="21"/>
                <w:lang w:eastAsia="zh-CN"/>
              </w:rPr>
              <w:t>，</w:t>
            </w:r>
            <w:r>
              <w:rPr>
                <w:rFonts w:hint="eastAsia" w:ascii="Times New Roman" w:hAnsi="Times New Roman" w:eastAsia="仿宋_GB2312" w:cs="Times New Roman"/>
                <w:color w:val="auto"/>
                <w:sz w:val="21"/>
                <w:szCs w:val="21"/>
                <w:lang w:val="en-US" w:eastAsia="zh-CN"/>
              </w:rPr>
              <w:t>彩条布苫盖10720.00</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vertAlign w:val="superscript"/>
              </w:rPr>
              <w:t>2</w:t>
            </w:r>
          </w:p>
          <w:p>
            <w:pPr>
              <w:spacing w:line="240" w:lineRule="auto"/>
              <w:ind w:firstLine="0" w:firstLineChars="0"/>
              <w:jc w:val="both"/>
              <w:rPr>
                <w:rFonts w:hint="default" w:ascii="Times New Roman" w:hAnsi="Times New Roman" w:eastAsia="仿宋_GB2312" w:cs="Times New Roman"/>
                <w:color w:val="auto"/>
                <w:sz w:val="21"/>
                <w:szCs w:val="21"/>
              </w:rPr>
            </w:pPr>
            <w:r>
              <w:rPr>
                <w:rFonts w:hint="eastAsia" w:ascii="Times New Roman" w:hAnsi="Times New Roman" w:eastAsia="仿宋_GB2312" w:cs="Times New Roman"/>
                <w:color w:val="auto"/>
                <w:sz w:val="21"/>
                <w:szCs w:val="21"/>
                <w:lang w:val="en-US" w:eastAsia="zh-CN"/>
              </w:rPr>
              <w:t>方案新增：</w:t>
            </w:r>
            <w:r>
              <w:rPr>
                <w:rFonts w:hint="default" w:ascii="Times New Roman" w:hAnsi="Times New Roman" w:eastAsia="仿宋_GB2312" w:cs="Times New Roman"/>
                <w:color w:val="auto"/>
                <w:sz w:val="21"/>
                <w:szCs w:val="21"/>
              </w:rPr>
              <w:t>临时排水沟</w:t>
            </w:r>
            <w:r>
              <w:rPr>
                <w:rFonts w:hint="eastAsia" w:ascii="Times New Roman" w:hAnsi="Times New Roman" w:eastAsia="仿宋_GB2312" w:cs="Times New Roman"/>
                <w:color w:val="auto"/>
                <w:sz w:val="21"/>
                <w:szCs w:val="21"/>
                <w:lang w:val="en-US" w:eastAsia="zh-CN"/>
              </w:rPr>
              <w:t>17</w:t>
            </w:r>
            <w:r>
              <w:rPr>
                <w:rFonts w:hint="default" w:ascii="Times New Roman" w:hAnsi="Times New Roman" w:eastAsia="仿宋_GB2312" w:cs="Times New Roman"/>
                <w:color w:val="auto"/>
                <w:sz w:val="21"/>
                <w:szCs w:val="21"/>
                <w:lang w:val="en-US" w:eastAsia="zh-CN"/>
              </w:rPr>
              <w:t>90.00</w:t>
            </w:r>
            <w:r>
              <w:rPr>
                <w:rFonts w:hint="default" w:ascii="Times New Roman" w:hAnsi="Times New Roman" w:eastAsia="仿宋_GB2312" w:cs="Times New Roman"/>
                <w:color w:val="auto"/>
                <w:sz w:val="21"/>
                <w:szCs w:val="21"/>
              </w:rPr>
              <w:t>m，</w:t>
            </w:r>
            <w:r>
              <w:rPr>
                <w:rFonts w:hint="eastAsia" w:ascii="Times New Roman" w:hAnsi="Times New Roman" w:eastAsia="仿宋_GB2312" w:cs="Times New Roman"/>
                <w:color w:val="auto"/>
                <w:sz w:val="21"/>
                <w:szCs w:val="21"/>
                <w:lang w:val="en-US" w:eastAsia="zh-CN"/>
              </w:rPr>
              <w:t>临时沉沙池11座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07" w:type="dxa"/>
            <w:gridSpan w:val="4"/>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color w:val="auto"/>
                <w:spacing w:val="-2"/>
                <w:sz w:val="21"/>
                <w:szCs w:val="21"/>
                <w:highlight w:val="none"/>
              </w:rPr>
              <w:t>投资（万元）</w:t>
            </w:r>
          </w:p>
        </w:tc>
        <w:tc>
          <w:tcPr>
            <w:tcW w:w="1965" w:type="dxa"/>
            <w:gridSpan w:val="3"/>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FangSong_GB2312" w:cs="Times New Roman"/>
                <w:color w:val="auto"/>
                <w:sz w:val="21"/>
                <w:szCs w:val="21"/>
                <w:highlight w:val="none"/>
                <w:lang w:val="en-US" w:eastAsia="zh-CN"/>
              </w:rPr>
            </w:pPr>
            <w:r>
              <w:rPr>
                <w:color w:val="auto"/>
                <w:spacing w:val="-2"/>
                <w:sz w:val="21"/>
                <w:szCs w:val="21"/>
                <w:highlight w:val="none"/>
              </w:rPr>
              <w:t>主体已列：</w:t>
            </w:r>
            <w:r>
              <w:rPr>
                <w:rFonts w:hint="eastAsia" w:ascii="Times New Roman" w:hAnsi="Times New Roman" w:eastAsia="宋体" w:cs="Times New Roman"/>
                <w:color w:val="auto"/>
                <w:spacing w:val="-2"/>
                <w:sz w:val="21"/>
                <w:szCs w:val="21"/>
                <w:highlight w:val="none"/>
                <w:lang w:val="en-US" w:eastAsia="zh-CN"/>
              </w:rPr>
              <w:t>345.21</w:t>
            </w:r>
          </w:p>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FangSong_GB2312" w:cs="Times New Roman"/>
                <w:color w:val="auto"/>
                <w:sz w:val="21"/>
                <w:szCs w:val="21"/>
                <w:highlight w:val="none"/>
                <w:lang w:val="en-US" w:eastAsia="zh-CN"/>
              </w:rPr>
            </w:pPr>
            <w:r>
              <w:rPr>
                <w:color w:val="auto"/>
                <w:spacing w:val="-1"/>
                <w:sz w:val="21"/>
                <w:szCs w:val="21"/>
                <w:highlight w:val="none"/>
              </w:rPr>
              <w:t>方案新增：</w:t>
            </w:r>
            <w:r>
              <w:rPr>
                <w:rFonts w:hint="eastAsia" w:ascii="Times New Roman" w:hAnsi="Times New Roman" w:eastAsia="宋体" w:cs="Times New Roman"/>
                <w:color w:val="auto"/>
                <w:spacing w:val="-1"/>
                <w:sz w:val="21"/>
                <w:szCs w:val="21"/>
                <w:highlight w:val="none"/>
                <w:lang w:val="en-US" w:eastAsia="zh-CN"/>
              </w:rPr>
              <w:t>2.15</w:t>
            </w:r>
          </w:p>
        </w:tc>
        <w:tc>
          <w:tcPr>
            <w:tcW w:w="2982" w:type="dxa"/>
            <w:gridSpan w:val="6"/>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FangSong_GB2312" w:cs="Times New Roman"/>
                <w:color w:val="auto"/>
                <w:sz w:val="21"/>
                <w:szCs w:val="21"/>
                <w:highlight w:val="none"/>
                <w:lang w:val="en-US" w:eastAsia="zh-CN"/>
              </w:rPr>
            </w:pPr>
            <w:r>
              <w:rPr>
                <w:color w:val="auto"/>
                <w:spacing w:val="-2"/>
                <w:sz w:val="21"/>
                <w:szCs w:val="21"/>
                <w:highlight w:val="none"/>
              </w:rPr>
              <w:t>主体已列：</w:t>
            </w:r>
            <w:r>
              <w:rPr>
                <w:rFonts w:hint="eastAsia" w:ascii="Times New Roman" w:hAnsi="Times New Roman" w:eastAsia="宋体" w:cs="Times New Roman"/>
                <w:color w:val="auto"/>
                <w:spacing w:val="-2"/>
                <w:sz w:val="21"/>
                <w:szCs w:val="21"/>
                <w:highlight w:val="none"/>
                <w:lang w:val="en-US" w:eastAsia="zh-CN"/>
              </w:rPr>
              <w:t>79.92</w:t>
            </w:r>
          </w:p>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FangSong_GB2312" w:cs="Times New Roman"/>
                <w:color w:val="auto"/>
                <w:sz w:val="21"/>
                <w:szCs w:val="21"/>
                <w:highlight w:val="none"/>
                <w:lang w:val="en-US" w:eastAsia="zh-CN"/>
              </w:rPr>
            </w:pPr>
            <w:r>
              <w:rPr>
                <w:color w:val="auto"/>
                <w:spacing w:val="-1"/>
                <w:sz w:val="21"/>
                <w:szCs w:val="21"/>
                <w:highlight w:val="none"/>
              </w:rPr>
              <w:t>方案新增：</w:t>
            </w:r>
            <w:r>
              <w:rPr>
                <w:rFonts w:hint="eastAsia" w:ascii="Times New Roman" w:hAnsi="Times New Roman" w:eastAsia="宋体" w:cs="Times New Roman"/>
                <w:color w:val="auto"/>
                <w:spacing w:val="-1"/>
                <w:sz w:val="21"/>
                <w:szCs w:val="21"/>
                <w:highlight w:val="none"/>
                <w:lang w:val="en-US" w:eastAsia="zh-CN"/>
              </w:rPr>
              <w:t>0.36</w:t>
            </w:r>
          </w:p>
        </w:tc>
        <w:tc>
          <w:tcPr>
            <w:tcW w:w="1532" w:type="dxa"/>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pacing w:val="-2"/>
                <w:sz w:val="21"/>
                <w:szCs w:val="21"/>
                <w:highlight w:val="none"/>
                <w:lang w:val="en-US" w:eastAsia="zh-CN"/>
              </w:rPr>
            </w:pPr>
            <w:r>
              <w:rPr>
                <w:color w:val="auto"/>
                <w:spacing w:val="-2"/>
                <w:sz w:val="21"/>
                <w:szCs w:val="21"/>
                <w:highlight w:val="none"/>
              </w:rPr>
              <w:t>主体已列</w:t>
            </w:r>
            <w:r>
              <w:rPr>
                <w:rFonts w:hint="eastAsia"/>
                <w:color w:val="auto"/>
                <w:spacing w:val="-2"/>
                <w:sz w:val="21"/>
                <w:szCs w:val="21"/>
                <w:highlight w:val="none"/>
                <w:lang w:eastAsia="zh-CN"/>
              </w:rPr>
              <w:t>：</w:t>
            </w:r>
            <w:r>
              <w:rPr>
                <w:rFonts w:hint="eastAsia" w:ascii="Times New Roman" w:hAnsi="Times New Roman" w:eastAsia="宋体" w:cs="Times New Roman"/>
                <w:color w:val="auto"/>
                <w:spacing w:val="-2"/>
                <w:sz w:val="21"/>
                <w:szCs w:val="21"/>
                <w:highlight w:val="none"/>
                <w:lang w:val="en-US" w:eastAsia="zh-CN"/>
              </w:rPr>
              <w:t>35.43</w:t>
            </w:r>
          </w:p>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FangSong_GB2312" w:cs="Times New Roman"/>
                <w:color w:val="auto"/>
                <w:sz w:val="21"/>
                <w:szCs w:val="21"/>
                <w:highlight w:val="none"/>
                <w:lang w:val="en-US" w:eastAsia="zh-CN"/>
              </w:rPr>
            </w:pPr>
            <w:r>
              <w:rPr>
                <w:color w:val="auto"/>
                <w:spacing w:val="-1"/>
                <w:sz w:val="21"/>
                <w:szCs w:val="21"/>
                <w:highlight w:val="none"/>
              </w:rPr>
              <w:t>方案新增：</w:t>
            </w:r>
            <w:r>
              <w:rPr>
                <w:rFonts w:hint="eastAsia" w:ascii="Times New Roman" w:hAnsi="Times New Roman" w:eastAsia="宋体" w:cs="Times New Roman"/>
                <w:color w:val="auto"/>
                <w:spacing w:val="-1"/>
                <w:sz w:val="21"/>
                <w:szCs w:val="21"/>
                <w:highlight w:val="none"/>
                <w:lang w:val="en-US" w:eastAsia="zh-CN"/>
              </w:rPr>
              <w:t>37.72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07" w:type="dxa"/>
            <w:gridSpan w:val="4"/>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color w:val="auto"/>
                <w:spacing w:val="-1"/>
                <w:sz w:val="21"/>
                <w:szCs w:val="21"/>
                <w:highlight w:val="none"/>
              </w:rPr>
              <w:t>水土保持总投资（万元）</w:t>
            </w:r>
          </w:p>
        </w:tc>
        <w:tc>
          <w:tcPr>
            <w:tcW w:w="1965" w:type="dxa"/>
            <w:gridSpan w:val="3"/>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582.85</w:t>
            </w:r>
            <w:r>
              <w:rPr>
                <w:color w:val="auto"/>
                <w:spacing w:val="-1"/>
                <w:sz w:val="21"/>
                <w:szCs w:val="21"/>
                <w:highlight w:val="none"/>
              </w:rPr>
              <w:t>（方案新增</w:t>
            </w:r>
            <w:r>
              <w:rPr>
                <w:rFonts w:hint="eastAsia" w:ascii="Times New Roman" w:hAnsi="Times New Roman" w:eastAsia="宋体" w:cs="Times New Roman"/>
                <w:color w:val="auto"/>
                <w:spacing w:val="-1"/>
                <w:sz w:val="21"/>
                <w:szCs w:val="21"/>
                <w:highlight w:val="none"/>
                <w:lang w:val="en-US" w:eastAsia="zh-CN"/>
              </w:rPr>
              <w:t>122.29</w:t>
            </w:r>
            <w:r>
              <w:rPr>
                <w:color w:val="auto"/>
                <w:spacing w:val="-1"/>
                <w:sz w:val="21"/>
                <w:szCs w:val="21"/>
                <w:highlight w:val="none"/>
              </w:rPr>
              <w:t>）</w:t>
            </w:r>
          </w:p>
        </w:tc>
        <w:tc>
          <w:tcPr>
            <w:tcW w:w="2982" w:type="dxa"/>
            <w:gridSpan w:val="6"/>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FangSong_GB2312" w:cs="Times New Roman"/>
                <w:color w:val="auto"/>
                <w:sz w:val="21"/>
                <w:szCs w:val="21"/>
                <w:highlight w:val="none"/>
                <w:lang w:eastAsia="zh-CN"/>
              </w:rPr>
            </w:pPr>
            <w:r>
              <w:rPr>
                <w:color w:val="auto"/>
                <w:spacing w:val="-2"/>
                <w:sz w:val="21"/>
                <w:szCs w:val="21"/>
                <w:highlight w:val="none"/>
              </w:rPr>
              <w:t>独立费用（万元</w:t>
            </w:r>
            <w:r>
              <w:rPr>
                <w:rFonts w:hint="eastAsia" w:ascii="Times New Roman" w:hAnsi="Times New Roman" w:eastAsia="宋体" w:cs="Times New Roman"/>
                <w:color w:val="auto"/>
                <w:spacing w:val="-2"/>
                <w:sz w:val="21"/>
                <w:szCs w:val="21"/>
                <w:highlight w:val="none"/>
                <w:lang w:eastAsia="zh-CN"/>
              </w:rPr>
              <w:t>）</w:t>
            </w:r>
          </w:p>
        </w:tc>
        <w:tc>
          <w:tcPr>
            <w:tcW w:w="1532" w:type="dxa"/>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38.22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707" w:type="dxa"/>
            <w:gridSpan w:val="4"/>
            <w:shd w:val="clear" w:color="auto" w:fill="FFFFFF"/>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color w:val="auto"/>
                <w:spacing w:val="-2"/>
                <w:sz w:val="21"/>
                <w:szCs w:val="21"/>
                <w:highlight w:val="none"/>
              </w:rPr>
              <w:t>监理费（万元）</w:t>
            </w:r>
          </w:p>
        </w:tc>
        <w:tc>
          <w:tcPr>
            <w:tcW w:w="636" w:type="dxa"/>
            <w:gridSpan w:val="2"/>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宋体" w:cs="Times New Roman"/>
                <w:color w:val="auto"/>
                <w:spacing w:val="-2"/>
                <w:sz w:val="21"/>
                <w:szCs w:val="21"/>
                <w:highlight w:val="none"/>
                <w:lang w:val="en-US" w:eastAsia="zh-CN"/>
              </w:rPr>
              <w:t>1.42</w:t>
            </w:r>
          </w:p>
        </w:tc>
        <w:tc>
          <w:tcPr>
            <w:tcW w:w="1329" w:type="dxa"/>
            <w:shd w:val="clear" w:color="auto" w:fill="auto"/>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z w:val="21"/>
                <w:szCs w:val="21"/>
                <w:highlight w:val="none"/>
              </w:rPr>
            </w:pPr>
            <w:r>
              <w:rPr>
                <w:color w:val="auto"/>
                <w:spacing w:val="-2"/>
                <w:sz w:val="21"/>
                <w:szCs w:val="21"/>
                <w:highlight w:val="none"/>
              </w:rPr>
              <w:t>监测费（万元）</w:t>
            </w:r>
          </w:p>
        </w:tc>
        <w:tc>
          <w:tcPr>
            <w:tcW w:w="1329" w:type="dxa"/>
            <w:gridSpan w:val="2"/>
            <w:shd w:val="clear" w:color="auto" w:fill="auto"/>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仿宋_GB2312" w:cs="Times New Roman"/>
                <w:color w:val="auto"/>
                <w:sz w:val="21"/>
                <w:szCs w:val="21"/>
                <w:highlight w:val="none"/>
                <w:lang w:val="en-US" w:eastAsia="zh-CN"/>
              </w:rPr>
              <w:t>18.84</w:t>
            </w:r>
          </w:p>
        </w:tc>
        <w:tc>
          <w:tcPr>
            <w:tcW w:w="1513" w:type="dxa"/>
            <w:gridSpan w:val="3"/>
            <w:shd w:val="clear" w:color="auto" w:fill="auto"/>
            <w:noWrap w:val="0"/>
            <w:tcMar>
              <w:top w:w="15" w:type="dxa"/>
              <w:left w:w="15" w:type="dxa"/>
              <w:right w:w="15" w:type="dxa"/>
            </w:tcMar>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z w:val="21"/>
                <w:szCs w:val="21"/>
                <w:highlight w:val="none"/>
              </w:rPr>
            </w:pPr>
            <w:r>
              <w:rPr>
                <w:color w:val="auto"/>
                <w:spacing w:val="-2"/>
                <w:sz w:val="21"/>
                <w:szCs w:val="21"/>
                <w:highlight w:val="none"/>
              </w:rPr>
              <w:t>补偿费（万元）</w:t>
            </w:r>
          </w:p>
        </w:tc>
        <w:tc>
          <w:tcPr>
            <w:tcW w:w="1672" w:type="dxa"/>
            <w:gridSpan w:val="2"/>
            <w:shd w:val="clear" w:color="auto" w:fill="FFFFFF"/>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_GB2312" w:cs="Times New Roman"/>
                <w:color w:val="auto"/>
                <w:sz w:val="21"/>
                <w:szCs w:val="21"/>
                <w:highlight w:val="none"/>
                <w:lang w:val="en-US" w:eastAsia="zh-CN"/>
              </w:rPr>
            </w:pPr>
            <w:r>
              <w:rPr>
                <w:rFonts w:hint="eastAsia" w:ascii="Times New Roman" w:hAnsi="Times New Roman" w:eastAsia="宋体" w:cs="Times New Roman"/>
                <w:color w:val="auto"/>
                <w:spacing w:val="-2"/>
                <w:sz w:val="21"/>
                <w:szCs w:val="21"/>
                <w:highlight w:val="none"/>
                <w:lang w:val="en-US" w:eastAsia="zh-CN"/>
              </w:rPr>
              <w:t>19.161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53" w:type="dxa"/>
            <w:gridSpan w:val="3"/>
            <w:shd w:val="clear" w:color="auto" w:fill="FFFFFF"/>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方案编制单位</w:t>
            </w:r>
          </w:p>
        </w:tc>
        <w:tc>
          <w:tcPr>
            <w:tcW w:w="3319" w:type="dxa"/>
            <w:gridSpan w:val="4"/>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eastAsia="zh-CN"/>
              </w:rPr>
              <w:t>北京林丰源生态环境规划设计院有限公司</w:t>
            </w:r>
          </w:p>
        </w:tc>
        <w:tc>
          <w:tcPr>
            <w:tcW w:w="1200" w:type="dxa"/>
            <w:shd w:val="clear" w:color="auto" w:fill="auto"/>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建设单位</w:t>
            </w:r>
          </w:p>
        </w:tc>
        <w:tc>
          <w:tcPr>
            <w:tcW w:w="3314" w:type="dxa"/>
            <w:gridSpan w:val="6"/>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bCs/>
                <w:color w:val="auto"/>
                <w:kern w:val="0"/>
                <w:sz w:val="21"/>
                <w:szCs w:val="21"/>
                <w:highlight w:val="none"/>
              </w:rPr>
              <w:t>国网重庆市电力公司合川供电分公司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53" w:type="dxa"/>
            <w:gridSpan w:val="3"/>
            <w:shd w:val="clear" w:color="auto" w:fill="FFFFFF"/>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法定代表人</w:t>
            </w:r>
          </w:p>
        </w:tc>
        <w:tc>
          <w:tcPr>
            <w:tcW w:w="3319" w:type="dxa"/>
            <w:gridSpan w:val="4"/>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bCs/>
                <w:color w:val="auto"/>
                <w:kern w:val="0"/>
                <w:sz w:val="21"/>
                <w:szCs w:val="21"/>
                <w:highlight w:val="none"/>
                <w:lang w:val="en-US" w:eastAsia="zh-CN"/>
              </w:rPr>
              <w:t>赵云杰</w:t>
            </w:r>
          </w:p>
        </w:tc>
        <w:tc>
          <w:tcPr>
            <w:tcW w:w="1200" w:type="dxa"/>
            <w:shd w:val="clear" w:color="auto" w:fill="auto"/>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法定代表人</w:t>
            </w:r>
          </w:p>
        </w:tc>
        <w:tc>
          <w:tcPr>
            <w:tcW w:w="3314" w:type="dxa"/>
            <w:gridSpan w:val="6"/>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bCs/>
                <w:color w:val="auto"/>
                <w:kern w:val="0"/>
                <w:sz w:val="21"/>
                <w:szCs w:val="21"/>
                <w:highlight w:val="none"/>
                <w:lang w:val="en-US" w:eastAsia="zh-CN"/>
              </w:rPr>
              <w:t>周孔均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53" w:type="dxa"/>
            <w:gridSpan w:val="3"/>
            <w:shd w:val="clear" w:color="auto" w:fill="FFFFFF"/>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地址</w:t>
            </w:r>
          </w:p>
        </w:tc>
        <w:tc>
          <w:tcPr>
            <w:tcW w:w="3319" w:type="dxa"/>
            <w:gridSpan w:val="4"/>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bCs/>
                <w:color w:val="auto"/>
                <w:kern w:val="0"/>
                <w:sz w:val="21"/>
                <w:szCs w:val="21"/>
                <w:highlight w:val="none"/>
              </w:rPr>
              <w:t>北京市海淀区清华东路35号北京林业大学学研中心2层C0202-1、C0202-2房间</w:t>
            </w:r>
          </w:p>
        </w:tc>
        <w:tc>
          <w:tcPr>
            <w:tcW w:w="1200" w:type="dxa"/>
            <w:shd w:val="clear" w:color="auto" w:fill="auto"/>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地址</w:t>
            </w:r>
          </w:p>
        </w:tc>
        <w:tc>
          <w:tcPr>
            <w:tcW w:w="3314" w:type="dxa"/>
            <w:gridSpan w:val="6"/>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重庆市合川区合阳办义乌大道928号附1-1号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53" w:type="dxa"/>
            <w:gridSpan w:val="3"/>
            <w:shd w:val="clear" w:color="auto" w:fill="FFFFFF"/>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邮编</w:t>
            </w:r>
          </w:p>
        </w:tc>
        <w:tc>
          <w:tcPr>
            <w:tcW w:w="3319" w:type="dxa"/>
            <w:gridSpan w:val="4"/>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100089</w:t>
            </w:r>
          </w:p>
        </w:tc>
        <w:tc>
          <w:tcPr>
            <w:tcW w:w="1200" w:type="dxa"/>
            <w:shd w:val="clear" w:color="auto" w:fill="auto"/>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邮编</w:t>
            </w:r>
          </w:p>
        </w:tc>
        <w:tc>
          <w:tcPr>
            <w:tcW w:w="3314" w:type="dxa"/>
            <w:gridSpan w:val="6"/>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401520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53" w:type="dxa"/>
            <w:gridSpan w:val="3"/>
            <w:shd w:val="clear" w:color="auto" w:fill="FFFFFF"/>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联系人及电话</w:t>
            </w:r>
          </w:p>
        </w:tc>
        <w:tc>
          <w:tcPr>
            <w:tcW w:w="3319" w:type="dxa"/>
            <w:gridSpan w:val="4"/>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kern w:val="0"/>
                <w:sz w:val="21"/>
                <w:szCs w:val="21"/>
                <w:highlight w:val="none"/>
                <w:lang w:val="en-US" w:eastAsia="zh-CN" w:bidi="ar"/>
              </w:rPr>
              <w:t>郭玉芹/18</w:t>
            </w:r>
            <w:r>
              <w:rPr>
                <w:rFonts w:hint="eastAsia" w:ascii="Times New Roman" w:hAnsi="Times New Roman" w:eastAsia="仿宋_GB2312" w:cs="Times New Roman"/>
                <w:color w:val="auto"/>
                <w:kern w:val="0"/>
                <w:sz w:val="21"/>
                <w:szCs w:val="21"/>
                <w:highlight w:val="none"/>
                <w:lang w:val="en-US" w:eastAsia="zh-CN" w:bidi="ar"/>
              </w:rPr>
              <w:t>***</w:t>
            </w:r>
            <w:r>
              <w:rPr>
                <w:rFonts w:hint="default" w:ascii="Times New Roman" w:hAnsi="Times New Roman" w:eastAsia="仿宋_GB2312" w:cs="Times New Roman"/>
                <w:color w:val="auto"/>
                <w:kern w:val="0"/>
                <w:sz w:val="21"/>
                <w:szCs w:val="21"/>
                <w:highlight w:val="none"/>
                <w:lang w:val="en-US" w:eastAsia="zh-CN" w:bidi="ar"/>
              </w:rPr>
              <w:t>22</w:t>
            </w:r>
          </w:p>
        </w:tc>
        <w:tc>
          <w:tcPr>
            <w:tcW w:w="1200" w:type="dxa"/>
            <w:shd w:val="clear" w:color="auto" w:fill="auto"/>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联系人及电话</w:t>
            </w:r>
          </w:p>
        </w:tc>
        <w:tc>
          <w:tcPr>
            <w:tcW w:w="3314" w:type="dxa"/>
            <w:gridSpan w:val="6"/>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rPr>
              <w:t>向阳生/13</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99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53" w:type="dxa"/>
            <w:gridSpan w:val="3"/>
            <w:shd w:val="clear" w:color="auto" w:fill="FFFFFF"/>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传真</w:t>
            </w:r>
          </w:p>
        </w:tc>
        <w:tc>
          <w:tcPr>
            <w:tcW w:w="3319" w:type="dxa"/>
            <w:gridSpan w:val="4"/>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bCs/>
                <w:color w:val="auto"/>
                <w:kern w:val="0"/>
                <w:sz w:val="21"/>
                <w:szCs w:val="21"/>
                <w:highlight w:val="none"/>
              </w:rPr>
              <w:t>010-61</w:t>
            </w:r>
            <w:r>
              <w:rPr>
                <w:rFonts w:hint="eastAsia" w:ascii="Times New Roman" w:hAnsi="Times New Roman" w:eastAsia="仿宋_GB2312" w:cs="Times New Roman"/>
                <w:bCs/>
                <w:color w:val="auto"/>
                <w:kern w:val="0"/>
                <w:sz w:val="21"/>
                <w:szCs w:val="21"/>
                <w:highlight w:val="none"/>
                <w:lang w:val="en-US" w:eastAsia="zh-CN"/>
              </w:rPr>
              <w:t>***</w:t>
            </w:r>
            <w:r>
              <w:rPr>
                <w:rFonts w:hint="default" w:ascii="Times New Roman" w:hAnsi="Times New Roman" w:eastAsia="仿宋_GB2312" w:cs="Times New Roman"/>
                <w:bCs/>
                <w:color w:val="auto"/>
                <w:kern w:val="0"/>
                <w:sz w:val="21"/>
                <w:szCs w:val="21"/>
                <w:highlight w:val="none"/>
              </w:rPr>
              <w:t>73</w:t>
            </w:r>
          </w:p>
        </w:tc>
        <w:tc>
          <w:tcPr>
            <w:tcW w:w="1200" w:type="dxa"/>
            <w:shd w:val="clear" w:color="auto" w:fill="auto"/>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传真</w:t>
            </w:r>
          </w:p>
        </w:tc>
        <w:tc>
          <w:tcPr>
            <w:tcW w:w="3314" w:type="dxa"/>
            <w:gridSpan w:val="6"/>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rPr>
              <w:t>021-42</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03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353" w:type="dxa"/>
            <w:gridSpan w:val="3"/>
            <w:shd w:val="clear" w:color="auto" w:fill="FFFFFF"/>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电子信箱</w:t>
            </w:r>
          </w:p>
        </w:tc>
        <w:tc>
          <w:tcPr>
            <w:tcW w:w="3319" w:type="dxa"/>
            <w:gridSpan w:val="4"/>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bCs/>
                <w:color w:val="auto"/>
                <w:kern w:val="0"/>
                <w:sz w:val="21"/>
                <w:szCs w:val="21"/>
                <w:highlight w:val="none"/>
              </w:rPr>
              <w:t>14</w:t>
            </w:r>
            <w:r>
              <w:rPr>
                <w:rFonts w:hint="eastAsia" w:ascii="Times New Roman" w:hAnsi="Times New Roman" w:eastAsia="仿宋_GB2312" w:cs="Times New Roman"/>
                <w:bCs/>
                <w:color w:val="auto"/>
                <w:kern w:val="0"/>
                <w:sz w:val="21"/>
                <w:szCs w:val="21"/>
                <w:highlight w:val="none"/>
                <w:lang w:val="en-US" w:eastAsia="zh-CN"/>
              </w:rPr>
              <w:t>***</w:t>
            </w:r>
            <w:r>
              <w:rPr>
                <w:rFonts w:hint="default" w:ascii="Times New Roman" w:hAnsi="Times New Roman" w:eastAsia="仿宋_GB2312" w:cs="Times New Roman"/>
                <w:bCs/>
                <w:color w:val="auto"/>
                <w:kern w:val="0"/>
                <w:sz w:val="21"/>
                <w:szCs w:val="21"/>
                <w:highlight w:val="none"/>
              </w:rPr>
              <w:t>60@qq.com</w:t>
            </w:r>
          </w:p>
        </w:tc>
        <w:tc>
          <w:tcPr>
            <w:tcW w:w="1200" w:type="dxa"/>
            <w:shd w:val="clear" w:color="auto" w:fill="auto"/>
            <w:noWrap w:val="0"/>
            <w:tcMar>
              <w:top w:w="15" w:type="dxa"/>
              <w:left w:w="15" w:type="dxa"/>
              <w:right w:w="15" w:type="dxa"/>
            </w:tcMar>
            <w:vAlign w:val="center"/>
          </w:tcPr>
          <w:p>
            <w:pPr>
              <w:widowControl/>
              <w:spacing w:line="240" w:lineRule="auto"/>
              <w:ind w:firstLine="0" w:firstLineChars="0"/>
              <w:jc w:val="center"/>
              <w:textAlignment w:val="center"/>
              <w:rPr>
                <w:rFonts w:hint="default" w:ascii="Times New Roman" w:hAnsi="Times New Roman" w:eastAsia="仿宋_GB2312" w:cs="Times New Roman"/>
                <w:color w:val="auto"/>
                <w:kern w:val="0"/>
                <w:sz w:val="21"/>
                <w:szCs w:val="21"/>
                <w:highlight w:val="none"/>
                <w:lang w:bidi="ar"/>
              </w:rPr>
            </w:pPr>
            <w:r>
              <w:rPr>
                <w:rFonts w:hint="default" w:ascii="Times New Roman" w:hAnsi="Times New Roman" w:eastAsia="仿宋_GB2312" w:cs="Times New Roman"/>
                <w:color w:val="auto"/>
                <w:kern w:val="0"/>
                <w:sz w:val="21"/>
                <w:szCs w:val="21"/>
                <w:highlight w:val="none"/>
                <w:lang w:bidi="ar"/>
              </w:rPr>
              <w:t>电子信箱</w:t>
            </w:r>
          </w:p>
        </w:tc>
        <w:tc>
          <w:tcPr>
            <w:tcW w:w="3314" w:type="dxa"/>
            <w:gridSpan w:val="6"/>
            <w:shd w:val="clear" w:color="auto" w:fill="FFFFFF"/>
            <w:noWrap w:val="0"/>
            <w:tcMar>
              <w:top w:w="15" w:type="dxa"/>
              <w:left w:w="15" w:type="dxa"/>
              <w:right w:w="15" w:type="dxa"/>
            </w:tcMar>
            <w:vAlign w:val="center"/>
          </w:tcPr>
          <w:p>
            <w:pPr>
              <w:spacing w:line="240" w:lineRule="auto"/>
              <w:ind w:firstLine="0" w:firstLineChars="0"/>
              <w:jc w:val="center"/>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sz w:val="21"/>
                <w:szCs w:val="21"/>
                <w:highlight w:val="none"/>
                <w:lang w:val="en-US" w:eastAsia="zh-CN"/>
              </w:rPr>
              <w:t>17</w:t>
            </w:r>
            <w:r>
              <w:rPr>
                <w:rFonts w:hint="eastAsia"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46@qq.com</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合川高瓦房220千伏输变电工程水土保持</w:t>
      </w: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11</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21</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合川高瓦房220千伏输变电工程水土保持方案报告书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合川区水利局、铜梁区水利局、</w:t>
      </w:r>
      <w:r>
        <w:rPr>
          <w:rFonts w:hint="eastAsia" w:ascii="Times New Roman" w:hAnsi="Times New Roman" w:eastAsia="方正仿宋_GBK" w:cs="Times New Roman"/>
          <w:sz w:val="32"/>
          <w:szCs w:val="32"/>
          <w:lang w:bidi="ar"/>
        </w:rPr>
        <w:t>国网重庆市电力公司合川供电分公司（以下简称项目法人）、北京林丰源生态环境规划设计院有限公司（以下简</w:t>
      </w:r>
      <w:r>
        <w:rPr>
          <w:rFonts w:hint="eastAsia" w:ascii="Times New Roman" w:hAnsi="Times New Roman" w:eastAsia="方正仿宋_GBK" w:cs="Times New Roman"/>
          <w:sz w:val="32"/>
          <w:szCs w:val="32"/>
          <w:lang w:eastAsia="zh-CN" w:bidi="ar"/>
        </w:rPr>
        <w:t>称</w:t>
      </w:r>
      <w:r>
        <w:rPr>
          <w:rFonts w:hint="eastAsia" w:ascii="Times New Roman" w:hAnsi="Times New Roman" w:eastAsia="方正仿宋_GBK" w:cs="Times New Roman"/>
          <w:sz w:val="32"/>
          <w:szCs w:val="32"/>
          <w:lang w:bidi="ar"/>
        </w:rPr>
        <w:t>报告编制单位）、重庆市万州区光泰电力勘察设计有限公司（主体设计单位）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5</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12</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15</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w:t>
      </w:r>
      <w:r>
        <w:rPr>
          <w:rFonts w:hint="eastAsia" w:ascii="Times New Roman" w:hAnsi="Times New Roman" w:eastAsia="方正仿宋_GBK" w:cs="Times New Roman"/>
          <w:sz w:val="32"/>
          <w:szCs w:val="32"/>
          <w:lang w:val="en-US" w:eastAsia="zh-CN"/>
        </w:rPr>
        <w:t>27</w:t>
      </w:r>
      <w:r>
        <w:rPr>
          <w:rFonts w:hint="eastAsia" w:ascii="Times New Roman" w:hAnsi="Times New Roman" w:eastAsia="方正仿宋_GBK" w:cs="Times New Roman"/>
          <w:sz w:val="32"/>
          <w:szCs w:val="32"/>
        </w:rPr>
        <w:t>年。</w:t>
      </w:r>
    </w:p>
    <w:p>
      <w:pPr>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13.69hm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，其中：合川区12.75hm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，铜梁区0.94hm</w:t>
      </w:r>
      <w:r>
        <w:rPr>
          <w:rFonts w:hint="eastAsia" w:ascii="Times New Roman" w:hAnsi="Times New Roman" w:eastAsia="方正仿宋_GBK" w:cs="Times New Roman"/>
          <w:sz w:val="32"/>
          <w:szCs w:val="32"/>
          <w:vertAlign w:val="superscript"/>
          <w:lang w:val="en-US" w:eastAsia="zh-CN"/>
        </w:rPr>
        <w:t>2</w:t>
      </w:r>
      <w:r>
        <w:rPr>
          <w:rFonts w:hint="default" w:ascii="Times New Roman" w:hAnsi="Times New Roman" w:eastAsia="方正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w:t>
      </w:r>
      <w:r>
        <w:rPr>
          <w:rFonts w:hint="eastAsia" w:ascii="Times New Roman" w:hAnsi="Times New Roman" w:eastAsia="方正仿宋_GBK" w:cs="Times New Roman"/>
          <w:sz w:val="32"/>
          <w:szCs w:val="32"/>
          <w:lang w:val="en-US" w:eastAsia="zh-CN"/>
        </w:rPr>
        <w:t>94</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合川高瓦房220千伏输变电工程</w:t>
      </w:r>
      <w:r>
        <w:rPr>
          <w:rFonts w:hint="default" w:ascii="Times New Roman" w:hAnsi="Times New Roman" w:eastAsia="方正仿宋_GB2312" w:cs="Times New Roman"/>
          <w:color w:val="auto"/>
          <w:sz w:val="32"/>
          <w:szCs w:val="32"/>
          <w:lang w:eastAsia="zh-CN"/>
        </w:rPr>
        <w:t>（以下简称项目）</w:t>
      </w:r>
      <w:r>
        <w:rPr>
          <w:rFonts w:hint="default" w:ascii="Times New Roman" w:hAnsi="Times New Roman" w:eastAsia="方正仿宋_GB2312" w:cs="Times New Roman"/>
          <w:color w:val="auto"/>
          <w:sz w:val="32"/>
          <w:szCs w:val="32"/>
          <w:lang w:val="en-US" w:eastAsia="zh-CN"/>
        </w:rPr>
        <w:t>位于合川区和铜梁区，</w:t>
      </w:r>
      <w:r>
        <w:rPr>
          <w:rFonts w:hint="eastAsia" w:ascii="Times New Roman" w:hAnsi="Times New Roman" w:eastAsia="方正仿宋_GB2312" w:cs="Times New Roman"/>
          <w:color w:val="auto"/>
          <w:sz w:val="32"/>
          <w:szCs w:val="32"/>
          <w:lang w:val="en-US" w:eastAsia="zh-CN"/>
        </w:rPr>
        <w:t>由</w:t>
      </w:r>
      <w:r>
        <w:rPr>
          <w:rFonts w:hint="default" w:ascii="Times New Roman" w:hAnsi="Times New Roman" w:eastAsia="方正仿宋_GB2312" w:cs="Times New Roman"/>
          <w:color w:val="auto"/>
          <w:sz w:val="32"/>
          <w:szCs w:val="32"/>
          <w:lang w:val="en-US" w:eastAsia="zh-CN"/>
        </w:rPr>
        <w:t>变电站工程和线路工程</w:t>
      </w:r>
      <w:r>
        <w:rPr>
          <w:rFonts w:hint="eastAsia" w:ascii="Times New Roman" w:hAnsi="Times New Roman" w:eastAsia="方正仿宋_GB2312" w:cs="Times New Roman"/>
          <w:color w:val="auto"/>
          <w:sz w:val="32"/>
          <w:szCs w:val="32"/>
          <w:lang w:val="en-US" w:eastAsia="zh-CN"/>
        </w:rPr>
        <w:t>两部分组成</w:t>
      </w:r>
      <w:r>
        <w:rPr>
          <w:rFonts w:hint="default" w:ascii="Times New Roman" w:hAnsi="Times New Roman" w:eastAsia="方正仿宋_GB2312" w:cs="Times New Roman"/>
          <w:color w:val="auto"/>
          <w:sz w:val="32"/>
          <w:szCs w:val="32"/>
          <w:lang w:val="en-US" w:eastAsia="zh-CN"/>
        </w:rPr>
        <w:t>。变电站工程包括高瓦房220</w:t>
      </w:r>
      <w:r>
        <w:rPr>
          <w:rFonts w:hint="default" w:ascii="Times New Roman" w:hAnsi="Times New Roman" w:eastAsia="方正仿宋_GB2312" w:cs="Times New Roman"/>
          <w:color w:val="auto"/>
          <w:sz w:val="32"/>
          <w:szCs w:val="32"/>
          <w:lang w:eastAsia="zh-CN"/>
        </w:rPr>
        <w:t>kV</w:t>
      </w:r>
      <w:r>
        <w:rPr>
          <w:rFonts w:hint="default" w:ascii="Times New Roman" w:hAnsi="Times New Roman" w:eastAsia="方正仿宋_GB2312" w:cs="Times New Roman"/>
          <w:color w:val="auto"/>
          <w:sz w:val="32"/>
          <w:szCs w:val="32"/>
          <w:lang w:val="en-US" w:eastAsia="zh-CN"/>
        </w:rPr>
        <w:t>变电站新建工程；铜梁500</w:t>
      </w:r>
      <w:r>
        <w:rPr>
          <w:rFonts w:hint="default" w:ascii="Times New Roman" w:hAnsi="Times New Roman" w:eastAsia="方正仿宋_GB2312" w:cs="Times New Roman"/>
          <w:color w:val="auto"/>
          <w:sz w:val="32"/>
          <w:szCs w:val="32"/>
          <w:lang w:eastAsia="zh-CN"/>
        </w:rPr>
        <w:t>kV</w:t>
      </w:r>
      <w:r>
        <w:rPr>
          <w:rFonts w:hint="default" w:ascii="Times New Roman" w:hAnsi="Times New Roman" w:eastAsia="方正仿宋_GB2312" w:cs="Times New Roman"/>
          <w:color w:val="auto"/>
          <w:sz w:val="32"/>
          <w:szCs w:val="32"/>
          <w:lang w:val="en-US" w:eastAsia="zh-CN"/>
        </w:rPr>
        <w:t>变电站扩建220</w:t>
      </w:r>
      <w:r>
        <w:rPr>
          <w:rFonts w:hint="default" w:ascii="Times New Roman" w:hAnsi="Times New Roman" w:eastAsia="方正仿宋_GB2312" w:cs="Times New Roman"/>
          <w:color w:val="auto"/>
          <w:sz w:val="32"/>
          <w:szCs w:val="32"/>
          <w:lang w:eastAsia="zh-CN"/>
        </w:rPr>
        <w:t>kV</w:t>
      </w:r>
      <w:r>
        <w:rPr>
          <w:rFonts w:hint="default" w:ascii="Times New Roman" w:hAnsi="Times New Roman" w:eastAsia="方正仿宋_GB2312" w:cs="Times New Roman"/>
          <w:color w:val="auto"/>
          <w:sz w:val="32"/>
          <w:szCs w:val="32"/>
          <w:lang w:val="en-US" w:eastAsia="zh-CN"/>
        </w:rPr>
        <w:t>出线间隔2个，出线至高瓦房变电站；大石变电站利旧原至220kV花园站2回出线间隔，改接至本期220kV高瓦房变电站</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扩建2回220kV出线间隔，还建给至220kV花园站2回线路。线路工程</w:t>
      </w:r>
      <w:r>
        <w:rPr>
          <w:rFonts w:hint="default" w:ascii="Times New Roman" w:hAnsi="Times New Roman" w:eastAsia="方正仿宋_GB2312" w:cs="Times New Roman"/>
          <w:color w:val="auto"/>
          <w:sz w:val="32"/>
          <w:szCs w:val="32"/>
          <w:lang w:eastAsia="zh-CN"/>
        </w:rPr>
        <w:t>为</w:t>
      </w:r>
      <w:r>
        <w:rPr>
          <w:rFonts w:hint="default" w:ascii="Times New Roman" w:hAnsi="Times New Roman" w:eastAsia="方正仿宋_GB2312" w:cs="Times New Roman"/>
          <w:color w:val="auto"/>
          <w:sz w:val="32"/>
          <w:szCs w:val="32"/>
          <w:lang w:val="en-US" w:eastAsia="zh-CN"/>
        </w:rPr>
        <w:t>新建架空线路36.08</w:t>
      </w:r>
      <w:r>
        <w:rPr>
          <w:rFonts w:hint="default" w:ascii="Times New Roman" w:hAnsi="Times New Roman" w:eastAsia="方正仿宋_GB2312" w:cs="Times New Roman"/>
          <w:color w:val="auto"/>
          <w:sz w:val="32"/>
          <w:szCs w:val="32"/>
          <w:lang w:eastAsia="zh-CN"/>
        </w:rPr>
        <w:t>0</w:t>
      </w:r>
      <w:r>
        <w:rPr>
          <w:rFonts w:hint="default" w:ascii="Times New Roman" w:hAnsi="Times New Roman" w:eastAsia="方正仿宋_GB2312" w:cs="Times New Roman"/>
          <w:color w:val="auto"/>
          <w:sz w:val="32"/>
          <w:szCs w:val="32"/>
          <w:lang w:val="en-US" w:eastAsia="zh-CN"/>
        </w:rPr>
        <w:t>km，新建铁塔107基，包括铜梁～高瓦房220千伏线路工程新建线路24.132km</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铜梁区境内3.645</w:t>
      </w:r>
      <w:r>
        <w:rPr>
          <w:rFonts w:hint="default" w:ascii="Times New Roman" w:hAnsi="Times New Roman" w:eastAsia="方正仿宋_GB2312" w:cs="Times New Roman"/>
          <w:color w:val="auto"/>
          <w:sz w:val="32"/>
          <w:szCs w:val="32"/>
          <w:lang w:eastAsia="zh-CN"/>
        </w:rPr>
        <w:t>km</w:t>
      </w:r>
      <w:r>
        <w:rPr>
          <w:rFonts w:hint="default" w:ascii="Times New Roman" w:hAnsi="Times New Roman" w:eastAsia="方正仿宋_GB2312" w:cs="Times New Roman"/>
          <w:color w:val="auto"/>
          <w:sz w:val="32"/>
          <w:szCs w:val="32"/>
          <w:lang w:val="en-US" w:eastAsia="zh-CN"/>
        </w:rPr>
        <w:t>，合川区境内20.487</w:t>
      </w:r>
      <w:r>
        <w:rPr>
          <w:rFonts w:hint="default" w:ascii="Times New Roman" w:hAnsi="Times New Roman" w:eastAsia="方正仿宋_GB2312" w:cs="Times New Roman"/>
          <w:color w:val="auto"/>
          <w:sz w:val="32"/>
          <w:szCs w:val="32"/>
          <w:lang w:eastAsia="zh-CN"/>
        </w:rPr>
        <w:t>km）</w:t>
      </w:r>
      <w:r>
        <w:rPr>
          <w:rFonts w:hint="default"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eastAsia="zh-CN"/>
        </w:rPr>
        <w:t>同塔双回路架设，</w:t>
      </w:r>
      <w:r>
        <w:rPr>
          <w:rFonts w:hint="default" w:ascii="Times New Roman" w:hAnsi="Times New Roman" w:eastAsia="方正仿宋_GB2312" w:cs="Times New Roman"/>
          <w:color w:val="auto"/>
          <w:sz w:val="32"/>
          <w:szCs w:val="32"/>
          <w:lang w:val="en-US" w:eastAsia="zh-CN"/>
        </w:rPr>
        <w:t>采用自立式角钢铁塔，</w:t>
      </w:r>
      <w:r>
        <w:rPr>
          <w:rFonts w:hint="default" w:ascii="Times New Roman" w:hAnsi="Times New Roman" w:eastAsia="方正仿宋_GB2312" w:cs="Times New Roman"/>
          <w:color w:val="auto"/>
          <w:sz w:val="32"/>
          <w:szCs w:val="32"/>
          <w:lang w:eastAsia="zh-CN"/>
        </w:rPr>
        <w:t>新</w:t>
      </w:r>
      <w:r>
        <w:rPr>
          <w:rFonts w:hint="default" w:ascii="Times New Roman" w:hAnsi="Times New Roman" w:eastAsia="方正仿宋_GB2312" w:cs="Times New Roman"/>
          <w:color w:val="auto"/>
          <w:sz w:val="32"/>
          <w:szCs w:val="32"/>
          <w:lang w:val="en-US" w:eastAsia="zh-CN"/>
        </w:rPr>
        <w:t>建塔基70基</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直线塔31基，耐张塔39基</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；大石～高瓦房220</w:t>
      </w:r>
      <w:r>
        <w:rPr>
          <w:rFonts w:hint="default" w:ascii="Times New Roman" w:hAnsi="Times New Roman" w:eastAsia="方正仿宋_GB2312" w:cs="Times New Roman"/>
          <w:color w:val="auto"/>
          <w:sz w:val="32"/>
          <w:szCs w:val="32"/>
          <w:lang w:eastAsia="zh-CN"/>
        </w:rPr>
        <w:t>kV</w:t>
      </w:r>
      <w:r>
        <w:rPr>
          <w:rFonts w:hint="default" w:ascii="Times New Roman" w:hAnsi="Times New Roman" w:eastAsia="方正仿宋_GB2312" w:cs="Times New Roman"/>
          <w:color w:val="auto"/>
          <w:sz w:val="32"/>
          <w:szCs w:val="32"/>
          <w:lang w:val="en-US" w:eastAsia="zh-CN"/>
        </w:rPr>
        <w:t>线路工程新建线路11.552</w:t>
      </w:r>
      <w:r>
        <w:rPr>
          <w:rFonts w:hint="default" w:ascii="Times New Roman" w:hAnsi="Times New Roman" w:eastAsia="方正仿宋_GB2312" w:cs="Times New Roman"/>
          <w:color w:val="auto"/>
          <w:sz w:val="32"/>
          <w:szCs w:val="32"/>
          <w:lang w:eastAsia="zh-CN"/>
        </w:rPr>
        <w:t>km</w:t>
      </w:r>
      <w:r>
        <w:rPr>
          <w:rFonts w:hint="default" w:ascii="Times New Roman" w:hAnsi="Times New Roman" w:eastAsia="方正仿宋_GB2312" w:cs="Times New Roman"/>
          <w:color w:val="auto"/>
          <w:sz w:val="32"/>
          <w:szCs w:val="32"/>
          <w:lang w:val="en-US" w:eastAsia="zh-CN"/>
        </w:rPr>
        <w:t>，还建大石站侧花大南北线进站通道路径0.396</w:t>
      </w:r>
      <w:r>
        <w:rPr>
          <w:rFonts w:hint="default" w:ascii="Times New Roman" w:hAnsi="Times New Roman" w:eastAsia="方正仿宋_GB2312" w:cs="Times New Roman"/>
          <w:color w:val="auto"/>
          <w:sz w:val="32"/>
          <w:szCs w:val="32"/>
          <w:lang w:eastAsia="zh-CN"/>
        </w:rPr>
        <w:t>km（合川区境内）</w:t>
      </w:r>
      <w:r>
        <w:rPr>
          <w:rFonts w:hint="default" w:ascii="Times New Roman" w:hAnsi="Times New Roman" w:eastAsia="方正仿宋_GB2312" w:cs="Times New Roman"/>
          <w:color w:val="auto"/>
          <w:sz w:val="32"/>
          <w:szCs w:val="32"/>
          <w:lang w:val="en-US" w:eastAsia="zh-CN"/>
        </w:rPr>
        <w:t>，同塔双回路架设，采用自立式角钢铁塔</w:t>
      </w:r>
      <w:r>
        <w:rPr>
          <w:rFonts w:hint="default"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新建杆塔37基（含还建1基），其中直线塔17基，耐张塔20基。</w:t>
      </w:r>
    </w:p>
    <w:p>
      <w:pPr>
        <w:keepNext w:val="0"/>
        <w:keepLines w:val="0"/>
        <w:pageBreakBefore w:val="0"/>
        <w:widowControl w:val="0"/>
        <w:kinsoku/>
        <w:wordWrap/>
        <w:overflowPunct/>
        <w:topLinePunct w:val="0"/>
        <w:autoSpaceDE/>
        <w:autoSpaceDN/>
        <w:bidi w:val="0"/>
        <w:adjustRightInd/>
        <w:spacing w:line="580" w:lineRule="exact"/>
        <w:ind w:left="0" w:leftChars="0" w:firstLine="0" w:firstLineChars="0"/>
        <w:textAlignment w:val="auto"/>
        <w:rPr>
          <w:rFonts w:hint="eastAsia" w:ascii="Times New Roman" w:hAnsi="Times New Roman" w:eastAsia="方正仿宋_GBK" w:cs="Times New Roman"/>
          <w:sz w:val="32"/>
          <w:szCs w:val="32"/>
        </w:rPr>
      </w:pPr>
      <w:r>
        <w:rPr>
          <w:rFonts w:hint="default" w:ascii="Times New Roman" w:hAnsi="Times New Roman" w:eastAsia="方正仿宋_GB2312" w:cs="Times New Roman"/>
          <w:color w:val="auto"/>
          <w:sz w:val="32"/>
          <w:szCs w:val="32"/>
          <w:lang w:eastAsia="zh-CN"/>
        </w:rPr>
        <w:t xml:space="preserve">     项目</w:t>
      </w:r>
      <w:r>
        <w:rPr>
          <w:rFonts w:hint="default" w:ascii="Times New Roman" w:hAnsi="Times New Roman" w:eastAsia="方正仿宋_GB2312" w:cs="Times New Roman"/>
          <w:color w:val="auto"/>
          <w:sz w:val="32"/>
          <w:szCs w:val="32"/>
          <w:lang w:val="en-US" w:eastAsia="zh-CN"/>
        </w:rPr>
        <w:t>总占地面积13.69hm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lang w:val="en-US" w:eastAsia="zh-CN"/>
        </w:rPr>
        <w:t>永久占地4.97hm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，临时占地8.72hm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。项目总挖方9.78万m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（含表土剥离1.69万m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，淤泥0.01万m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），总填方9.78万m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（含表土回覆1.69万m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，淤泥0.01万m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无借方，无余方。工程建设中所涉及的土地征用、青苗赔偿、房屋拆迁、林木砍伐等工程建设相关事宜，全部由建设单位采用现金补偿的方式，不涉及拆迁安置；项目高瓦房变电站建设占用濮家河河道改道，纳入本项目建设内容。工程计划2025年12月开工，2027年6月完工，总工期19个月。工程总投资28478.00万元，其中，土建投资15309.00万元</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二</w:t>
      </w:r>
      <w:r>
        <w:rPr>
          <w:rFonts w:hint="eastAsia" w:ascii="Times New Roman" w:hAnsi="Times New Roman" w:eastAsia="方正仿宋_GBK" w:cs="Times New Roman"/>
          <w:sz w:val="32"/>
          <w:szCs w:val="32"/>
        </w:rPr>
        <w:t>）项目区</w:t>
      </w:r>
      <w:r>
        <w:rPr>
          <w:rFonts w:hint="eastAsia" w:ascii="Times New Roman" w:hAnsi="Times New Roman" w:eastAsia="方正仿宋_GBK" w:cs="Times New Roman"/>
          <w:sz w:val="32"/>
          <w:szCs w:val="32"/>
          <w:lang w:eastAsia="zh-CN"/>
        </w:rPr>
        <w:t>自然简况</w:t>
      </w:r>
      <w:r>
        <w:rPr>
          <w:rFonts w:hint="eastAsia" w:ascii="Times New Roman" w:hAnsi="Times New Roman" w:eastAsia="方正仿宋_GBK" w:cs="Times New Roman"/>
          <w:sz w:val="32"/>
          <w:szCs w:val="32"/>
        </w:rPr>
        <w:t>阐述基本清楚</w:t>
      </w:r>
      <w:r>
        <w:rPr>
          <w:rFonts w:ascii="方正仿宋_GBK" w:hAnsi="Calibri" w:eastAsia="方正仿宋_GBK" w:cs="Times New Roman"/>
          <w:bCs/>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（一）基本同意工程选址（线）水土保持评价。项目选址（线）</w:t>
      </w:r>
      <w:r>
        <w:rPr>
          <w:rFonts w:hint="default" w:ascii="Times New Roman" w:hAnsi="Times New Roman" w:eastAsia="方正仿宋_GBK" w:cs="Times New Roman"/>
          <w:sz w:val="32"/>
          <w:szCs w:val="32"/>
        </w:rPr>
        <w:t>受线路布设走向及站场选址的制约，</w:t>
      </w:r>
      <w:r>
        <w:rPr>
          <w:rFonts w:hint="eastAsia" w:ascii="Times New Roman" w:hAnsi="Times New Roman" w:eastAsia="方正仿宋_GBK" w:cs="Times New Roman"/>
          <w:sz w:val="32"/>
          <w:szCs w:val="32"/>
        </w:rPr>
        <w:t>无法避让重庆市水土流失重点治理区、重庆市水土流失重点预防区，</w:t>
      </w:r>
      <w:r>
        <w:rPr>
          <w:rFonts w:hint="default" w:ascii="Times New Roman" w:hAnsi="Times New Roman" w:eastAsia="方正仿宋_GBK" w:cs="Times New Roman"/>
          <w:sz w:val="32"/>
          <w:szCs w:val="32"/>
        </w:rPr>
        <w:t>方案</w:t>
      </w:r>
      <w:r>
        <w:rPr>
          <w:rFonts w:hint="eastAsia" w:ascii="Times New Roman" w:hAnsi="Times New Roman" w:eastAsia="方正仿宋_GBK" w:cs="Times New Roman"/>
          <w:sz w:val="32"/>
          <w:szCs w:val="32"/>
        </w:rPr>
        <w:t>已经执行</w:t>
      </w:r>
      <w:r>
        <w:rPr>
          <w:rFonts w:hint="default" w:ascii="Times New Roman" w:hAnsi="Times New Roman" w:eastAsia="方正仿宋_GBK" w:cs="Times New Roman"/>
          <w:sz w:val="32"/>
          <w:szCs w:val="32"/>
        </w:rPr>
        <w:t>西南紫色土区建设类项目</w:t>
      </w:r>
      <w:r>
        <w:rPr>
          <w:rFonts w:hint="eastAsia" w:ascii="Times New Roman" w:hAnsi="Times New Roman" w:eastAsia="方正仿宋_GBK" w:cs="Times New Roman"/>
          <w:sz w:val="32"/>
          <w:szCs w:val="32"/>
        </w:rPr>
        <w:t>水土流失</w:t>
      </w:r>
      <w:r>
        <w:rPr>
          <w:rFonts w:hint="default" w:ascii="Times New Roman" w:hAnsi="Times New Roman" w:eastAsia="方正仿宋_GBK" w:cs="Times New Roman"/>
          <w:sz w:val="32"/>
          <w:szCs w:val="32"/>
        </w:rPr>
        <w:t>一级</w:t>
      </w:r>
      <w:r>
        <w:rPr>
          <w:rFonts w:hint="eastAsia" w:ascii="Times New Roman" w:hAnsi="Times New Roman" w:eastAsia="方正仿宋_GBK" w:cs="Times New Roman"/>
          <w:sz w:val="32"/>
          <w:szCs w:val="32"/>
        </w:rPr>
        <w:t>防治标准，符合法律法规要求。</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（二）基本同意建设方案与布局水土保持评价。</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（三）同意主体工程设计中水土保持措施界定</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13.69</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4.06</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1505.58t，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963.50</w:t>
      </w:r>
      <w:r>
        <w:rPr>
          <w:rFonts w:hint="eastAsia" w:ascii="Times New Roman" w:hAnsi="Times New Roman" w:eastAsia="方正仿宋_GBK" w:cs="Times New Roman"/>
          <w:sz w:val="32"/>
          <w:szCs w:val="32"/>
        </w:rPr>
        <w:t>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（一）同意项目水土流失防治分区划分为变电站工程、输电线路工程2个一级防治区</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rPr>
        <w:t>变电站工程防治区划分为站区、施工生产生活区、施工电源区、河道改道区、间隔扩建区等5个二级防治区；输电线路工程防治区划分为塔基及施工场地区、牵张场区、施工道路区、跨越施工场地区等4个二级防治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（二）基本同意由主体工程设计的水土保持措施和方案新增的水土保持措施所组成的水土流失防治措施体系。</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（三）基本同意各防治区防治措施布局及水土保持措施典型设计</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1.变电站工程防治区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（1）站区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施工前对可剥离表土区域进行</w:t>
      </w:r>
      <w:r>
        <w:rPr>
          <w:rFonts w:hint="default" w:ascii="Times New Roman" w:hAnsi="Times New Roman" w:eastAsia="方正仿宋_GBK" w:cs="Times New Roman"/>
          <w:sz w:val="32"/>
          <w:szCs w:val="32"/>
          <w:lang w:eastAsia="zh-CN"/>
        </w:rPr>
        <w:t>表土</w:t>
      </w:r>
      <w:r>
        <w:rPr>
          <w:rFonts w:hint="eastAsia" w:ascii="Times New Roman" w:hAnsi="Times New Roman" w:eastAsia="方正仿宋_GBK" w:cs="Times New Roman"/>
          <w:sz w:val="32"/>
          <w:szCs w:val="32"/>
          <w:lang w:val="en-US" w:eastAsia="zh-CN"/>
        </w:rPr>
        <w:t>剥离，并行临时堆存和防护；对临时堆放的基坑回填土采取彩条布覆盖，对临时堆放的表土采取编织袋拦挡。施工过程中</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在站区布设永临结合排水沟，在临时排水沟末端布设沉沙池；在站外东北侧边坡坡脚设置填土编织袋拦挡；按设计在站内道路下方修建排水管，雨水通过站内排水管排入西南侧排水沟最终进入濮家河河道</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在变电站站内道路与围墙间区域进行透水砖铺装；对围墙外边坡修筑菱形格网植草护坡，围墙外布设排水沟。施工</w:t>
      </w:r>
      <w:r>
        <w:rPr>
          <w:rFonts w:hint="default" w:ascii="Times New Roman" w:hAnsi="Times New Roman" w:eastAsia="方正仿宋_GBK" w:cs="Times New Roman"/>
          <w:sz w:val="32"/>
          <w:szCs w:val="32"/>
          <w:lang w:eastAsia="zh-CN"/>
        </w:rPr>
        <w:t>完毕</w:t>
      </w:r>
      <w:r>
        <w:rPr>
          <w:rFonts w:hint="eastAsia"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在站内配电装置区、设备区铺设碎石；对围墙外和进站道路两侧进行覆土、土地整治、撒播草籽绿化。</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（2）施工生产生活区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施工过程中，对临时堆土、裸露地表等进行临时覆盖</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对于堆放在场地内的临时堆土，四周采用填土编织袋临时拦挡。施工完毕后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对场地进行覆土、恢复植被。</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（3）施工电源区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施工过程中</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对开挖面及开挖土方采用彩条布铺垫防护。施工完毕后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对场地进行平整、复耕。</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（4）河道改道区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对改道范围进行表土剥离，并行临时堆存和防护。施工过程中</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对区域内裸露地表进行彩条布覆盖</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施工后期</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按设计对河道两岸布设C25砼挡墙。施工</w:t>
      </w:r>
      <w:r>
        <w:rPr>
          <w:rFonts w:hint="default" w:ascii="Times New Roman" w:hAnsi="Times New Roman" w:eastAsia="方正仿宋_GBK" w:cs="Times New Roman"/>
          <w:sz w:val="32"/>
          <w:szCs w:val="32"/>
          <w:lang w:eastAsia="zh-CN"/>
        </w:rPr>
        <w:t>完毕</w:t>
      </w:r>
      <w:r>
        <w:rPr>
          <w:rFonts w:hint="eastAsia"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对占用耕地区域进行覆土、复耕。</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（5）间隔扩建区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施工期间</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对临时堆土及裸露区域采取彩条布覆盖。施工</w:t>
      </w:r>
      <w:r>
        <w:rPr>
          <w:rFonts w:hint="default" w:ascii="Times New Roman" w:hAnsi="Times New Roman" w:eastAsia="方正仿宋_GBK" w:cs="Times New Roman"/>
          <w:sz w:val="32"/>
          <w:szCs w:val="32"/>
          <w:lang w:eastAsia="zh-CN"/>
        </w:rPr>
        <w:t>完毕</w:t>
      </w:r>
      <w:r>
        <w:rPr>
          <w:rFonts w:hint="eastAsia"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eastAsia="zh-CN"/>
        </w:rPr>
        <w:t>，对</w:t>
      </w:r>
      <w:r>
        <w:rPr>
          <w:rFonts w:hint="eastAsia" w:ascii="Times New Roman" w:hAnsi="Times New Roman" w:eastAsia="方正仿宋_GBK" w:cs="Times New Roman"/>
          <w:sz w:val="32"/>
          <w:szCs w:val="32"/>
          <w:lang w:val="en-US" w:eastAsia="zh-CN"/>
        </w:rPr>
        <w:t>站内人行道路与配电装置之间恢复透水砖铺装，间隔扩建配电装置恢复碎石地坪。</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2.输电线路防治区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（1）塔基及施工场地区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施工前，对占地类型为林地、耕地并需要开挖动土区域的表土进行剥离，集中堆放于塔基施工区，四周采用填土编织袋拦挡。施工过程中</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按设计在塔基基础坡顶或坡脚设置浆砌石堡坎和浆砌石排水沟；对塔基临时堆土或以压占为主的扰动区域采取铺垫彩条布防护，裸露地表和临时堆土顶部采用彩条布覆盖。施工</w:t>
      </w:r>
      <w:r>
        <w:rPr>
          <w:rFonts w:hint="default" w:ascii="Times New Roman" w:hAnsi="Times New Roman" w:eastAsia="方正仿宋_GBK" w:cs="Times New Roman"/>
          <w:sz w:val="32"/>
          <w:szCs w:val="32"/>
          <w:lang w:eastAsia="zh-CN"/>
        </w:rPr>
        <w:t>完毕</w:t>
      </w:r>
      <w:r>
        <w:rPr>
          <w:rFonts w:hint="eastAsia" w:ascii="Times New Roman" w:hAnsi="Times New Roman" w:eastAsia="方正仿宋_GBK" w:cs="Times New Roman"/>
          <w:sz w:val="32"/>
          <w:szCs w:val="32"/>
          <w:lang w:val="en-US" w:eastAsia="zh-CN"/>
        </w:rPr>
        <w:t>后，对扰动的地表进行表土回覆、土地整治，根据占地类型进行复耕及植被恢复。</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（2）牵张场区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施工过程中，在材料堆放底部铺垫彩条布。施工</w:t>
      </w:r>
      <w:r>
        <w:rPr>
          <w:rFonts w:hint="default" w:ascii="Times New Roman" w:hAnsi="Times New Roman" w:eastAsia="方正仿宋_GBK" w:cs="Times New Roman"/>
          <w:sz w:val="32"/>
          <w:szCs w:val="32"/>
          <w:lang w:eastAsia="zh-CN"/>
        </w:rPr>
        <w:t>完毕</w:t>
      </w:r>
      <w:r>
        <w:rPr>
          <w:rFonts w:hint="eastAsia"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进行土地整治，根据占地类型进行复耕及植被恢复。</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（3）跨越施工场地区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施工过程中，在材料堆放底部铺垫彩条布。施工</w:t>
      </w:r>
      <w:r>
        <w:rPr>
          <w:rFonts w:hint="default" w:ascii="Times New Roman" w:hAnsi="Times New Roman" w:eastAsia="方正仿宋_GBK" w:cs="Times New Roman"/>
          <w:sz w:val="32"/>
          <w:szCs w:val="32"/>
          <w:lang w:eastAsia="zh-CN"/>
        </w:rPr>
        <w:t>完毕</w:t>
      </w:r>
      <w:r>
        <w:rPr>
          <w:rFonts w:hint="eastAsia"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进行土地整治，根据占地类型进行复耕及植被恢复。</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（4）施工道路区</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施工前，对占地类型为林地、耕地的机械道路表土进行剥离，堆放在道路一侧，临时堆土区域底部铺垫彩条布，顶部用彩条布覆盖，并根据地形设置临时排水、沉</w:t>
      </w:r>
      <w:r>
        <w:rPr>
          <w:rFonts w:hint="default" w:ascii="Times New Roman" w:hAnsi="Times New Roman" w:eastAsia="方正仿宋_GBK" w:cs="Times New Roman"/>
          <w:sz w:val="32"/>
          <w:szCs w:val="32"/>
          <w:lang w:eastAsia="zh-CN"/>
        </w:rPr>
        <w:t>沙</w:t>
      </w:r>
      <w:r>
        <w:rPr>
          <w:rFonts w:hint="eastAsia" w:ascii="Times New Roman" w:hAnsi="Times New Roman" w:eastAsia="方正仿宋_GBK" w:cs="Times New Roman"/>
          <w:sz w:val="32"/>
          <w:szCs w:val="32"/>
          <w:lang w:val="en-US" w:eastAsia="zh-CN"/>
        </w:rPr>
        <w:t>措施。施工</w:t>
      </w:r>
      <w:r>
        <w:rPr>
          <w:rFonts w:hint="default" w:ascii="Times New Roman" w:hAnsi="Times New Roman" w:eastAsia="方正仿宋_GBK" w:cs="Times New Roman"/>
          <w:sz w:val="32"/>
          <w:szCs w:val="32"/>
          <w:lang w:eastAsia="zh-CN"/>
        </w:rPr>
        <w:t>完毕</w:t>
      </w:r>
      <w:r>
        <w:rPr>
          <w:rFonts w:hint="eastAsia" w:ascii="Times New Roman" w:hAnsi="Times New Roman" w:eastAsia="方正仿宋_GBK" w:cs="Times New Roman"/>
          <w:sz w:val="32"/>
          <w:szCs w:val="32"/>
          <w:lang w:val="en-US" w:eastAsia="zh-CN"/>
        </w:rPr>
        <w:t>后</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进行土地整治，根据占地类型进行复耕及植被恢复。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582.85万元，其中：主体已列460.56万元，方案新增122.29万元（工程措施2.15万元，植物措施0.36万元，监测措施18.84万元，施工临时措施37.72万元，独立费用38.22万元，基本预备费5.84万元，水土保持补偿费19.161万元）</w:t>
      </w:r>
      <w:r>
        <w:rPr>
          <w:rFonts w:hint="eastAsia" w:ascii="方正仿宋_GBK" w:hAnsi="Calibri" w:eastAsia="方正仿宋_GBK" w:cs="Times New Roman"/>
          <w:bCs/>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pStyle w:val="13"/>
        <w:keepNext w:val="0"/>
        <w:keepLines w:val="0"/>
        <w:pageBreakBefore w:val="0"/>
        <w:kinsoku/>
        <w:wordWrap/>
        <w:overflowPunct/>
        <w:topLinePunct w:val="0"/>
        <w:autoSpaceDE/>
        <w:autoSpaceDN/>
        <w:bidi w:val="0"/>
        <w:adjustRightInd/>
        <w:snapToGrid/>
        <w:spacing w:line="594" w:lineRule="exact"/>
        <w:textAlignment w:val="auto"/>
        <w:rPr>
          <w:rFonts w:hint="eastAsia"/>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pStyle w:val="14"/>
        <w:rPr>
          <w:rFonts w:hint="eastAsia"/>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合川高瓦房220千伏输变电工程水土保持方案投资估算</w:t>
      </w:r>
      <w:r>
        <w:rPr>
          <w:rFonts w:hint="eastAsia" w:ascii="Times New Roman" w:hAnsi="Times New Roman" w:eastAsia="方正仿宋_GBK"/>
          <w:sz w:val="32"/>
          <w:szCs w:val="32"/>
        </w:rPr>
        <w:t>审核表</w:t>
      </w:r>
    </w:p>
    <w:p>
      <w:pPr>
        <w:widowControl/>
        <w:spacing w:line="600" w:lineRule="exact"/>
        <w:ind w:left="1380" w:leftChars="200" w:hanging="960" w:hangingChars="300"/>
        <w:rPr>
          <w:rFonts w:ascii="Times New Roman" w:hAnsi="Times New Roman" w:eastAsia="方正仿宋_GBK"/>
          <w:sz w:val="32"/>
          <w:szCs w:val="32"/>
        </w:rPr>
      </w:pP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78" w:leftChars="656" w:firstLine="4160" w:firstLineChars="1300"/>
        <w:rPr>
          <w:rFonts w:ascii="Times New Roman" w:hAnsi="Times New Roman" w:eastAsia="方正仿宋_GBK"/>
          <w:sz w:val="32"/>
          <w:szCs w:val="32"/>
        </w:rPr>
      </w:pPr>
    </w:p>
    <w:p>
      <w:pPr>
        <w:widowControl/>
        <w:spacing w:line="600" w:lineRule="exact"/>
        <w:ind w:firstLine="5040" w:firstLineChars="2400"/>
        <w:rPr>
          <w:rFonts w:hint="eastAsia" w:ascii="Times New Roman" w:hAnsi="Times New Roman" w:eastAsia="方正仿宋_GBK"/>
          <w:sz w:val="32"/>
          <w:szCs w:val="32"/>
          <w:lang w:eastAsia="zh-CN"/>
        </w:rPr>
      </w:pPr>
      <w:r>
        <w:drawing>
          <wp:anchor distT="0" distB="0" distL="114300" distR="114300" simplePos="0" relativeHeight="251659264" behindDoc="0" locked="0" layoutInCell="1" allowOverlap="1">
            <wp:simplePos x="0" y="0"/>
            <wp:positionH relativeFrom="column">
              <wp:posOffset>4316095</wp:posOffset>
            </wp:positionH>
            <wp:positionV relativeFrom="paragraph">
              <wp:posOffset>52070</wp:posOffset>
            </wp:positionV>
            <wp:extent cx="1216660" cy="354965"/>
            <wp:effectExtent l="10795" t="41910" r="10795" b="60325"/>
            <wp:wrapNone/>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8"/>
                    <a:srcRect l="39485" t="60204" r="39352" b="35449"/>
                    <a:stretch>
                      <a:fillRect/>
                    </a:stretch>
                  </pic:blipFill>
                  <pic:spPr>
                    <a:xfrm rot="240000">
                      <a:off x="0" y="0"/>
                      <a:ext cx="1216660" cy="354965"/>
                    </a:xfrm>
                    <a:prstGeom prst="rect">
                      <a:avLst/>
                    </a:prstGeom>
                    <a:noFill/>
                    <a:ln>
                      <a:noFill/>
                    </a:ln>
                  </pic:spPr>
                </pic:pic>
              </a:graphicData>
            </a:graphic>
          </wp:anchor>
        </w:drawing>
      </w: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left="1378" w:leftChars="656" w:firstLine="4160" w:firstLineChars="1300"/>
        <w:rPr>
          <w:rFonts w:hint="eastAsia"/>
        </w:rPr>
        <w:sectPr>
          <w:footerReference r:id="rId3" w:type="default"/>
          <w:footerReference r:id="rId4" w:type="even"/>
          <w:pgSz w:w="11906" w:h="16838"/>
          <w:pgMar w:top="1985" w:right="1446" w:bottom="1684" w:left="1446" w:header="851" w:footer="992" w:gutter="0"/>
          <w:cols w:space="720" w:num="1"/>
          <w:docGrid w:linePitch="381" w:charSpace="0"/>
        </w:sectPr>
      </w:pPr>
      <w:r>
        <w:rPr>
          <w:rFonts w:ascii="Times New Roman" w:hAnsi="Times New Roman" w:eastAsia="方正仿宋_GBK"/>
          <w:sz w:val="32"/>
          <w:szCs w:val="32"/>
        </w:rPr>
        <w:t>202</w:t>
      </w:r>
      <w:r>
        <w:rPr>
          <w:rFonts w:hint="default" w:ascii="Times New Roman" w:hAnsi="Times New Roman" w:eastAsia="方正仿宋_GBK"/>
          <w:sz w:val="32"/>
          <w:szCs w:val="32"/>
          <w:lang w:val="en"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16</w:t>
      </w:r>
      <w:r>
        <w:rPr>
          <w:rFonts w:ascii="Times New Roman" w:hAnsi="Times New Roman" w:eastAsia="方正仿宋_GBK"/>
          <w:sz w:val="32"/>
          <w:szCs w:val="32"/>
        </w:rPr>
        <w:t>日</w:t>
      </w:r>
    </w:p>
    <w:p>
      <w:pPr>
        <w:spacing w:line="400" w:lineRule="exact"/>
        <w:rPr>
          <w:rFonts w:hint="eastAsia" w:ascii="Times New Roman" w:hAnsi="Times New Roman" w:eastAsia="宋体" w:cs="Times New Roman"/>
          <w:kern w:val="0"/>
          <w:sz w:val="32"/>
          <w:szCs w:val="32"/>
          <w:lang w:bidi="ar"/>
        </w:rPr>
      </w:pPr>
      <w:r>
        <w:rPr>
          <w:rFonts w:hint="eastAsia" w:ascii="方正黑体_GBK" w:hAnsi="Times New Roman" w:eastAsia="方正黑体_GBK"/>
          <w:sz w:val="32"/>
          <w:szCs w:val="32"/>
        </w:rPr>
        <w:t>附件</w:t>
      </w:r>
    </w:p>
    <w:p>
      <w:pPr>
        <w:spacing w:line="400" w:lineRule="exact"/>
        <w:jc w:val="center"/>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bCs/>
          <w:sz w:val="32"/>
          <w:szCs w:val="32"/>
        </w:rPr>
        <w:t>合川高瓦房220千伏输变电工程水土保持方案</w:t>
      </w:r>
    </w:p>
    <w:p>
      <w:pPr>
        <w:spacing w:line="4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bCs/>
          <w:sz w:val="32"/>
          <w:szCs w:val="32"/>
        </w:rPr>
        <w:t>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79"/>
        <w:gridCol w:w="2400"/>
        <w:gridCol w:w="1500"/>
        <w:gridCol w:w="1650"/>
        <w:gridCol w:w="1300"/>
        <w:gridCol w:w="9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1079" w:type="dxa"/>
            <w:vMerge w:val="restart"/>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序号</w:t>
            </w:r>
          </w:p>
        </w:tc>
        <w:tc>
          <w:tcPr>
            <w:tcW w:w="2400" w:type="dxa"/>
            <w:vMerge w:val="restart"/>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工程或费用名称</w:t>
            </w:r>
          </w:p>
        </w:tc>
        <w:tc>
          <w:tcPr>
            <w:tcW w:w="4450" w:type="dxa"/>
            <w:gridSpan w:val="3"/>
            <w:tcBorders>
              <w:tl2br w:val="nil"/>
              <w:tr2bl w:val="nil"/>
            </w:tcBorders>
            <w:shd w:val="clear" w:color="auto" w:fill="FFFFFF"/>
            <w:noWrap/>
            <w:vAlign w:val="center"/>
          </w:tcPr>
          <w:p>
            <w:pPr>
              <w:widowControl/>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审核投资</w:t>
            </w:r>
          </w:p>
        </w:tc>
        <w:tc>
          <w:tcPr>
            <w:tcW w:w="939" w:type="dxa"/>
            <w:vMerge w:val="restart"/>
            <w:tcBorders>
              <w:tl2br w:val="nil"/>
              <w:tr2bl w:val="nil"/>
            </w:tcBorders>
            <w:shd w:val="clear" w:color="auto" w:fill="FFFFFF"/>
            <w:noWrap/>
            <w:vAlign w:val="center"/>
          </w:tcPr>
          <w:p>
            <w:pPr>
              <w:widowControl/>
              <w:jc w:val="center"/>
              <w:rPr>
                <w:rFonts w:hint="eastAsia" w:ascii="宋体" w:hAnsi="宋体" w:eastAsia="宋体" w:cs="宋体"/>
                <w:b w:val="0"/>
                <w:bCs w:val="0"/>
                <w:color w:val="auto"/>
                <w:kern w:val="0"/>
                <w:sz w:val="21"/>
                <w:szCs w:val="21"/>
                <w:lang w:eastAsia="zh-CN"/>
              </w:rPr>
            </w:pPr>
            <w:r>
              <w:rPr>
                <w:rFonts w:hint="eastAsia" w:ascii="宋体" w:hAnsi="宋体" w:eastAsia="宋体" w:cs="宋体"/>
                <w:b w:val="0"/>
                <w:bCs w:val="0"/>
                <w:color w:val="auto"/>
                <w:kern w:val="0"/>
                <w:sz w:val="21"/>
                <w:szCs w:val="21"/>
                <w:lang w:eastAsia="zh-CN"/>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1079" w:type="dxa"/>
            <w:vMerge w:val="continue"/>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val="0"/>
                <w:bCs w:val="0"/>
                <w:i w:val="0"/>
                <w:iCs w:val="0"/>
                <w:color w:val="auto"/>
                <w:sz w:val="21"/>
                <w:szCs w:val="21"/>
                <w:u w:val="none"/>
              </w:rPr>
            </w:pPr>
          </w:p>
        </w:tc>
        <w:tc>
          <w:tcPr>
            <w:tcW w:w="2400" w:type="dxa"/>
            <w:vMerge w:val="continue"/>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val="0"/>
                <w:bCs w:val="0"/>
                <w:i w:val="0"/>
                <w:iCs w:val="0"/>
                <w:color w:val="auto"/>
                <w:sz w:val="21"/>
                <w:szCs w:val="21"/>
                <w:u w:val="none"/>
              </w:rPr>
            </w:pPr>
          </w:p>
        </w:tc>
        <w:tc>
          <w:tcPr>
            <w:tcW w:w="1500" w:type="dxa"/>
            <w:tcBorders>
              <w:tl2br w:val="nil"/>
              <w:tr2bl w:val="nil"/>
            </w:tcBorders>
            <w:shd w:val="clear" w:color="auto" w:fill="FFFFFF"/>
            <w:noWrap/>
            <w:vAlign w:val="center"/>
          </w:tcPr>
          <w:p>
            <w:pPr>
              <w:widowControl/>
              <w:jc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color w:val="auto"/>
                <w:kern w:val="0"/>
                <w:sz w:val="21"/>
                <w:szCs w:val="21"/>
              </w:rPr>
              <w:t>方案新增</w:t>
            </w:r>
          </w:p>
        </w:tc>
        <w:tc>
          <w:tcPr>
            <w:tcW w:w="1650" w:type="dxa"/>
            <w:tcBorders>
              <w:tl2br w:val="nil"/>
              <w:tr2bl w:val="nil"/>
            </w:tcBorders>
            <w:shd w:val="clear" w:color="auto" w:fill="FFFFFF"/>
            <w:noWrap/>
            <w:vAlign w:val="center"/>
          </w:tcPr>
          <w:p>
            <w:pPr>
              <w:widowControl/>
              <w:jc w:val="center"/>
              <w:rPr>
                <w:rFonts w:hint="eastAsia" w:ascii="宋体" w:hAnsi="宋体" w:eastAsia="宋体" w:cs="宋体"/>
                <w:b w:val="0"/>
                <w:bCs w:val="0"/>
                <w:i w:val="0"/>
                <w:iCs w:val="0"/>
                <w:color w:val="auto"/>
                <w:sz w:val="21"/>
                <w:szCs w:val="21"/>
                <w:u w:val="none"/>
                <w:lang w:val="en-US"/>
              </w:rPr>
            </w:pPr>
            <w:r>
              <w:rPr>
                <w:rFonts w:hint="eastAsia" w:ascii="宋体" w:hAnsi="宋体" w:eastAsia="宋体" w:cs="宋体"/>
                <w:b w:val="0"/>
                <w:bCs w:val="0"/>
                <w:color w:val="auto"/>
                <w:kern w:val="0"/>
                <w:sz w:val="21"/>
                <w:szCs w:val="21"/>
              </w:rPr>
              <w:t>主体已列</w:t>
            </w:r>
          </w:p>
        </w:tc>
        <w:tc>
          <w:tcPr>
            <w:tcW w:w="1300" w:type="dxa"/>
            <w:tcBorders>
              <w:tl2br w:val="nil"/>
              <w:tr2bl w:val="nil"/>
            </w:tcBorders>
            <w:shd w:val="clear" w:color="auto" w:fill="FFFFFF"/>
            <w:noWrap/>
            <w:vAlign w:val="center"/>
          </w:tcPr>
          <w:p>
            <w:pPr>
              <w:widowControl/>
              <w:jc w:val="center"/>
              <w:rPr>
                <w:rFonts w:hint="eastAsia" w:ascii="宋体" w:hAnsi="宋体" w:eastAsia="宋体" w:cs="宋体"/>
                <w:b w:val="0"/>
                <w:bCs w:val="0"/>
                <w:i w:val="0"/>
                <w:iCs w:val="0"/>
                <w:color w:val="auto"/>
                <w:sz w:val="21"/>
                <w:szCs w:val="21"/>
                <w:u w:val="none"/>
                <w:lang w:val="en-US" w:eastAsia="zh-CN"/>
              </w:rPr>
            </w:pPr>
            <w:r>
              <w:rPr>
                <w:rFonts w:hint="eastAsia" w:ascii="宋体" w:hAnsi="宋体" w:eastAsia="宋体" w:cs="宋体"/>
                <w:b w:val="0"/>
                <w:bCs w:val="0"/>
                <w:color w:val="auto"/>
                <w:kern w:val="0"/>
                <w:sz w:val="21"/>
                <w:szCs w:val="21"/>
              </w:rPr>
              <w:t>合计</w:t>
            </w:r>
          </w:p>
        </w:tc>
        <w:tc>
          <w:tcPr>
            <w:tcW w:w="939" w:type="dxa"/>
            <w:vMerge w:val="continue"/>
            <w:tcBorders>
              <w:tl2br w:val="nil"/>
              <w:tr2bl w:val="nil"/>
            </w:tcBorders>
            <w:shd w:val="clear" w:color="auto" w:fill="FFFFFF"/>
            <w:noWrap/>
            <w:vAlign w:val="center"/>
          </w:tcPr>
          <w:p>
            <w:pPr>
              <w:widowControl/>
              <w:jc w:val="center"/>
              <w:rPr>
                <w:rFonts w:hint="eastAsia" w:ascii="宋体" w:hAnsi="宋体" w:eastAsia="宋体" w:cs="宋体"/>
                <w:b w:val="0"/>
                <w:bCs w:val="0"/>
                <w:color w:val="auto"/>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第一部分</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工程措施费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2.15</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345.21</w:t>
            </w: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347.36</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变电站工程区</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0.74</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211.53</w:t>
            </w: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212.27</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输电线路区</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1.41</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133.68</w:t>
            </w: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135.09</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第二部分</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植物措施费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0.36</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79.92</w:t>
            </w: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80.28</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变电站工程区</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0.09</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70.79</w:t>
            </w: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70.88</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输电线路区</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0.27</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9.13</w:t>
            </w: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9.40</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第三部分</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监测措施费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18.84</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18.84</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土建设施费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0.00</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0.00</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1.76</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1.76</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观测运行费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17.08</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17.08</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第四部分</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施工临时措施费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37.72</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35.43</w:t>
            </w: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73.15</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变电站工程防治区</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11.44</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3.04</w:t>
            </w: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14.48</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sz w:val="21"/>
                <w:szCs w:val="21"/>
                <w:u w:val="none"/>
                <w:lang w:val="en-US" w:eastAsia="zh-CN"/>
              </w:rPr>
              <w:t>2</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输电线路防治区</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26.23</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32.39</w:t>
            </w: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58.62</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其他临时工程</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0.05</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0.05</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第五部分</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独立费用</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38.22</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38.22</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水土保持方案编制费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17.26</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17.26</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40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科研勘测设计费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3.18</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3.18</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水土保持设施竣工验收技术评估费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14.18</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14.18</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建设管理费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1.18</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1.18</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工程建设监理费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1.42</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1.42</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招标代理服务费</w:t>
            </w:r>
          </w:p>
        </w:tc>
        <w:tc>
          <w:tcPr>
            <w:tcW w:w="15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1.00</w:t>
            </w:r>
          </w:p>
        </w:tc>
        <w:tc>
          <w:tcPr>
            <w:tcW w:w="165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c>
          <w:tcPr>
            <w:tcW w:w="13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1.00</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widowControl/>
              <w:spacing w:after="0" w:line="278" w:lineRule="auto"/>
              <w:jc w:val="center"/>
              <w:rPr>
                <w:rFonts w:hint="eastAsia" w:ascii="宋体" w:hAnsi="宋体" w:eastAsia="宋体" w:cs="宋体"/>
                <w:b/>
                <w:bCs/>
                <w:i w:val="0"/>
                <w:iCs w:val="0"/>
                <w:color w:val="auto"/>
                <w:sz w:val="21"/>
                <w:szCs w:val="21"/>
                <w:u w:val="none"/>
              </w:rPr>
            </w:pPr>
            <w:r>
              <w:rPr>
                <w:rFonts w:hint="eastAsia" w:ascii="宋体" w:hAnsi="宋体" w:eastAsia="宋体" w:cs="宋体"/>
                <w:b/>
                <w:bCs/>
                <w:kern w:val="0"/>
                <w:sz w:val="21"/>
                <w:szCs w:val="21"/>
              </w:rPr>
              <w:t>Ⅰ</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一至五部分合计</w:t>
            </w:r>
          </w:p>
        </w:tc>
        <w:tc>
          <w:tcPr>
            <w:tcW w:w="15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97.29</w:t>
            </w:r>
          </w:p>
        </w:tc>
        <w:tc>
          <w:tcPr>
            <w:tcW w:w="16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460.56</w:t>
            </w:r>
          </w:p>
        </w:tc>
        <w:tc>
          <w:tcPr>
            <w:tcW w:w="13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557.85</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widowControl/>
              <w:spacing w:after="0" w:line="278" w:lineRule="auto"/>
              <w:jc w:val="center"/>
              <w:rPr>
                <w:rFonts w:hint="eastAsia" w:ascii="宋体" w:hAnsi="宋体" w:eastAsia="宋体" w:cs="宋体"/>
                <w:b/>
                <w:bCs/>
                <w:i w:val="0"/>
                <w:iCs w:val="0"/>
                <w:color w:val="auto"/>
                <w:sz w:val="21"/>
                <w:szCs w:val="21"/>
                <w:u w:val="none"/>
              </w:rPr>
            </w:pPr>
            <w:r>
              <w:rPr>
                <w:rFonts w:hint="eastAsia" w:ascii="宋体" w:hAnsi="宋体" w:eastAsia="宋体" w:cs="宋体"/>
                <w:b/>
                <w:bCs/>
                <w:kern w:val="0"/>
                <w:sz w:val="21"/>
                <w:szCs w:val="21"/>
              </w:rPr>
              <w:t>Ⅱ</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基本预备费</w:t>
            </w:r>
          </w:p>
        </w:tc>
        <w:tc>
          <w:tcPr>
            <w:tcW w:w="15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5.84</w:t>
            </w:r>
          </w:p>
        </w:tc>
        <w:tc>
          <w:tcPr>
            <w:tcW w:w="16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c>
          <w:tcPr>
            <w:tcW w:w="13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5.84</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79" w:type="dxa"/>
            <w:tcBorders>
              <w:tl2br w:val="nil"/>
              <w:tr2bl w:val="nil"/>
            </w:tcBorders>
            <w:shd w:val="clear" w:color="auto" w:fill="FFFFFF"/>
            <w:noWrap/>
            <w:vAlign w:val="center"/>
          </w:tcPr>
          <w:p>
            <w:pPr>
              <w:widowControl/>
              <w:spacing w:after="0" w:line="278" w:lineRule="auto"/>
              <w:jc w:val="center"/>
              <w:rPr>
                <w:rFonts w:hint="eastAsia" w:ascii="宋体" w:hAnsi="宋体" w:eastAsia="宋体" w:cs="宋体"/>
                <w:b/>
                <w:bCs/>
                <w:i w:val="0"/>
                <w:iCs w:val="0"/>
                <w:color w:val="auto"/>
                <w:sz w:val="21"/>
                <w:szCs w:val="21"/>
                <w:u w:val="none"/>
              </w:rPr>
            </w:pPr>
            <w:r>
              <w:rPr>
                <w:rFonts w:hint="eastAsia" w:ascii="宋体" w:hAnsi="宋体" w:eastAsia="宋体" w:cs="宋体"/>
                <w:b/>
                <w:bCs/>
                <w:kern w:val="0"/>
                <w:sz w:val="21"/>
                <w:szCs w:val="21"/>
              </w:rPr>
              <w:t>Ⅲ</w:t>
            </w:r>
          </w:p>
        </w:tc>
        <w:tc>
          <w:tcPr>
            <w:tcW w:w="240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水土保持补偿费</w:t>
            </w:r>
          </w:p>
        </w:tc>
        <w:tc>
          <w:tcPr>
            <w:tcW w:w="15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19.161</w:t>
            </w:r>
          </w:p>
        </w:tc>
        <w:tc>
          <w:tcPr>
            <w:tcW w:w="16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c>
          <w:tcPr>
            <w:tcW w:w="13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19.161</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479" w:type="dxa"/>
            <w:gridSpan w:val="2"/>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水土保持总投资</w:t>
            </w:r>
            <w:r>
              <w:rPr>
                <w:rFonts w:hint="eastAsia" w:ascii="宋体" w:hAnsi="宋体" w:eastAsia="宋体" w:cs="宋体"/>
                <w:b/>
                <w:bCs/>
                <w:kern w:val="0"/>
                <w:sz w:val="21"/>
                <w:szCs w:val="21"/>
              </w:rPr>
              <w:t>（Ⅰ+Ⅱ+Ⅲ）</w:t>
            </w:r>
          </w:p>
        </w:tc>
        <w:tc>
          <w:tcPr>
            <w:tcW w:w="15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122.29</w:t>
            </w:r>
          </w:p>
        </w:tc>
        <w:tc>
          <w:tcPr>
            <w:tcW w:w="16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460.56</w:t>
            </w:r>
          </w:p>
        </w:tc>
        <w:tc>
          <w:tcPr>
            <w:tcW w:w="13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582.85</w:t>
            </w:r>
          </w:p>
        </w:tc>
        <w:tc>
          <w:tcPr>
            <w:tcW w:w="939"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lang w:val="en-US" w:eastAsia="zh-CN"/>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B3EA4CE"/>
    <w:rsid w:val="0D17224F"/>
    <w:rsid w:val="0DBBCFF5"/>
    <w:rsid w:val="0FBB30C2"/>
    <w:rsid w:val="1AE8ACF5"/>
    <w:rsid w:val="1BD6CF5C"/>
    <w:rsid w:val="1BEC9E80"/>
    <w:rsid w:val="1BFB4528"/>
    <w:rsid w:val="1C4F6E7F"/>
    <w:rsid w:val="1CFFA371"/>
    <w:rsid w:val="1E7E37BF"/>
    <w:rsid w:val="1F5F6373"/>
    <w:rsid w:val="1F9FA41B"/>
    <w:rsid w:val="2A7B73A8"/>
    <w:rsid w:val="2BFF4B51"/>
    <w:rsid w:val="2DFB35DB"/>
    <w:rsid w:val="305E5611"/>
    <w:rsid w:val="377EC297"/>
    <w:rsid w:val="37976650"/>
    <w:rsid w:val="39B4F150"/>
    <w:rsid w:val="39FF938A"/>
    <w:rsid w:val="3AD5631D"/>
    <w:rsid w:val="3B6DE0EA"/>
    <w:rsid w:val="3BFDA594"/>
    <w:rsid w:val="3D5B9BA8"/>
    <w:rsid w:val="3DDFDABF"/>
    <w:rsid w:val="3DEB4B15"/>
    <w:rsid w:val="3DF5E46A"/>
    <w:rsid w:val="3E6D9FBD"/>
    <w:rsid w:val="3ECEA025"/>
    <w:rsid w:val="3F1FC717"/>
    <w:rsid w:val="3FAAB16E"/>
    <w:rsid w:val="3FB7402C"/>
    <w:rsid w:val="3FFF7D00"/>
    <w:rsid w:val="4792C592"/>
    <w:rsid w:val="4C3FC3DE"/>
    <w:rsid w:val="4DEFB1A5"/>
    <w:rsid w:val="4FE603C1"/>
    <w:rsid w:val="50E4D94A"/>
    <w:rsid w:val="53BFC924"/>
    <w:rsid w:val="552D3316"/>
    <w:rsid w:val="574B3373"/>
    <w:rsid w:val="577FCBC0"/>
    <w:rsid w:val="57D7B654"/>
    <w:rsid w:val="5A7D54BA"/>
    <w:rsid w:val="5AF9EA4F"/>
    <w:rsid w:val="5CD4DC05"/>
    <w:rsid w:val="5DE6A532"/>
    <w:rsid w:val="5E9E6156"/>
    <w:rsid w:val="5EEDE91B"/>
    <w:rsid w:val="5FD5F238"/>
    <w:rsid w:val="5FFDAA41"/>
    <w:rsid w:val="62F7E407"/>
    <w:rsid w:val="64FF77C1"/>
    <w:rsid w:val="66DD7286"/>
    <w:rsid w:val="68AE36C6"/>
    <w:rsid w:val="68DD036B"/>
    <w:rsid w:val="6A6E2F5E"/>
    <w:rsid w:val="6B3E0F71"/>
    <w:rsid w:val="6BDC7EBD"/>
    <w:rsid w:val="6D74F653"/>
    <w:rsid w:val="6D7BE9D6"/>
    <w:rsid w:val="6DFBECE9"/>
    <w:rsid w:val="6E071956"/>
    <w:rsid w:val="6ED8AF4E"/>
    <w:rsid w:val="6F3BAC68"/>
    <w:rsid w:val="6FDF1A4C"/>
    <w:rsid w:val="6FE9FE70"/>
    <w:rsid w:val="6FF6A56F"/>
    <w:rsid w:val="6FFE5BAB"/>
    <w:rsid w:val="6FFF38C3"/>
    <w:rsid w:val="6FFFF38C"/>
    <w:rsid w:val="71EE10CD"/>
    <w:rsid w:val="71FB32D9"/>
    <w:rsid w:val="72ED7A19"/>
    <w:rsid w:val="733FFE98"/>
    <w:rsid w:val="73E3D43A"/>
    <w:rsid w:val="74FC8B96"/>
    <w:rsid w:val="74FFC88C"/>
    <w:rsid w:val="75B7ECA7"/>
    <w:rsid w:val="77FDF844"/>
    <w:rsid w:val="77FEB0D8"/>
    <w:rsid w:val="7A8B5D9D"/>
    <w:rsid w:val="7ABE500A"/>
    <w:rsid w:val="7BF534D4"/>
    <w:rsid w:val="7CBF4072"/>
    <w:rsid w:val="7CF5B894"/>
    <w:rsid w:val="7CFF8EAD"/>
    <w:rsid w:val="7DDF36B1"/>
    <w:rsid w:val="7DDFF8A4"/>
    <w:rsid w:val="7DF37FA8"/>
    <w:rsid w:val="7DFF913E"/>
    <w:rsid w:val="7E7D2BC0"/>
    <w:rsid w:val="7E7DD643"/>
    <w:rsid w:val="7ECFC63C"/>
    <w:rsid w:val="7EDFD2F0"/>
    <w:rsid w:val="7EE7AADB"/>
    <w:rsid w:val="7EEE0DA0"/>
    <w:rsid w:val="7EFEB6BC"/>
    <w:rsid w:val="7EFFA341"/>
    <w:rsid w:val="7EFFF898"/>
    <w:rsid w:val="7F5B9E09"/>
    <w:rsid w:val="7F7BD41E"/>
    <w:rsid w:val="7FA53DB1"/>
    <w:rsid w:val="7FE985E4"/>
    <w:rsid w:val="7FF999CD"/>
    <w:rsid w:val="7FFBD2C1"/>
    <w:rsid w:val="7FFC8D54"/>
    <w:rsid w:val="7FFDD946"/>
    <w:rsid w:val="7FFE993E"/>
    <w:rsid w:val="7FFEBDE7"/>
    <w:rsid w:val="8B4E2F33"/>
    <w:rsid w:val="8DE71F8F"/>
    <w:rsid w:val="9ADDAD7A"/>
    <w:rsid w:val="9B175546"/>
    <w:rsid w:val="9B491B51"/>
    <w:rsid w:val="9EFCA69E"/>
    <w:rsid w:val="A5FFA6B3"/>
    <w:rsid w:val="A67FFA80"/>
    <w:rsid w:val="A97D0A80"/>
    <w:rsid w:val="ABAFB8FD"/>
    <w:rsid w:val="AD4FED25"/>
    <w:rsid w:val="AD5781DC"/>
    <w:rsid w:val="ADB8DC53"/>
    <w:rsid w:val="AF9E1879"/>
    <w:rsid w:val="AFFE544C"/>
    <w:rsid w:val="AFFF8E47"/>
    <w:rsid w:val="B47EBEE4"/>
    <w:rsid w:val="B4E96EB7"/>
    <w:rsid w:val="B5F76D35"/>
    <w:rsid w:val="B5F8E1F9"/>
    <w:rsid w:val="B7C628FB"/>
    <w:rsid w:val="BBE94777"/>
    <w:rsid w:val="BBFFBF26"/>
    <w:rsid w:val="BE0BA5F9"/>
    <w:rsid w:val="BEBF2BA7"/>
    <w:rsid w:val="BEC14C01"/>
    <w:rsid w:val="BED790B1"/>
    <w:rsid w:val="BEFE32AD"/>
    <w:rsid w:val="BFFF22FB"/>
    <w:rsid w:val="BFFFD752"/>
    <w:rsid w:val="CF658476"/>
    <w:rsid w:val="CF7A66FA"/>
    <w:rsid w:val="CFF99A9D"/>
    <w:rsid w:val="D6FB6C1B"/>
    <w:rsid w:val="D7A8FB75"/>
    <w:rsid w:val="D966003B"/>
    <w:rsid w:val="D997B052"/>
    <w:rsid w:val="DAEFA7F9"/>
    <w:rsid w:val="DB9DA43D"/>
    <w:rsid w:val="DBF5858C"/>
    <w:rsid w:val="DBFFB99A"/>
    <w:rsid w:val="DD27BBAF"/>
    <w:rsid w:val="DED782E6"/>
    <w:rsid w:val="DEF6BC67"/>
    <w:rsid w:val="DF7F9546"/>
    <w:rsid w:val="DF9FB0A4"/>
    <w:rsid w:val="DFAD2835"/>
    <w:rsid w:val="DFF1038D"/>
    <w:rsid w:val="DFFB9329"/>
    <w:rsid w:val="DFFBC0DE"/>
    <w:rsid w:val="DFFD3C4D"/>
    <w:rsid w:val="DFFF0056"/>
    <w:rsid w:val="E27FED8F"/>
    <w:rsid w:val="E3DDB58C"/>
    <w:rsid w:val="E3E9D5CC"/>
    <w:rsid w:val="E49D502F"/>
    <w:rsid w:val="E57FFF89"/>
    <w:rsid w:val="E7DB5BFA"/>
    <w:rsid w:val="E7FE511B"/>
    <w:rsid w:val="E9EC038D"/>
    <w:rsid w:val="EBFD5417"/>
    <w:rsid w:val="EE793699"/>
    <w:rsid w:val="EEFFE897"/>
    <w:rsid w:val="EF5B51E4"/>
    <w:rsid w:val="EF9E2E9A"/>
    <w:rsid w:val="EFB6E293"/>
    <w:rsid w:val="F1EE9DF0"/>
    <w:rsid w:val="F28B2029"/>
    <w:rsid w:val="F2FE282B"/>
    <w:rsid w:val="F3938051"/>
    <w:rsid w:val="F3BF6EEB"/>
    <w:rsid w:val="F3FED0B4"/>
    <w:rsid w:val="F5AB1385"/>
    <w:rsid w:val="F67B89FD"/>
    <w:rsid w:val="F67E0576"/>
    <w:rsid w:val="F6FD3225"/>
    <w:rsid w:val="F6FF6C2D"/>
    <w:rsid w:val="F79F42E7"/>
    <w:rsid w:val="F7DBC116"/>
    <w:rsid w:val="F7E9592E"/>
    <w:rsid w:val="F7F83BAB"/>
    <w:rsid w:val="F7FA40DD"/>
    <w:rsid w:val="F87F073A"/>
    <w:rsid w:val="F9FD29CF"/>
    <w:rsid w:val="FADD39BC"/>
    <w:rsid w:val="FB375D24"/>
    <w:rsid w:val="FBBB35FC"/>
    <w:rsid w:val="FBCF6450"/>
    <w:rsid w:val="FBF9CC45"/>
    <w:rsid w:val="FBFDC168"/>
    <w:rsid w:val="FCABE8A3"/>
    <w:rsid w:val="FCEA897D"/>
    <w:rsid w:val="FD9D76C2"/>
    <w:rsid w:val="FDBD3126"/>
    <w:rsid w:val="FDD73085"/>
    <w:rsid w:val="FDDF0A9C"/>
    <w:rsid w:val="FDE419AA"/>
    <w:rsid w:val="FDF7B926"/>
    <w:rsid w:val="FDFDC5CA"/>
    <w:rsid w:val="FDFF2D63"/>
    <w:rsid w:val="FE9AA641"/>
    <w:rsid w:val="FEBF5266"/>
    <w:rsid w:val="FECA29DE"/>
    <w:rsid w:val="FEFF0266"/>
    <w:rsid w:val="FF0F33A2"/>
    <w:rsid w:val="FF77591B"/>
    <w:rsid w:val="FF7BA41D"/>
    <w:rsid w:val="FF7E7199"/>
    <w:rsid w:val="FF83BD01"/>
    <w:rsid w:val="FFB59542"/>
    <w:rsid w:val="FFBD74AB"/>
    <w:rsid w:val="FFC20291"/>
    <w:rsid w:val="FFE559C3"/>
    <w:rsid w:val="FFEC6EEA"/>
    <w:rsid w:val="FFEF636E"/>
    <w:rsid w:val="FFEFACCC"/>
    <w:rsid w:val="FFF78B8C"/>
    <w:rsid w:val="FFFAC33E"/>
    <w:rsid w:val="FFFBB379"/>
    <w:rsid w:val="FFFD077D"/>
    <w:rsid w:val="FFFE7717"/>
    <w:rsid w:val="FFFF51E4"/>
    <w:rsid w:val="FFFF6F87"/>
    <w:rsid w:val="FFFFC7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4">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表格文本"/>
    <w:next w:val="1"/>
    <w:qFormat/>
    <w:uiPriority w:val="0"/>
    <w:pPr>
      <w:adjustRightInd w:val="0"/>
      <w:spacing w:line="240" w:lineRule="auto"/>
      <w:ind w:firstLine="0" w:firstLineChars="0"/>
      <w:jc w:val="center"/>
    </w:pPr>
    <w:rPr>
      <w:rFonts w:ascii="Times New Roman" w:hAnsi="Times New Roman" w:eastAsia="仿宋_GB2312" w:cs="宋体"/>
      <w:color w:val="000000"/>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1275</Words>
  <Characters>7272</Characters>
  <Lines>60</Lines>
  <Paragraphs>17</Paragraphs>
  <TotalTime>246</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2020-11-01T15:08:00Z</dcterms:created>
  <dc:creator>张艺馨</dc:creator>
  <cp:lastModifiedBy>Administrator</cp:lastModifiedBy>
  <dcterms:modified xsi:type="dcterms:W3CDTF">2025-12-26T01:08:55Z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67BA198718EE489A4BF349692DAD2B37_43</vt:lpwstr>
  </property>
</Properties>
</file>