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594" w:lineRule="exact"/>
        <w:rPr>
          <w:rFonts w:ascii="Times New Roman" w:hAnsi="Times New Roman" w:eastAsia="方正仿宋_GBK"/>
          <w:sz w:val="32"/>
          <w:szCs w:val="32"/>
        </w:rPr>
      </w:pPr>
    </w:p>
    <w:p>
      <w:pPr>
        <w:adjustRightInd w:val="0"/>
        <w:snapToGrid w:val="0"/>
        <w:spacing w:line="594" w:lineRule="exact"/>
        <w:jc w:val="center"/>
        <w:rPr>
          <w:rFonts w:ascii="Times New Roman" w:hAnsi="Times New Roman" w:eastAsia="方正小标宋_GBK"/>
          <w:sz w:val="44"/>
          <w:szCs w:val="44"/>
        </w:rPr>
      </w:pPr>
      <w:r>
        <w:rPr>
          <w:rFonts w:ascii="Times New Roman" w:hAnsi="Times New Roman" w:eastAsia="方正小标宋_GBK"/>
          <w:sz w:val="44"/>
          <w:szCs w:val="44"/>
        </w:rPr>
        <w:t>重庆市水利局</w:t>
      </w:r>
    </w:p>
    <w:p>
      <w:pPr>
        <w:adjustRightInd w:val="0"/>
        <w:snapToGrid w:val="0"/>
        <w:spacing w:line="594" w:lineRule="exact"/>
        <w:jc w:val="center"/>
        <w:rPr>
          <w:rFonts w:ascii="Times New Roman" w:hAnsi="Times New Roman" w:eastAsia="方正小标宋_GBK"/>
          <w:sz w:val="44"/>
          <w:szCs w:val="44"/>
        </w:rPr>
      </w:pPr>
      <w:r>
        <w:rPr>
          <w:rFonts w:ascii="Times New Roman" w:hAnsi="Times New Roman" w:eastAsia="方正小标宋_GBK"/>
          <w:spacing w:val="-17"/>
          <w:sz w:val="44"/>
          <w:szCs w:val="44"/>
        </w:rPr>
        <w:t>关于</w:t>
      </w:r>
      <w:r>
        <w:rPr>
          <w:rFonts w:hint="eastAsia" w:ascii="Times New Roman" w:hAnsi="Times New Roman" w:eastAsia="方正小标宋_GBK"/>
          <w:spacing w:val="-17"/>
          <w:sz w:val="44"/>
          <w:szCs w:val="44"/>
          <w:lang w:eastAsia="zh-CN"/>
        </w:rPr>
        <w:t>成达万高铁重庆中兴牵220千伏外部供电工程</w:t>
      </w:r>
      <w:r>
        <w:rPr>
          <w:rFonts w:hint="eastAsia" w:ascii="Times New Roman" w:hAnsi="Times New Roman" w:eastAsia="方正小标宋_GBK"/>
          <w:bCs/>
          <w:sz w:val="44"/>
          <w:szCs w:val="44"/>
        </w:rPr>
        <w:t>水土保持方案</w:t>
      </w:r>
      <w:r>
        <w:rPr>
          <w:rFonts w:ascii="Times New Roman" w:hAnsi="Times New Roman" w:eastAsia="方正小标宋_GBK"/>
          <w:sz w:val="44"/>
          <w:szCs w:val="44"/>
        </w:rPr>
        <w:t>准予行政许可的决定</w:t>
      </w:r>
    </w:p>
    <w:p>
      <w:pPr>
        <w:adjustRightInd w:val="0"/>
        <w:snapToGrid w:val="0"/>
        <w:spacing w:line="594" w:lineRule="exact"/>
        <w:jc w:val="center"/>
        <w:rPr>
          <w:rFonts w:ascii="Times New Roman" w:hAnsi="Times New Roman" w:eastAsia="方正小标宋_GBK"/>
          <w:sz w:val="44"/>
          <w:szCs w:val="44"/>
        </w:rPr>
      </w:pPr>
    </w:p>
    <w:p>
      <w:pPr>
        <w:adjustRightInd w:val="0"/>
        <w:snapToGrid w:val="0"/>
        <w:spacing w:line="594" w:lineRule="exact"/>
        <w:rPr>
          <w:rFonts w:ascii="Times New Roman" w:hAnsi="Times New Roman" w:eastAsia="方正仿宋_GBK"/>
          <w:color w:val="000000"/>
          <w:sz w:val="32"/>
          <w:szCs w:val="32"/>
        </w:rPr>
      </w:pPr>
      <w:r>
        <w:rPr>
          <w:rFonts w:hint="eastAsia" w:ascii="方正仿宋_GBK" w:eastAsia="方正仿宋_GBK"/>
          <w:sz w:val="32"/>
          <w:szCs w:val="32"/>
          <w:lang w:eastAsia="zh-CN"/>
        </w:rPr>
        <w:t>国网重庆市电力公司万州供电分公司</w:t>
      </w:r>
      <w:r>
        <w:rPr>
          <w:rFonts w:ascii="Times New Roman" w:hAnsi="Times New Roman" w:eastAsia="方正仿宋_GBK"/>
          <w:color w:val="000000"/>
          <w:sz w:val="32"/>
          <w:szCs w:val="32"/>
        </w:rPr>
        <w:t>：</w:t>
      </w:r>
    </w:p>
    <w:p>
      <w:pPr>
        <w:adjustRightInd w:val="0"/>
        <w:snapToGrid w:val="0"/>
        <w:spacing w:line="594" w:lineRule="exact"/>
        <w:ind w:firstLine="645"/>
        <w:rPr>
          <w:rFonts w:ascii="Times New Roman" w:hAnsi="Times New Roman" w:eastAsia="方正仿宋_GBK"/>
          <w:color w:val="000000"/>
          <w:sz w:val="32"/>
          <w:szCs w:val="32"/>
        </w:rPr>
      </w:pPr>
      <w:r>
        <w:rPr>
          <w:rFonts w:hint="eastAsia" w:ascii="Times New Roman" w:hAnsi="Times New Roman" w:eastAsia="方正仿宋_GBK"/>
          <w:color w:val="auto"/>
          <w:sz w:val="32"/>
          <w:szCs w:val="32"/>
        </w:rPr>
        <w:t>你司提交的</w:t>
      </w:r>
      <w:r>
        <w:rPr>
          <w:rFonts w:hint="eastAsia" w:ascii="Times New Roman" w:hAnsi="Times New Roman" w:eastAsia="方正仿宋_GBK"/>
          <w:color w:val="auto"/>
          <w:sz w:val="32"/>
          <w:szCs w:val="32"/>
          <w:lang w:eastAsia="zh-CN"/>
        </w:rPr>
        <w:t>成达万高铁重庆中兴牵220千伏外部供电工程</w:t>
      </w:r>
      <w:r>
        <w:rPr>
          <w:rFonts w:hint="eastAsia" w:ascii="Times New Roman" w:hAnsi="Times New Roman" w:eastAsia="方正仿宋_GBK"/>
          <w:color w:val="auto"/>
          <w:sz w:val="32"/>
          <w:szCs w:val="32"/>
        </w:rPr>
        <w:t>水土保持方案审批申请（项目代码：</w:t>
      </w:r>
      <w:r>
        <w:rPr>
          <w:rFonts w:hint="eastAsia" w:ascii="Times New Roman" w:hAnsi="Times New Roman" w:eastAsia="方正仿宋_GBK"/>
          <w:color w:val="auto"/>
          <w:sz w:val="32"/>
          <w:szCs w:val="32"/>
          <w:lang w:val="en-US" w:eastAsia="zh-CN"/>
        </w:rPr>
        <w:t>2501-500154-04-01-834306</w:t>
      </w:r>
      <w:r>
        <w:rPr>
          <w:rFonts w:hint="eastAsia" w:ascii="Times New Roman" w:hAnsi="Times New Roman" w:eastAsia="方正仿宋_GBK"/>
          <w:color w:val="auto"/>
          <w:sz w:val="32"/>
          <w:szCs w:val="32"/>
        </w:rPr>
        <w:t>）和</w:t>
      </w:r>
      <w:r>
        <w:rPr>
          <w:rFonts w:ascii="Times New Roman" w:hAnsi="Times New Roman" w:eastAsia="方正仿宋_GBK"/>
          <w:color w:val="000000"/>
          <w:sz w:val="32"/>
          <w:szCs w:val="32"/>
        </w:rPr>
        <w:t>《</w:t>
      </w:r>
      <w:r>
        <w:rPr>
          <w:rFonts w:hint="eastAsia" w:ascii="Times New Roman" w:hAnsi="Times New Roman" w:eastAsia="方正仿宋_GBK"/>
          <w:bCs/>
          <w:sz w:val="32"/>
          <w:szCs w:val="32"/>
          <w:lang w:eastAsia="zh-CN"/>
        </w:rPr>
        <w:t>成达万高铁重庆中兴牵220千伏外部供电工程</w:t>
      </w:r>
      <w:r>
        <w:rPr>
          <w:rFonts w:hint="eastAsia" w:ascii="Times New Roman" w:hAnsi="Times New Roman" w:eastAsia="方正仿宋_GBK"/>
          <w:bCs/>
          <w:sz w:val="32"/>
          <w:szCs w:val="32"/>
        </w:rPr>
        <w:t>水土保持方案</w:t>
      </w:r>
      <w:r>
        <w:rPr>
          <w:rFonts w:ascii="Times New Roman" w:hAnsi="Times New Roman" w:eastAsia="方正仿宋_GBK"/>
          <w:color w:val="000000"/>
          <w:sz w:val="32"/>
          <w:szCs w:val="32"/>
        </w:rPr>
        <w:t>报告书》收悉。经审查，该申请符合法定条件，根据《中华人民共和国行政许可法》第三十八条</w:t>
      </w:r>
      <w:r>
        <w:rPr>
          <w:rFonts w:hint="eastAsia" w:ascii="Times New Roman" w:hAnsi="Times New Roman" w:eastAsia="方正仿宋_GBK"/>
          <w:color w:val="000000"/>
          <w:sz w:val="32"/>
          <w:szCs w:val="32"/>
          <w:lang w:eastAsia="zh-CN"/>
        </w:rPr>
        <w:t>第一款</w:t>
      </w:r>
      <w:r>
        <w:rPr>
          <w:rFonts w:ascii="Times New Roman" w:hAnsi="Times New Roman" w:eastAsia="方正仿宋_GBK"/>
          <w:color w:val="000000"/>
          <w:sz w:val="32"/>
          <w:szCs w:val="32"/>
        </w:rPr>
        <w:t>、《水行政许可实施办法》第三十二条第一项规定，决定准予行政许可。</w:t>
      </w:r>
    </w:p>
    <w:p>
      <w:pPr>
        <w:adjustRightInd w:val="0"/>
        <w:snapToGrid w:val="0"/>
        <w:spacing w:line="594" w:lineRule="exact"/>
        <w:ind w:firstLine="645"/>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一</w:t>
      </w:r>
      <w:r>
        <w:rPr>
          <w:rFonts w:ascii="Times New Roman" w:hAnsi="Times New Roman" w:eastAsia="方正黑体_GBK"/>
          <w:color w:val="auto"/>
          <w:sz w:val="32"/>
          <w:szCs w:val="32"/>
        </w:rPr>
        <w:t>、水土保持方案总体意见</w:t>
      </w:r>
    </w:p>
    <w:p>
      <w:pPr>
        <w:adjustRightInd w:val="0"/>
        <w:snapToGrid w:val="0"/>
        <w:spacing w:line="594"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（一）方案编制所依据的法律法规、</w:t>
      </w:r>
      <w:r>
        <w:rPr>
          <w:rFonts w:hint="eastAsia" w:ascii="Times New Roman" w:hAnsi="Times New Roman" w:eastAsia="方正仿宋_GBK"/>
          <w:color w:val="auto"/>
          <w:sz w:val="32"/>
          <w:szCs w:val="32"/>
          <w:lang w:eastAsia="zh-CN"/>
        </w:rPr>
        <w:t>部委</w:t>
      </w:r>
      <w:r>
        <w:rPr>
          <w:rFonts w:hint="eastAsia" w:ascii="Times New Roman" w:hAnsi="Times New Roman" w:eastAsia="方正仿宋_GBK"/>
          <w:color w:val="auto"/>
          <w:sz w:val="32"/>
          <w:szCs w:val="32"/>
        </w:rPr>
        <w:t>规章、规范性文件、规范标准和技术文件及资料采用基本正确。</w:t>
      </w:r>
    </w:p>
    <w:p>
      <w:pPr>
        <w:adjustRightInd w:val="0"/>
        <w:snapToGrid w:val="0"/>
        <w:spacing w:line="594"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（二）同意方案设计水平年为2027年。</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olor w:val="auto"/>
          <w:sz w:val="32"/>
          <w:szCs w:val="32"/>
        </w:rPr>
        <w:t>（三）同意水土流失防治责任范围界定，水土流失防治责任范围面积为</w:t>
      </w:r>
      <w:r>
        <w:rPr>
          <w:rFonts w:hint="eastAsia" w:ascii="Times New Roman" w:hAnsi="Times New Roman" w:eastAsia="方正仿宋_GBK"/>
          <w:color w:val="auto"/>
          <w:sz w:val="32"/>
          <w:szCs w:val="32"/>
          <w:lang w:val="en-US" w:eastAsia="zh-CN"/>
        </w:rPr>
        <w:t>16.03</w:t>
      </w:r>
      <w:r>
        <w:rPr>
          <w:rFonts w:hint="eastAsia" w:ascii="Times New Roman" w:hAnsi="Times New Roman" w:eastAsia="方正仿宋_GBK"/>
          <w:color w:val="auto"/>
          <w:sz w:val="32"/>
          <w:szCs w:val="32"/>
        </w:rPr>
        <w:t>hm</w:t>
      </w:r>
      <w:r>
        <w:rPr>
          <w:rFonts w:hint="eastAsia" w:ascii="Times New Roman" w:hAnsi="Times New Roman" w:eastAsia="方正仿宋_GBK"/>
          <w:color w:val="auto"/>
          <w:sz w:val="32"/>
          <w:szCs w:val="32"/>
          <w:vertAlign w:val="superscript"/>
        </w:rPr>
        <w:t>2</w:t>
      </w:r>
      <w:r>
        <w:rPr>
          <w:rFonts w:hint="eastAsia" w:ascii="Times New Roman" w:hAnsi="Times New Roman" w:eastAsia="方正仿宋_GBK" w:cs="Times New Roman"/>
          <w:color w:val="auto"/>
          <w:sz w:val="32"/>
          <w:szCs w:val="32"/>
          <w:lang w:eastAsia="zh-CN"/>
        </w:rPr>
        <w:t>，其中：梁平区</w:t>
      </w:r>
      <w:r>
        <w:rPr>
          <w:rFonts w:hint="default" w:ascii="Times New Roman" w:hAnsi="Times New Roman" w:eastAsia="方正仿宋_GBK" w:cs="Times New Roman"/>
          <w:color w:val="auto"/>
          <w:sz w:val="32"/>
          <w:szCs w:val="32"/>
          <w:lang w:val="en-US" w:eastAsia="zh-CN"/>
        </w:rPr>
        <w:t>3.59</w:t>
      </w:r>
      <w:r>
        <w:rPr>
          <w:rFonts w:hint="default" w:ascii="Times New Roman" w:hAnsi="Times New Roman" w:eastAsia="方正仿宋_GBK" w:cs="Times New Roman"/>
          <w:color w:val="auto"/>
          <w:spacing w:val="6"/>
          <w:sz w:val="32"/>
          <w:szCs w:val="32"/>
        </w:rPr>
        <w:t>hm²</w:t>
      </w:r>
      <w:r>
        <w:rPr>
          <w:rFonts w:hint="eastAsia" w:ascii="Times New Roman" w:hAnsi="Times New Roman" w:eastAsia="方正仿宋_GBK" w:cs="Times New Roman"/>
          <w:color w:val="auto"/>
          <w:spacing w:val="6"/>
          <w:sz w:val="32"/>
          <w:szCs w:val="32"/>
          <w:lang w:eastAsia="zh-CN"/>
        </w:rPr>
        <w:t>，万州区</w:t>
      </w:r>
      <w:r>
        <w:rPr>
          <w:rFonts w:hint="default" w:ascii="Times New Roman" w:hAnsi="Times New Roman" w:eastAsia="方正仿宋_GBK" w:cs="Times New Roman"/>
          <w:color w:val="auto"/>
          <w:spacing w:val="6"/>
          <w:sz w:val="32"/>
          <w:szCs w:val="32"/>
          <w:lang w:val="en-US" w:eastAsia="zh-CN"/>
        </w:rPr>
        <w:t>4.09</w:t>
      </w:r>
      <w:r>
        <w:rPr>
          <w:rFonts w:hint="default" w:ascii="Times New Roman" w:hAnsi="Times New Roman" w:eastAsia="方正仿宋_GBK" w:cs="Times New Roman"/>
          <w:color w:val="auto"/>
          <w:spacing w:val="6"/>
          <w:sz w:val="32"/>
          <w:szCs w:val="32"/>
        </w:rPr>
        <w:t>hm²</w:t>
      </w:r>
      <w:r>
        <w:rPr>
          <w:rFonts w:hint="eastAsia" w:ascii="Times New Roman" w:hAnsi="Times New Roman" w:eastAsia="方正仿宋_GBK" w:cs="Times New Roman"/>
          <w:color w:val="auto"/>
          <w:spacing w:val="6"/>
          <w:sz w:val="32"/>
          <w:szCs w:val="32"/>
          <w:lang w:val="en-US" w:eastAsia="zh-CN"/>
        </w:rPr>
        <w:t>，</w:t>
      </w:r>
      <w:r>
        <w:rPr>
          <w:rFonts w:hint="eastAsia" w:ascii="Times New Roman" w:hAnsi="Times New Roman" w:eastAsia="方正仿宋_GBK" w:cs="Times New Roman"/>
          <w:color w:val="auto"/>
          <w:spacing w:val="6"/>
          <w:sz w:val="32"/>
          <w:szCs w:val="32"/>
          <w:lang w:eastAsia="zh-CN"/>
        </w:rPr>
        <w:t>开州区</w:t>
      </w:r>
      <w:r>
        <w:rPr>
          <w:rFonts w:hint="default" w:ascii="Times New Roman" w:hAnsi="Times New Roman" w:eastAsia="方正仿宋_GBK" w:cs="Times New Roman"/>
          <w:color w:val="auto"/>
          <w:spacing w:val="6"/>
          <w:sz w:val="32"/>
          <w:szCs w:val="32"/>
          <w:lang w:val="en-US" w:eastAsia="zh-CN"/>
        </w:rPr>
        <w:t>8.35</w:t>
      </w:r>
      <w:r>
        <w:rPr>
          <w:rFonts w:hint="default" w:ascii="Times New Roman" w:hAnsi="Times New Roman" w:eastAsia="方正仿宋_GBK" w:cs="Times New Roman"/>
          <w:color w:val="auto"/>
          <w:spacing w:val="6"/>
          <w:sz w:val="32"/>
          <w:szCs w:val="32"/>
        </w:rPr>
        <w:t>hm</w:t>
      </w:r>
      <w:r>
        <w:rPr>
          <w:rFonts w:hint="default" w:ascii="Times New Roman" w:hAnsi="Times New Roman" w:eastAsia="方正仿宋_GBK" w:cs="Times New Roman"/>
          <w:color w:val="auto"/>
          <w:spacing w:val="6"/>
          <w:sz w:val="32"/>
          <w:szCs w:val="32"/>
          <w:vertAlign w:val="baseline"/>
        </w:rPr>
        <w:t>²</w:t>
      </w:r>
      <w:r>
        <w:rPr>
          <w:rFonts w:hint="eastAsia" w:ascii="Times New Roman" w:hAnsi="Times New Roman" w:eastAsia="方正仿宋_GBK" w:cs="Times New Roman"/>
          <w:color w:val="auto"/>
          <w:spacing w:val="6"/>
          <w:sz w:val="32"/>
          <w:szCs w:val="32"/>
          <w:lang w:eastAsia="zh-CN"/>
        </w:rPr>
        <w:t>。</w:t>
      </w:r>
    </w:p>
    <w:p>
      <w:pPr>
        <w:adjustRightInd w:val="0"/>
        <w:snapToGrid w:val="0"/>
        <w:spacing w:line="594"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（四）同意项目水土流失防治标准等级执行西南紫色土区建设类项目一级标准。</w:t>
      </w:r>
    </w:p>
    <w:p>
      <w:pPr>
        <w:adjustRightInd w:val="0"/>
        <w:snapToGrid w:val="0"/>
        <w:spacing w:line="594" w:lineRule="exact"/>
        <w:ind w:firstLine="645"/>
        <w:rPr>
          <w:rFonts w:hint="eastAsia" w:ascii="Times New Roman" w:hAnsi="Times New Roman" w:eastAsia="方正仿宋_GBK"/>
          <w:bCs/>
          <w:color w:val="auto"/>
          <w:sz w:val="32"/>
          <w:szCs w:val="32"/>
        </w:rPr>
      </w:pPr>
      <w:r>
        <w:rPr>
          <w:rFonts w:hint="eastAsia" w:ascii="Times New Roman" w:hAnsi="Times New Roman" w:eastAsia="方正仿宋_GBK"/>
          <w:color w:val="auto"/>
          <w:sz w:val="32"/>
          <w:szCs w:val="32"/>
        </w:rPr>
        <w:t>（五）同意水土流失防治目标，其中：水土流失治理度97%，土壤流失控制比1.0，渣土防护率</w:t>
      </w:r>
      <w:r>
        <w:rPr>
          <w:rFonts w:hint="eastAsia" w:ascii="Times New Roman" w:hAnsi="Times New Roman" w:eastAsia="方正仿宋_GBK"/>
          <w:color w:val="auto"/>
          <w:sz w:val="32"/>
          <w:szCs w:val="32"/>
          <w:lang w:val="en-US" w:eastAsia="zh-CN"/>
        </w:rPr>
        <w:t>92.01</w:t>
      </w:r>
      <w:r>
        <w:rPr>
          <w:rFonts w:hint="eastAsia" w:ascii="Times New Roman" w:hAnsi="Times New Roman" w:eastAsia="方正仿宋_GBK"/>
          <w:color w:val="auto"/>
          <w:sz w:val="32"/>
          <w:szCs w:val="32"/>
        </w:rPr>
        <w:t>%，表土保护率92%，林草植被恢复率97%，林草覆盖率</w:t>
      </w:r>
      <w:r>
        <w:rPr>
          <w:rFonts w:hint="eastAsia" w:ascii="Times New Roman" w:hAnsi="Times New Roman" w:eastAsia="方正仿宋_GBK"/>
          <w:color w:val="auto"/>
          <w:sz w:val="32"/>
          <w:szCs w:val="32"/>
          <w:lang w:val="en-US" w:eastAsia="zh-CN"/>
        </w:rPr>
        <w:t>25.01</w:t>
      </w:r>
      <w:r>
        <w:rPr>
          <w:rFonts w:hint="eastAsia" w:ascii="Times New Roman" w:hAnsi="Times New Roman" w:eastAsia="方正仿宋_GBK"/>
          <w:color w:val="auto"/>
          <w:sz w:val="32"/>
          <w:szCs w:val="32"/>
        </w:rPr>
        <w:t>%</w:t>
      </w:r>
      <w:r>
        <w:rPr>
          <w:rFonts w:hint="eastAsia" w:ascii="Times New Roman" w:hAnsi="Times New Roman" w:eastAsia="方正仿宋_GBK"/>
          <w:bCs/>
          <w:color w:val="auto"/>
          <w:sz w:val="32"/>
          <w:szCs w:val="32"/>
        </w:rPr>
        <w:t>。</w:t>
      </w:r>
    </w:p>
    <w:p>
      <w:pPr>
        <w:adjustRightInd w:val="0"/>
        <w:snapToGrid w:val="0"/>
        <w:spacing w:line="594" w:lineRule="exact"/>
        <w:ind w:firstLine="645"/>
        <w:rPr>
          <w:rFonts w:ascii="Times New Roman" w:hAnsi="Times New Roman" w:eastAsia="方正仿宋_GBK"/>
          <w:bCs/>
          <w:color w:val="auto"/>
          <w:sz w:val="32"/>
          <w:szCs w:val="32"/>
        </w:rPr>
      </w:pPr>
      <w:r>
        <w:rPr>
          <w:rFonts w:hint="eastAsia" w:ascii="Times New Roman" w:hAnsi="Times New Roman" w:eastAsia="方正仿宋_GBK"/>
          <w:bCs/>
          <w:color w:val="auto"/>
          <w:sz w:val="32"/>
          <w:szCs w:val="32"/>
        </w:rPr>
        <w:t>（六）基本同意水土流失</w:t>
      </w:r>
      <w:r>
        <w:rPr>
          <w:rFonts w:ascii="Times New Roman" w:hAnsi="Times New Roman" w:eastAsia="方正仿宋_GBK"/>
          <w:bCs/>
          <w:color w:val="auto"/>
          <w:sz w:val="32"/>
          <w:szCs w:val="32"/>
        </w:rPr>
        <w:t>防治分区和分区防治措施体系。</w:t>
      </w:r>
    </w:p>
    <w:p>
      <w:pPr>
        <w:adjustRightInd w:val="0"/>
        <w:snapToGrid w:val="0"/>
        <w:spacing w:line="594"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bCs/>
          <w:color w:val="auto"/>
          <w:sz w:val="32"/>
          <w:szCs w:val="32"/>
        </w:rPr>
        <w:t>（</w:t>
      </w:r>
      <w:r>
        <w:rPr>
          <w:rFonts w:hint="eastAsia" w:ascii="Times New Roman" w:hAnsi="Times New Roman" w:eastAsia="方正仿宋_GBK"/>
          <w:bCs/>
          <w:color w:val="auto"/>
          <w:sz w:val="32"/>
          <w:szCs w:val="32"/>
          <w:lang w:eastAsia="zh-CN"/>
        </w:rPr>
        <w:t>七</w:t>
      </w:r>
      <w:r>
        <w:rPr>
          <w:rFonts w:hint="eastAsia" w:ascii="Times New Roman" w:hAnsi="Times New Roman" w:eastAsia="方正仿宋_GBK"/>
          <w:bCs/>
          <w:color w:val="auto"/>
          <w:sz w:val="32"/>
          <w:szCs w:val="32"/>
        </w:rPr>
        <w:t>）基本</w:t>
      </w:r>
      <w:r>
        <w:rPr>
          <w:rFonts w:ascii="Times New Roman" w:hAnsi="Times New Roman" w:eastAsia="方正仿宋_GBK"/>
          <w:bCs/>
          <w:color w:val="auto"/>
          <w:sz w:val="32"/>
          <w:szCs w:val="32"/>
        </w:rPr>
        <w:t>同意水土保持监测时段、内容和方法。</w:t>
      </w:r>
    </w:p>
    <w:p>
      <w:pPr>
        <w:adjustRightInd w:val="0"/>
        <w:snapToGrid w:val="0"/>
        <w:spacing w:line="594" w:lineRule="exact"/>
        <w:ind w:firstLine="645"/>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二</w:t>
      </w:r>
      <w:r>
        <w:rPr>
          <w:rFonts w:ascii="Times New Roman" w:hAnsi="Times New Roman" w:eastAsia="方正黑体_GBK"/>
          <w:color w:val="auto"/>
          <w:sz w:val="32"/>
          <w:szCs w:val="32"/>
        </w:rPr>
        <w:t>、水土保持方案投资</w:t>
      </w:r>
    </w:p>
    <w:p>
      <w:pPr>
        <w:adjustRightInd w:val="0"/>
        <w:snapToGrid w:val="0"/>
        <w:spacing w:line="594" w:lineRule="exact"/>
        <w:ind w:firstLine="640" w:firstLineChars="200"/>
        <w:jc w:val="left"/>
        <w:rPr>
          <w:rFonts w:hint="default" w:ascii="Times New Roman" w:hAnsi="Times New Roman" w:eastAsia="方正仿宋_GBK" w:cs="Times New Roman"/>
          <w:bCs/>
          <w:snapToGrid w:val="0"/>
          <w:color w:val="auto"/>
          <w:kern w:val="0"/>
          <w:sz w:val="32"/>
          <w:szCs w:val="32"/>
        </w:rPr>
      </w:pPr>
      <w:r>
        <w:rPr>
          <w:rFonts w:hint="default" w:ascii="Times New Roman" w:hAnsi="Times New Roman" w:eastAsia="方正仿宋_GBK" w:cs="Times New Roman"/>
          <w:bCs/>
          <w:snapToGrid w:val="0"/>
          <w:color w:val="auto"/>
          <w:kern w:val="0"/>
          <w:sz w:val="32"/>
          <w:szCs w:val="32"/>
        </w:rPr>
        <w:t>水土保持</w:t>
      </w:r>
      <w:r>
        <w:rPr>
          <w:rFonts w:hint="default" w:ascii="Times New Roman" w:hAnsi="Times New Roman" w:eastAsia="方正仿宋_GBK" w:cs="Times New Roman"/>
          <w:bCs/>
          <w:snapToGrid w:val="0"/>
          <w:color w:val="auto"/>
          <w:kern w:val="0"/>
          <w:sz w:val="32"/>
          <w:szCs w:val="32"/>
          <w:lang w:eastAsia="zh-CN"/>
        </w:rPr>
        <w:t>方案静态</w:t>
      </w:r>
      <w:r>
        <w:rPr>
          <w:rFonts w:hint="default" w:ascii="Times New Roman" w:hAnsi="Times New Roman" w:eastAsia="方正仿宋_GBK" w:cs="Times New Roman"/>
          <w:bCs/>
          <w:snapToGrid w:val="0"/>
          <w:color w:val="auto"/>
          <w:kern w:val="0"/>
          <w:sz w:val="32"/>
          <w:szCs w:val="32"/>
        </w:rPr>
        <w:t>总投资</w:t>
      </w:r>
      <w:r>
        <w:rPr>
          <w:rFonts w:hint="default" w:ascii="Times New Roman" w:hAnsi="Times New Roman" w:eastAsia="方正仿宋_GBK" w:cs="Times New Roman"/>
          <w:sz w:val="32"/>
          <w:szCs w:val="32"/>
        </w:rPr>
        <w:t>416.16</w:t>
      </w:r>
      <w:r>
        <w:rPr>
          <w:rFonts w:hint="default" w:ascii="Times New Roman" w:hAnsi="Times New Roman" w:eastAsia="方正仿宋_GBK" w:cs="Times New Roman"/>
          <w:bCs/>
          <w:snapToGrid w:val="0"/>
          <w:color w:val="auto"/>
          <w:kern w:val="0"/>
          <w:sz w:val="32"/>
          <w:szCs w:val="32"/>
        </w:rPr>
        <w:t>万元，其中</w:t>
      </w:r>
      <w:r>
        <w:rPr>
          <w:rFonts w:hint="default" w:ascii="Times New Roman" w:hAnsi="Times New Roman" w:eastAsia="方正仿宋_GBK" w:cs="Times New Roman"/>
          <w:bCs/>
          <w:snapToGrid w:val="0"/>
          <w:color w:val="auto"/>
          <w:kern w:val="0"/>
          <w:sz w:val="32"/>
          <w:szCs w:val="32"/>
          <w:lang w:eastAsia="zh-CN"/>
        </w:rPr>
        <w:t>：</w:t>
      </w:r>
      <w:r>
        <w:rPr>
          <w:rFonts w:hint="default" w:ascii="Times New Roman" w:hAnsi="Times New Roman" w:eastAsia="方正仿宋_GBK" w:cs="Times New Roman"/>
          <w:sz w:val="32"/>
          <w:szCs w:val="32"/>
        </w:rPr>
        <w:t>主体已列150.80万元，方案投资265.36万元</w:t>
      </w:r>
      <w:r>
        <w:rPr>
          <w:rFonts w:hint="eastAsia" w:ascii="Times New Roman" w:hAnsi="Times New Roman" w:eastAsia="方正仿宋_GBK" w:cs="Times New Roman"/>
          <w:sz w:val="32"/>
          <w:szCs w:val="32"/>
          <w:lang w:eastAsia="zh-CN"/>
        </w:rPr>
        <w:t>（其中：</w:t>
      </w:r>
      <w:r>
        <w:rPr>
          <w:rFonts w:hint="default" w:ascii="Times New Roman" w:hAnsi="Times New Roman" w:eastAsia="方正仿宋_GBK" w:cs="Times New Roman"/>
          <w:sz w:val="32"/>
          <w:szCs w:val="32"/>
        </w:rPr>
        <w:t>工程措施4.06万元，监测措施22.88万元，</w:t>
      </w:r>
      <w:r>
        <w:rPr>
          <w:rFonts w:hint="eastAsia" w:ascii="Times New Roman" w:hAnsi="Times New Roman" w:eastAsia="方正仿宋_GBK" w:cs="Times New Roman"/>
          <w:sz w:val="32"/>
          <w:szCs w:val="32"/>
          <w:lang w:eastAsia="zh-CN"/>
        </w:rPr>
        <w:t>施工</w:t>
      </w:r>
      <w:r>
        <w:rPr>
          <w:rFonts w:hint="default" w:ascii="Times New Roman" w:hAnsi="Times New Roman" w:eastAsia="方正仿宋_GBK" w:cs="Times New Roman"/>
          <w:sz w:val="32"/>
          <w:szCs w:val="32"/>
        </w:rPr>
        <w:t>临时措施154.75万元，独立费用47.48万元，基本预备费13.75万元，水土保持补偿费22.442万元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pPr>
        <w:adjustRightInd w:val="0"/>
        <w:snapToGrid w:val="0"/>
        <w:spacing w:line="594" w:lineRule="exact"/>
        <w:ind w:firstLine="645"/>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三</w:t>
      </w:r>
      <w:r>
        <w:rPr>
          <w:rFonts w:ascii="Times New Roman" w:hAnsi="Times New Roman" w:eastAsia="方正黑体_GBK"/>
          <w:color w:val="auto"/>
          <w:sz w:val="32"/>
          <w:szCs w:val="32"/>
        </w:rPr>
        <w:t>、工作要求</w:t>
      </w:r>
    </w:p>
    <w:p>
      <w:pPr>
        <w:snapToGrid w:val="0"/>
        <w:spacing w:line="594"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（一）根据水土保持法律法规和规范标准，认真做好项目建设过程中水土流失防治工作，切实落实水土保持</w:t>
      </w:r>
      <w:r>
        <w:rPr>
          <w:rFonts w:hint="eastAsia" w:ascii="Times New Roman" w:hAnsi="Times New Roman" w:eastAsia="方正仿宋_GBK"/>
          <w:color w:val="auto"/>
          <w:sz w:val="32"/>
          <w:szCs w:val="32"/>
          <w:lang w:eastAsia="zh-CN"/>
        </w:rPr>
        <w:t>“</w:t>
      </w:r>
      <w:r>
        <w:rPr>
          <w:rFonts w:ascii="Times New Roman" w:hAnsi="Times New Roman" w:eastAsia="方正仿宋_GBK"/>
          <w:color w:val="auto"/>
          <w:sz w:val="32"/>
          <w:szCs w:val="32"/>
        </w:rPr>
        <w:t>三同时</w:t>
      </w:r>
      <w:r>
        <w:rPr>
          <w:rFonts w:hint="eastAsia" w:ascii="Times New Roman" w:hAnsi="Times New Roman" w:eastAsia="方正仿宋_GBK"/>
          <w:color w:val="auto"/>
          <w:sz w:val="32"/>
          <w:szCs w:val="32"/>
          <w:lang w:eastAsia="zh-CN"/>
        </w:rPr>
        <w:t>”</w:t>
      </w:r>
      <w:r>
        <w:rPr>
          <w:rFonts w:ascii="Times New Roman" w:hAnsi="Times New Roman" w:eastAsia="方正仿宋_GBK"/>
          <w:color w:val="auto"/>
          <w:sz w:val="32"/>
          <w:szCs w:val="32"/>
        </w:rPr>
        <w:t>制度。</w:t>
      </w:r>
    </w:p>
    <w:p>
      <w:pPr>
        <w:snapToGrid w:val="0"/>
        <w:spacing w:line="594"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二）依据批准的水土保持方案与主体工程同步开展水土保持施工图设计，按程序与主体工程设计一并报经有关部门审核，作为水土保持措施实施的依据。重要防护对象应当开展点对点勘察与设计。无设计的水土保持措施，不得通过水土保持设施自主验收。</w:t>
      </w:r>
    </w:p>
    <w:p>
      <w:pPr>
        <w:snapToGrid w:val="0"/>
        <w:spacing w:line="594"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（三）严格控制施工扰动范围，禁止随意占压破坏地貌植被。加强对施工单位的管理，在招投标文件和施工合同中明确施工单位的水土保持责任，强化奖惩制度，规范施工行为。</w:t>
      </w:r>
    </w:p>
    <w:p>
      <w:pPr>
        <w:snapToGrid w:val="0"/>
        <w:spacing w:line="594"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四）依法做好水土保持监测工作，加强水土流失动态监控。在工程建设期间应将水土保持监测季报按规定在网站公开，同时在业主项目部和施工项目部公开，并按规定向我局、所在区县水行政主管部门按时报送监测季报和总结报告。</w:t>
      </w:r>
    </w:p>
    <w:p>
      <w:pPr>
        <w:snapToGrid w:val="0"/>
        <w:spacing w:line="594"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（五）按照水土保持监理标准和规范开展水土保持工程施工监理，确保水土保持工程建设质量和进度。</w:t>
      </w:r>
    </w:p>
    <w:p>
      <w:pPr>
        <w:snapToGrid w:val="0"/>
        <w:spacing w:line="594" w:lineRule="exact"/>
        <w:ind w:firstLine="640" w:firstLineChars="200"/>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（六）项目开工前向主管税务机关申报缴纳水土保持补偿费。</w:t>
      </w:r>
    </w:p>
    <w:p>
      <w:pPr>
        <w:snapToGrid w:val="0"/>
        <w:spacing w:line="594" w:lineRule="exact"/>
        <w:ind w:firstLine="640" w:firstLineChars="200"/>
        <w:rPr>
          <w:rFonts w:hint="eastAsia"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（七）</w:t>
      </w:r>
      <w:r>
        <w:rPr>
          <w:rFonts w:hint="eastAsia" w:ascii="Times New Roman" w:hAnsi="Times New Roman" w:eastAsia="方正仿宋_GBK"/>
          <w:snapToGrid w:val="0"/>
          <w:color w:val="auto"/>
          <w:kern w:val="0"/>
          <w:sz w:val="32"/>
          <w:szCs w:val="32"/>
        </w:rPr>
        <w:t>本项目的地点、规模如发生重大变化，或者水土保持方案实施过程中水土保持措施发生重大变更的，应按照</w:t>
      </w:r>
      <w:r>
        <w:rPr>
          <w:rFonts w:hint="eastAsia" w:ascii="Times New Roman" w:hAnsi="Times New Roman" w:eastAsia="方正仿宋_GBK"/>
          <w:snapToGrid w:val="0"/>
          <w:color w:val="auto"/>
          <w:kern w:val="0"/>
          <w:sz w:val="32"/>
          <w:szCs w:val="32"/>
          <w:lang w:eastAsia="zh-CN"/>
        </w:rPr>
        <w:t>《生产建设项目水土保持方案管理办法》（</w:t>
      </w:r>
      <w:r>
        <w:rPr>
          <w:rFonts w:hint="eastAsia" w:ascii="Times New Roman" w:hAnsi="Times New Roman" w:eastAsia="方正仿宋_GBK"/>
          <w:snapToGrid w:val="0"/>
          <w:color w:val="auto"/>
          <w:kern w:val="0"/>
          <w:sz w:val="32"/>
          <w:szCs w:val="32"/>
        </w:rPr>
        <w:t>水利部</w:t>
      </w:r>
      <w:r>
        <w:rPr>
          <w:rFonts w:hint="eastAsia" w:ascii="Times New Roman" w:hAnsi="Times New Roman" w:eastAsia="方正仿宋_GBK"/>
          <w:snapToGrid w:val="0"/>
          <w:color w:val="auto"/>
          <w:kern w:val="0"/>
          <w:sz w:val="32"/>
          <w:szCs w:val="32"/>
          <w:lang w:eastAsia="zh-CN"/>
        </w:rPr>
        <w:t>令</w:t>
      </w:r>
      <w:r>
        <w:rPr>
          <w:rFonts w:hint="eastAsia" w:ascii="Times New Roman" w:hAnsi="Times New Roman" w:eastAsia="方正仿宋_GBK"/>
          <w:snapToGrid w:val="0"/>
          <w:color w:val="auto"/>
          <w:kern w:val="0"/>
          <w:sz w:val="32"/>
          <w:szCs w:val="32"/>
        </w:rPr>
        <w:t>第53号</w:t>
      </w:r>
      <w:r>
        <w:rPr>
          <w:rFonts w:hint="eastAsia" w:ascii="Times New Roman" w:hAnsi="Times New Roman" w:eastAsia="方正仿宋_GBK"/>
          <w:snapToGrid w:val="0"/>
          <w:color w:val="auto"/>
          <w:kern w:val="0"/>
          <w:sz w:val="32"/>
          <w:szCs w:val="32"/>
          <w:lang w:eastAsia="zh-CN"/>
        </w:rPr>
        <w:t>发布）</w:t>
      </w:r>
      <w:r>
        <w:rPr>
          <w:rFonts w:hint="eastAsia" w:ascii="Times New Roman" w:hAnsi="Times New Roman" w:eastAsia="方正仿宋_GBK"/>
          <w:snapToGrid w:val="0"/>
          <w:color w:val="auto"/>
          <w:kern w:val="0"/>
          <w:sz w:val="32"/>
          <w:szCs w:val="32"/>
        </w:rPr>
        <w:t>规定办理。</w:t>
      </w:r>
    </w:p>
    <w:p>
      <w:pPr>
        <w:snapToGrid w:val="0"/>
        <w:spacing w:line="594" w:lineRule="exact"/>
        <w:ind w:firstLine="640" w:firstLineChars="200"/>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（八）严格按照批准的水土保持方案和后续设计落实各项水土保持措施，合理安排施工时序和水土保持措施实施进度，严格控制施工期间水土流失。</w:t>
      </w:r>
    </w:p>
    <w:p>
      <w:pPr>
        <w:snapToGrid w:val="0"/>
        <w:spacing w:line="594" w:lineRule="exact"/>
        <w:ind w:firstLine="640" w:firstLineChars="200"/>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（九）</w:t>
      </w:r>
      <w:r>
        <w:rPr>
          <w:rFonts w:ascii="Times New Roman" w:hAnsi="Times New Roman" w:eastAsia="方正仿宋_GBK"/>
          <w:color w:val="auto"/>
          <w:sz w:val="32"/>
          <w:szCs w:val="32"/>
        </w:rPr>
        <w:t>工程完工后、项目投产使用前应及时组织开展水土保持设施自主验收，并在水土保持设施自主验收通过3个月内，向我局报备验收材料（包括</w:t>
      </w:r>
      <w:r>
        <w:rPr>
          <w:rFonts w:ascii="Times New Roman" w:hAnsi="Times New Roman" w:eastAsia="方正仿宋_GBK"/>
          <w:snapToGrid w:val="0"/>
          <w:color w:val="auto"/>
          <w:kern w:val="0"/>
          <w:sz w:val="32"/>
          <w:szCs w:val="32"/>
        </w:rPr>
        <w:t>水土保持设施验收鉴定书、水土保持设施验收报告和水土保持监测总结报告等）。</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（十）</w:t>
      </w:r>
      <w:r>
        <w:rPr>
          <w:rFonts w:hint="eastAsia" w:ascii="Times New Roman" w:hAnsi="Times New Roman" w:eastAsia="方正仿宋_GBK"/>
          <w:snapToGrid w:val="0"/>
          <w:color w:val="auto"/>
          <w:kern w:val="0"/>
          <w:sz w:val="32"/>
          <w:szCs w:val="32"/>
          <w:lang w:eastAsia="zh-CN"/>
        </w:rPr>
        <w:t>水土保持方案自批准之日起满</w:t>
      </w:r>
      <w:r>
        <w:rPr>
          <w:rFonts w:hint="eastAsia" w:ascii="Times New Roman" w:hAnsi="Times New Roman" w:eastAsia="方正仿宋_GBK"/>
          <w:snapToGrid w:val="0"/>
          <w:color w:val="auto"/>
          <w:kern w:val="0"/>
          <w:sz w:val="32"/>
          <w:szCs w:val="32"/>
          <w:lang w:val="en-US" w:eastAsia="zh-CN"/>
        </w:rPr>
        <w:t>3年，生产建设项目方开工建设的，其水土保持方案开工建设前报我局重新审核</w:t>
      </w:r>
      <w:r>
        <w:rPr>
          <w:rFonts w:ascii="Times New Roman" w:hAnsi="Times New Roman" w:eastAsia="方正仿宋_GBK"/>
          <w:snapToGrid w:val="0"/>
          <w:color w:val="auto"/>
          <w:kern w:val="0"/>
          <w:sz w:val="32"/>
          <w:szCs w:val="32"/>
        </w:rPr>
        <w:t>。</w:t>
      </w:r>
    </w:p>
    <w:p>
      <w:pPr>
        <w:snapToGrid w:val="0"/>
        <w:spacing w:line="594" w:lineRule="exact"/>
        <w:rPr>
          <w:rFonts w:hint="eastAsia" w:ascii="Times New Roman" w:hAnsi="Times New Roman" w:eastAsia="方正仿宋_GBK"/>
          <w:snapToGrid w:val="0"/>
          <w:color w:val="auto"/>
          <w:kern w:val="0"/>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left="1918" w:leftChars="304" w:hanging="1280" w:hangingChars="400"/>
        <w:jc w:val="both"/>
        <w:textAlignment w:val="auto"/>
        <w:rPr>
          <w:rFonts w:hint="eastAsia"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附件：</w:t>
      </w:r>
      <w:r>
        <w:rPr>
          <w:rFonts w:hint="eastAsia" w:ascii="Times New Roman" w:hAnsi="Times New Roman" w:eastAsia="方正仿宋_GBK"/>
          <w:snapToGrid w:val="0"/>
          <w:color w:val="auto"/>
          <w:kern w:val="0"/>
          <w:sz w:val="32"/>
          <w:szCs w:val="32"/>
        </w:rPr>
        <w:t>1</w:t>
      </w:r>
      <w:r>
        <w:rPr>
          <w:rFonts w:hint="eastAsia" w:ascii="Times New Roman" w:hAnsi="Times New Roman" w:eastAsia="方正仿宋_GBK"/>
          <w:snapToGrid w:val="0"/>
          <w:color w:val="auto"/>
          <w:kern w:val="0"/>
          <w:sz w:val="32"/>
          <w:szCs w:val="32"/>
          <w:lang w:val="en-US" w:eastAsia="zh-CN"/>
        </w:rPr>
        <w:t>.成达万高铁重庆中兴牵220千伏外部供电工程</w:t>
      </w:r>
      <w:r>
        <w:rPr>
          <w:rFonts w:hint="eastAsia" w:ascii="Times New Roman" w:hAnsi="Times New Roman" w:eastAsia="方正仿宋_GBK"/>
          <w:bCs/>
          <w:snapToGrid w:val="0"/>
          <w:color w:val="auto"/>
          <w:kern w:val="0"/>
          <w:sz w:val="32"/>
          <w:szCs w:val="32"/>
        </w:rPr>
        <w:t>水土保持</w:t>
      </w:r>
      <w:r>
        <w:rPr>
          <w:rFonts w:ascii="Times New Roman" w:hAnsi="Times New Roman" w:eastAsia="方正仿宋_GBK"/>
          <w:bCs/>
          <w:snapToGrid w:val="0"/>
          <w:color w:val="auto"/>
          <w:kern w:val="0"/>
          <w:sz w:val="32"/>
          <w:szCs w:val="32"/>
        </w:rPr>
        <w:t>方案特性表</w:t>
      </w:r>
    </w:p>
    <w:p>
      <w:pPr>
        <w:keepNext w:val="0"/>
        <w:keepLines w:val="0"/>
        <w:pageBreakBefore w:val="0"/>
        <w:widowControl w:val="0"/>
        <w:kinsoku/>
        <w:wordWrap/>
        <w:overflowPunct/>
        <w:topLinePunct w:val="0"/>
        <w:autoSpaceDE/>
        <w:autoSpaceDN/>
        <w:bidi w:val="0"/>
        <w:adjustRightInd/>
        <w:snapToGrid w:val="0"/>
        <w:spacing w:line="594" w:lineRule="exact"/>
        <w:ind w:left="1916" w:leftChars="760" w:hanging="320" w:hangingChars="100"/>
        <w:jc w:val="both"/>
        <w:textAlignment w:val="auto"/>
        <w:rPr>
          <w:rFonts w:ascii="Times New Roman" w:hAnsi="Times New Roman" w:eastAsia="方正仿宋_GBK"/>
          <w:snapToGrid w:val="0"/>
          <w:color w:val="auto"/>
          <w:kern w:val="0"/>
          <w:sz w:val="32"/>
          <w:szCs w:val="32"/>
        </w:rPr>
      </w:pPr>
      <w:r>
        <w:rPr>
          <w:rFonts w:hint="eastAsia" w:ascii="Times New Roman" w:hAnsi="Times New Roman" w:eastAsia="方正仿宋_GBK"/>
          <w:snapToGrid w:val="0"/>
          <w:color w:val="auto"/>
          <w:kern w:val="0"/>
          <w:sz w:val="32"/>
          <w:szCs w:val="32"/>
        </w:rPr>
        <w:t>2.</w:t>
      </w:r>
      <w:r>
        <w:rPr>
          <w:rFonts w:hint="eastAsia" w:ascii="Times New Roman" w:hAnsi="Times New Roman" w:eastAsia="方正仿宋_GBK" w:cs="Times New Roman"/>
          <w:bCs/>
          <w:color w:val="auto"/>
          <w:sz w:val="32"/>
          <w:szCs w:val="32"/>
          <w:lang w:eastAsia="zh-CN"/>
        </w:rPr>
        <w:t>成达万高铁重庆中兴牵220千伏外部供电工程</w:t>
      </w:r>
      <w:r>
        <w:rPr>
          <w:rFonts w:hint="default" w:ascii="Times New Roman" w:hAnsi="Times New Roman" w:eastAsia="方正仿宋_GBK" w:cs="Times New Roman"/>
          <w:bCs/>
          <w:color w:val="auto"/>
          <w:sz w:val="32"/>
          <w:szCs w:val="32"/>
        </w:rPr>
        <w:t>水土保持方案</w:t>
      </w:r>
      <w:r>
        <w:rPr>
          <w:rFonts w:hint="default" w:ascii="Times New Roman" w:hAnsi="Times New Roman" w:eastAsia="方正仿宋_GBK" w:cs="Times New Roman"/>
          <w:snapToGrid w:val="0"/>
          <w:color w:val="auto"/>
          <w:kern w:val="0"/>
          <w:sz w:val="32"/>
          <w:szCs w:val="32"/>
        </w:rPr>
        <w:t>报告书专家评审意见</w:t>
      </w:r>
    </w:p>
    <w:p>
      <w:pPr>
        <w:keepNext w:val="0"/>
        <w:keepLines w:val="0"/>
        <w:pageBreakBefore w:val="0"/>
        <w:widowControl w:val="0"/>
        <w:kinsoku/>
        <w:wordWrap/>
        <w:overflowPunct/>
        <w:topLinePunct w:val="0"/>
        <w:autoSpaceDE/>
        <w:autoSpaceDN/>
        <w:bidi w:val="0"/>
        <w:adjustRightInd/>
        <w:snapToGrid w:val="0"/>
        <w:spacing w:line="594" w:lineRule="exact"/>
        <w:ind w:firstLine="0" w:firstLineChars="0"/>
        <w:textAlignment w:val="auto"/>
        <w:rPr>
          <w:rFonts w:hint="eastAsia" w:ascii="Times New Roman" w:hAnsi="Times New Roman" w:eastAsia="方正仿宋_GBK"/>
          <w:snapToGrid w:val="0"/>
          <w:color w:val="auto"/>
          <w:kern w:val="0"/>
          <w:sz w:val="32"/>
          <w:szCs w:val="32"/>
        </w:rPr>
      </w:pPr>
    </w:p>
    <w:p>
      <w:pPr>
        <w:snapToGrid w:val="0"/>
        <w:spacing w:line="594" w:lineRule="exact"/>
        <w:ind w:right="640" w:firstLine="6080" w:firstLineChars="1900"/>
        <w:jc w:val="left"/>
        <w:rPr>
          <w:rFonts w:ascii="Times New Roman" w:hAnsi="Times New Roman" w:eastAsia="方正仿宋_GBK"/>
          <w:color w:val="auto"/>
          <w:sz w:val="32"/>
          <w:szCs w:val="32"/>
        </w:rPr>
      </w:pPr>
      <w:r>
        <w:rPr>
          <w:rFonts w:ascii="Times New Roman" w:hAnsi="Times New Roman" w:eastAsia="方正仿宋_GBK"/>
          <w:color w:val="auto"/>
          <w:sz w:val="32"/>
          <w:szCs w:val="32"/>
        </w:rPr>
        <w:t>重庆市水利局</w:t>
      </w:r>
    </w:p>
    <w:p>
      <w:pPr>
        <w:snapToGrid w:val="0"/>
        <w:spacing w:line="594" w:lineRule="exact"/>
        <w:ind w:right="800"/>
        <w:jc w:val="right"/>
        <w:rPr>
          <w:rFonts w:ascii="Times New Roman" w:hAnsi="Times New Roman" w:eastAsia="方正仿宋_GBK"/>
          <w:color w:val="auto"/>
          <w:sz w:val="32"/>
          <w:szCs w:val="32"/>
        </w:rPr>
      </w:pPr>
      <w:r>
        <w:rPr>
          <w:rFonts w:ascii="Times New Roman" w:hAnsi="Times New Roman" w:eastAsia="方正仿宋_GBK"/>
          <w:color w:val="auto"/>
          <w:sz w:val="32"/>
          <w:szCs w:val="32"/>
        </w:rPr>
        <w:t>202</w:t>
      </w:r>
      <w:r>
        <w:rPr>
          <w:rFonts w:hint="default" w:ascii="Times New Roman" w:hAnsi="Times New Roman" w:eastAsia="方正仿宋_GBK"/>
          <w:color w:val="auto"/>
          <w:sz w:val="32"/>
          <w:szCs w:val="32"/>
          <w:lang w:val="en" w:eastAsia="zh-CN"/>
        </w:rPr>
        <w:t>5</w:t>
      </w:r>
      <w:r>
        <w:rPr>
          <w:rFonts w:ascii="Times New Roman" w:hAnsi="Times New Roman" w:eastAsia="方正仿宋_GBK"/>
          <w:color w:val="auto"/>
          <w:sz w:val="32"/>
          <w:szCs w:val="32"/>
        </w:rPr>
        <w:t>年</w:t>
      </w:r>
      <w:r>
        <w:rPr>
          <w:rFonts w:hint="eastAsia" w:ascii="Times New Roman" w:hAnsi="Times New Roman" w:eastAsia="方正仿宋_GBK"/>
          <w:color w:val="auto"/>
          <w:sz w:val="32"/>
          <w:szCs w:val="32"/>
          <w:lang w:val="en-US" w:eastAsia="zh-CN"/>
        </w:rPr>
        <w:t>12</w:t>
      </w:r>
      <w:r>
        <w:rPr>
          <w:rFonts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11</w:t>
      </w:r>
      <w:r>
        <w:rPr>
          <w:rFonts w:ascii="Times New Roman" w:hAnsi="Times New Roman" w:eastAsia="方正仿宋_GBK"/>
          <w:color w:val="auto"/>
          <w:sz w:val="32"/>
          <w:szCs w:val="32"/>
        </w:rPr>
        <w:t>日</w:t>
      </w:r>
    </w:p>
    <w:p>
      <w:pPr>
        <w:snapToGrid w:val="0"/>
        <w:spacing w:line="594" w:lineRule="exact"/>
        <w:ind w:right="960"/>
        <w:jc w:val="left"/>
        <w:rPr>
          <w:rFonts w:ascii="Times New Roman" w:hAnsi="Times New Roman"/>
          <w:color w:val="auto"/>
          <w:szCs w:val="28"/>
        </w:rPr>
      </w:pPr>
    </w:p>
    <w:p>
      <w:pPr>
        <w:keepNext w:val="0"/>
        <w:keepLines w:val="0"/>
        <w:pageBreakBefore w:val="0"/>
        <w:widowControl w:val="0"/>
        <w:kinsoku/>
        <w:wordWrap/>
        <w:overflowPunct/>
        <w:topLinePunct w:val="0"/>
        <w:autoSpaceDE/>
        <w:autoSpaceDN/>
        <w:bidi w:val="0"/>
        <w:snapToGrid w:val="0"/>
        <w:spacing w:line="594" w:lineRule="exact"/>
        <w:ind w:firstLine="640" w:firstLineChars="200"/>
        <w:jc w:val="left"/>
        <w:textAlignment w:val="auto"/>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（此件</w:t>
      </w:r>
      <w:r>
        <w:rPr>
          <w:rFonts w:hint="eastAsia" w:ascii="Times New Roman" w:hAnsi="Times New Roman" w:eastAsia="方正仿宋_GBK"/>
          <w:snapToGrid w:val="0"/>
          <w:color w:val="auto"/>
          <w:kern w:val="0"/>
          <w:sz w:val="32"/>
          <w:szCs w:val="32"/>
          <w:lang w:eastAsia="zh-CN"/>
        </w:rPr>
        <w:t>主动</w:t>
      </w:r>
      <w:r>
        <w:rPr>
          <w:rFonts w:ascii="Times New Roman" w:hAnsi="Times New Roman" w:eastAsia="方正仿宋_GBK"/>
          <w:snapToGrid w:val="0"/>
          <w:color w:val="auto"/>
          <w:kern w:val="0"/>
          <w:sz w:val="32"/>
          <w:szCs w:val="32"/>
        </w:rPr>
        <w:t>公开发布）</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（联系人：张</w:t>
      </w:r>
      <w:r>
        <w:rPr>
          <w:rFonts w:hint="eastAsia" w:ascii="Times New Roman" w:hAnsi="Times New Roman" w:eastAsia="方正仿宋_GBK"/>
          <w:snapToGrid w:val="0"/>
          <w:color w:val="auto"/>
          <w:kern w:val="0"/>
          <w:sz w:val="32"/>
          <w:szCs w:val="32"/>
        </w:rPr>
        <w:t>春才</w:t>
      </w:r>
      <w:r>
        <w:rPr>
          <w:rFonts w:ascii="Times New Roman" w:hAnsi="Times New Roman" w:eastAsia="方正仿宋_GBK"/>
          <w:snapToGrid w:val="0"/>
          <w:color w:val="auto"/>
          <w:kern w:val="0"/>
          <w:sz w:val="32"/>
          <w:szCs w:val="32"/>
        </w:rPr>
        <w:t>；联系电话：023</w:t>
      </w:r>
      <w:r>
        <w:rPr>
          <w:rFonts w:hint="eastAsia" w:ascii="Times New Roman" w:hAnsi="Times New Roman" w:eastAsia="方正仿宋_GBK"/>
          <w:snapToGrid w:val="0"/>
          <w:color w:val="auto"/>
          <w:kern w:val="0"/>
          <w:sz w:val="32"/>
          <w:szCs w:val="32"/>
          <w:lang w:eastAsia="zh-CN"/>
        </w:rPr>
        <w:t>—</w:t>
      </w:r>
      <w:r>
        <w:rPr>
          <w:rFonts w:ascii="Times New Roman" w:hAnsi="Times New Roman" w:eastAsia="方正仿宋_GBK"/>
          <w:snapToGrid w:val="0"/>
          <w:color w:val="auto"/>
          <w:kern w:val="0"/>
          <w:sz w:val="32"/>
          <w:szCs w:val="32"/>
        </w:rPr>
        <w:t>88707091）</w:t>
      </w:r>
    </w:p>
    <w:p>
      <w:pPr>
        <w:adjustRightInd w:val="0"/>
        <w:snapToGrid w:val="0"/>
        <w:spacing w:line="600" w:lineRule="exact"/>
        <w:rPr>
          <w:rFonts w:ascii="Times New Roman" w:hAnsi="Times New Roman" w:eastAsia="方正仿宋_GBK"/>
          <w:snapToGrid w:val="0"/>
          <w:color w:val="FF0000"/>
          <w:kern w:val="0"/>
          <w:sz w:val="32"/>
          <w:szCs w:val="32"/>
        </w:rPr>
      </w:pPr>
    </w:p>
    <w:p>
      <w:pPr>
        <w:rPr>
          <w:rFonts w:ascii="Times New Roman" w:hAnsi="Times New Roman" w:eastAsia="方正仿宋_GBK"/>
          <w:snapToGrid w:val="0"/>
          <w:color w:val="FF0000"/>
          <w:kern w:val="0"/>
          <w:sz w:val="32"/>
          <w:szCs w:val="32"/>
        </w:rPr>
      </w:pPr>
      <w:r>
        <w:rPr>
          <w:rFonts w:ascii="Times New Roman" w:hAnsi="Times New Roman" w:eastAsia="方正仿宋_GBK"/>
          <w:snapToGrid w:val="0"/>
          <w:color w:val="FF0000"/>
          <w:kern w:val="0"/>
          <w:sz w:val="32"/>
          <w:szCs w:val="32"/>
        </w:rPr>
        <w:br w:type="page"/>
      </w:r>
      <w:bookmarkStart w:id="2" w:name="_GoBack"/>
      <w:bookmarkEnd w:id="2"/>
    </w:p>
    <w:p>
      <w:pPr>
        <w:spacing w:line="594" w:lineRule="exact"/>
        <w:jc w:val="left"/>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附件1</w:t>
      </w:r>
    </w:p>
    <w:p>
      <w:pPr>
        <w:numPr>
          <w:ilvl w:val="0"/>
          <w:numId w:val="0"/>
        </w:numPr>
        <w:topLinePunct/>
        <w:autoSpaceDE w:val="0"/>
        <w:autoSpaceDN w:val="0"/>
        <w:snapToGrid w:val="0"/>
        <w:spacing w:line="500" w:lineRule="exact"/>
        <w:ind w:leftChars="0"/>
        <w:jc w:val="center"/>
        <w:rPr>
          <w:rFonts w:hint="eastAsia" w:ascii="Times New Roman" w:hAnsi="Times New Roman" w:eastAsia="方正小标宋_GBK" w:cs="Times New Roman"/>
          <w:b w:val="0"/>
          <w:bCs/>
          <w:color w:val="auto"/>
          <w:sz w:val="36"/>
          <w:szCs w:val="36"/>
          <w:lang w:eastAsia="zh-CN"/>
        </w:rPr>
      </w:pPr>
    </w:p>
    <w:p>
      <w:pPr>
        <w:numPr>
          <w:ilvl w:val="0"/>
          <w:numId w:val="0"/>
        </w:numPr>
        <w:topLinePunct/>
        <w:autoSpaceDE w:val="0"/>
        <w:autoSpaceDN w:val="0"/>
        <w:snapToGrid w:val="0"/>
        <w:spacing w:line="500" w:lineRule="exact"/>
        <w:ind w:leftChars="0"/>
        <w:jc w:val="center"/>
        <w:rPr>
          <w:rFonts w:hint="eastAsia" w:ascii="Times New Roman" w:hAnsi="Times New Roman" w:eastAsia="方正小标宋_GBK" w:cs="Times New Roman"/>
          <w:b w:val="0"/>
          <w:bCs/>
          <w:color w:val="auto"/>
          <w:sz w:val="36"/>
          <w:szCs w:val="36"/>
          <w:lang w:eastAsia="zh-CN"/>
        </w:rPr>
      </w:pPr>
      <w:r>
        <w:rPr>
          <w:rFonts w:hint="eastAsia" w:ascii="Times New Roman" w:hAnsi="Times New Roman" w:eastAsia="方正小标宋_GBK" w:cs="Times New Roman"/>
          <w:b w:val="0"/>
          <w:bCs/>
          <w:color w:val="auto"/>
          <w:sz w:val="36"/>
          <w:szCs w:val="36"/>
          <w:lang w:eastAsia="zh-CN"/>
        </w:rPr>
        <w:t>成达万高铁重庆中兴牵220千伏外部供电工程</w:t>
      </w:r>
    </w:p>
    <w:p>
      <w:pPr>
        <w:numPr>
          <w:ilvl w:val="0"/>
          <w:numId w:val="0"/>
        </w:numPr>
        <w:topLinePunct/>
        <w:autoSpaceDE w:val="0"/>
        <w:autoSpaceDN w:val="0"/>
        <w:snapToGrid w:val="0"/>
        <w:spacing w:line="500" w:lineRule="exact"/>
        <w:ind w:leftChars="0"/>
        <w:jc w:val="center"/>
        <w:rPr>
          <w:rFonts w:hint="default" w:ascii="Times New Roman" w:hAnsi="Times New Roman" w:eastAsia="方正小标宋_GBK" w:cs="Times New Roman"/>
          <w:b w:val="0"/>
          <w:bCs/>
          <w:color w:val="auto"/>
          <w:sz w:val="30"/>
          <w:szCs w:val="30"/>
        </w:rPr>
      </w:pPr>
      <w:r>
        <w:rPr>
          <w:rFonts w:hint="default" w:ascii="Times New Roman" w:hAnsi="Times New Roman" w:eastAsia="方正小标宋_GBK" w:cs="Times New Roman"/>
          <w:b w:val="0"/>
          <w:bCs/>
          <w:color w:val="auto"/>
          <w:sz w:val="36"/>
          <w:szCs w:val="36"/>
        </w:rPr>
        <w:t>水土保持方案特性表</w:t>
      </w:r>
    </w:p>
    <w:tbl>
      <w:tblPr>
        <w:tblStyle w:val="9"/>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9"/>
        <w:gridCol w:w="328"/>
        <w:gridCol w:w="290"/>
        <w:gridCol w:w="1134"/>
        <w:gridCol w:w="138"/>
        <w:gridCol w:w="1563"/>
        <w:gridCol w:w="565"/>
        <w:gridCol w:w="849"/>
        <w:gridCol w:w="1278"/>
        <w:gridCol w:w="282"/>
        <w:gridCol w:w="711"/>
        <w:gridCol w:w="9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67" w:type="dxa"/>
            <w:gridSpan w:val="2"/>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项目名称</w:t>
            </w:r>
          </w:p>
        </w:tc>
        <w:tc>
          <w:tcPr>
            <w:tcW w:w="3125" w:type="dxa"/>
            <w:gridSpan w:val="4"/>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成达万高铁重庆中兴牵</w:t>
            </w:r>
            <w:r>
              <w:rPr>
                <w:rFonts w:ascii="Times New Roman" w:hAnsi="Times New Roman" w:eastAsia="仿宋" w:cs="Times New Roman"/>
                <w:kern w:val="0"/>
                <w:sz w:val="18"/>
                <w:szCs w:val="18"/>
              </w:rPr>
              <w:t>220千伏外部供电工程</w:t>
            </w:r>
          </w:p>
        </w:tc>
        <w:tc>
          <w:tcPr>
            <w:tcW w:w="2692"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流域管理机构</w:t>
            </w:r>
          </w:p>
        </w:tc>
        <w:tc>
          <w:tcPr>
            <w:tcW w:w="1976" w:type="dxa"/>
            <w:gridSpan w:val="3"/>
            <w:tcBorders>
              <w:tl2br w:val="nil"/>
              <w:tr2bl w:val="nil"/>
            </w:tcBorders>
            <w:vAlign w:val="center"/>
          </w:tcPr>
          <w:p>
            <w:pPr>
              <w:widowControl/>
              <w:spacing w:line="240" w:lineRule="exact"/>
              <w:jc w:val="center"/>
              <w:rPr>
                <w:rFonts w:ascii="Times New Roman" w:hAnsi="Times New Roman" w:eastAsia="仿宋" w:cs="Times New Roman"/>
                <w:spacing w:val="-10"/>
                <w:kern w:val="0"/>
                <w:sz w:val="18"/>
                <w:szCs w:val="18"/>
              </w:rPr>
            </w:pPr>
            <w:r>
              <w:rPr>
                <w:rFonts w:hint="default" w:ascii="Times New Roman" w:hAnsi="Times New Roman" w:eastAsia="仿宋" w:cs="Times New Roman"/>
                <w:spacing w:val="-10"/>
                <w:kern w:val="0"/>
                <w:sz w:val="18"/>
                <w:szCs w:val="18"/>
              </w:rPr>
              <w:t>水利部长江水利委员会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67" w:type="dxa"/>
            <w:gridSpan w:val="2"/>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涉及省（市、区）</w:t>
            </w:r>
          </w:p>
        </w:tc>
        <w:tc>
          <w:tcPr>
            <w:tcW w:w="1562"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重庆市</w:t>
            </w:r>
          </w:p>
        </w:tc>
        <w:tc>
          <w:tcPr>
            <w:tcW w:w="1563" w:type="dxa"/>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涉及地市或个数</w:t>
            </w:r>
          </w:p>
        </w:tc>
        <w:tc>
          <w:tcPr>
            <w:tcW w:w="1414" w:type="dxa"/>
            <w:gridSpan w:val="2"/>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1278" w:type="dxa"/>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涉及</w:t>
            </w:r>
            <w:r>
              <w:rPr>
                <w:rFonts w:hint="default" w:ascii="Times New Roman" w:hAnsi="Times New Roman" w:eastAsia="仿宋" w:cs="Times New Roman"/>
                <w:kern w:val="0"/>
                <w:sz w:val="18"/>
                <w:szCs w:val="18"/>
              </w:rPr>
              <w:t>区</w:t>
            </w:r>
            <w:r>
              <w:rPr>
                <w:rFonts w:ascii="Times New Roman" w:hAnsi="Times New Roman" w:eastAsia="仿宋" w:cs="Times New Roman"/>
                <w:kern w:val="0"/>
                <w:sz w:val="18"/>
                <w:szCs w:val="18"/>
              </w:rPr>
              <w:t>或个数</w:t>
            </w:r>
          </w:p>
        </w:tc>
        <w:tc>
          <w:tcPr>
            <w:tcW w:w="1976"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梁平区、万州区、开州区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7" w:type="dxa"/>
            <w:gridSpan w:val="2"/>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项目规模</w:t>
            </w:r>
          </w:p>
        </w:tc>
        <w:tc>
          <w:tcPr>
            <w:tcW w:w="3125" w:type="dxa"/>
            <w:gridSpan w:val="4"/>
            <w:tcBorders>
              <w:tl2br w:val="nil"/>
              <w:tr2bl w:val="nil"/>
            </w:tcBorders>
            <w:vAlign w:val="center"/>
          </w:tcPr>
          <w:p>
            <w:pPr>
              <w:widowControl/>
              <w:spacing w:line="240" w:lineRule="exact"/>
              <w:jc w:val="left"/>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（1）扩建城北220kV变电站间隔</w:t>
            </w:r>
            <w:r>
              <w:rPr>
                <w:rFonts w:ascii="Times New Roman" w:hAnsi="Times New Roman" w:eastAsia="仿宋" w:cs="Times New Roman"/>
                <w:kern w:val="0"/>
                <w:sz w:val="18"/>
                <w:szCs w:val="18"/>
              </w:rPr>
              <w:t>1</w:t>
            </w:r>
            <w:r>
              <w:rPr>
                <w:rFonts w:hint="default" w:ascii="Times New Roman" w:hAnsi="Times New Roman" w:eastAsia="仿宋" w:cs="Times New Roman"/>
                <w:kern w:val="0"/>
                <w:sz w:val="18"/>
                <w:szCs w:val="18"/>
              </w:rPr>
              <w:t>个。</w:t>
            </w:r>
          </w:p>
          <w:p>
            <w:pPr>
              <w:widowControl/>
              <w:spacing w:line="240" w:lineRule="exact"/>
              <w:jc w:val="left"/>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（2）新建2</w:t>
            </w:r>
            <w:r>
              <w:rPr>
                <w:rFonts w:ascii="Times New Roman" w:hAnsi="Times New Roman" w:eastAsia="仿宋" w:cs="Times New Roman"/>
                <w:kern w:val="0"/>
                <w:sz w:val="18"/>
                <w:szCs w:val="18"/>
              </w:rPr>
              <w:t>20kV</w:t>
            </w:r>
            <w:r>
              <w:rPr>
                <w:rFonts w:hint="default" w:ascii="Times New Roman" w:hAnsi="Times New Roman" w:eastAsia="仿宋" w:cs="Times New Roman"/>
                <w:kern w:val="0"/>
                <w:sz w:val="18"/>
                <w:szCs w:val="18"/>
              </w:rPr>
              <w:t>城兴线4</w:t>
            </w:r>
            <w:r>
              <w:rPr>
                <w:rFonts w:ascii="Times New Roman" w:hAnsi="Times New Roman" w:eastAsia="仿宋" w:cs="Times New Roman"/>
                <w:kern w:val="0"/>
                <w:sz w:val="18"/>
                <w:szCs w:val="18"/>
              </w:rPr>
              <w:t>9.2km</w:t>
            </w:r>
            <w:r>
              <w:rPr>
                <w:rFonts w:hint="default" w:ascii="Times New Roman" w:hAnsi="Times New Roman" w:eastAsia="仿宋" w:cs="Times New Roman"/>
                <w:kern w:val="0"/>
                <w:sz w:val="18"/>
                <w:szCs w:val="18"/>
              </w:rPr>
              <w:t>，架空架设。</w:t>
            </w:r>
          </w:p>
          <w:p>
            <w:pPr>
              <w:widowControl/>
              <w:spacing w:line="240" w:lineRule="exact"/>
              <w:jc w:val="left"/>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（3）新建220kV镇兴线3</w:t>
            </w:r>
            <w:r>
              <w:rPr>
                <w:rFonts w:ascii="Times New Roman" w:hAnsi="Times New Roman" w:eastAsia="仿宋" w:cs="Times New Roman"/>
                <w:kern w:val="0"/>
                <w:sz w:val="18"/>
                <w:szCs w:val="18"/>
              </w:rPr>
              <w:t>3.4km</w:t>
            </w:r>
            <w:r>
              <w:rPr>
                <w:rFonts w:hint="default" w:ascii="Times New Roman" w:hAnsi="Times New Roman" w:eastAsia="仿宋" w:cs="Times New Roman"/>
                <w:kern w:val="0"/>
                <w:sz w:val="18"/>
                <w:szCs w:val="18"/>
              </w:rPr>
              <w:t>，架空架设；</w:t>
            </w:r>
          </w:p>
          <w:p>
            <w:pPr>
              <w:widowControl/>
              <w:spacing w:line="240" w:lineRule="exact"/>
              <w:jc w:val="left"/>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（4）迁改220kV城桂线0.52km，架空架设。</w:t>
            </w:r>
          </w:p>
        </w:tc>
        <w:tc>
          <w:tcPr>
            <w:tcW w:w="1414" w:type="dxa"/>
            <w:gridSpan w:val="2"/>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总投资（万元）</w:t>
            </w:r>
          </w:p>
        </w:tc>
        <w:tc>
          <w:tcPr>
            <w:tcW w:w="1278" w:type="dxa"/>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17829</w:t>
            </w:r>
          </w:p>
        </w:tc>
        <w:tc>
          <w:tcPr>
            <w:tcW w:w="993" w:type="dxa"/>
            <w:gridSpan w:val="2"/>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土建投资（万元）</w:t>
            </w:r>
          </w:p>
        </w:tc>
        <w:tc>
          <w:tcPr>
            <w:tcW w:w="983" w:type="dxa"/>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13403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67" w:type="dxa"/>
            <w:gridSpan w:val="2"/>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开工时间</w:t>
            </w:r>
          </w:p>
        </w:tc>
        <w:tc>
          <w:tcPr>
            <w:tcW w:w="1562"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2025年12月</w:t>
            </w:r>
          </w:p>
        </w:tc>
        <w:tc>
          <w:tcPr>
            <w:tcW w:w="1563" w:type="dxa"/>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完工时间</w:t>
            </w:r>
          </w:p>
        </w:tc>
        <w:tc>
          <w:tcPr>
            <w:tcW w:w="1414" w:type="dxa"/>
            <w:gridSpan w:val="2"/>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2026年12月</w:t>
            </w:r>
          </w:p>
        </w:tc>
        <w:tc>
          <w:tcPr>
            <w:tcW w:w="1278" w:type="dxa"/>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设计水平年</w:t>
            </w:r>
          </w:p>
        </w:tc>
        <w:tc>
          <w:tcPr>
            <w:tcW w:w="1976"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2027年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67" w:type="dxa"/>
            <w:gridSpan w:val="2"/>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工程占地（hm²）</w:t>
            </w:r>
          </w:p>
        </w:tc>
        <w:tc>
          <w:tcPr>
            <w:tcW w:w="1562"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16.03</w:t>
            </w:r>
          </w:p>
        </w:tc>
        <w:tc>
          <w:tcPr>
            <w:tcW w:w="1563" w:type="dxa"/>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永久占地（hm²）</w:t>
            </w:r>
          </w:p>
        </w:tc>
        <w:tc>
          <w:tcPr>
            <w:tcW w:w="1414" w:type="dxa"/>
            <w:gridSpan w:val="2"/>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3.36</w:t>
            </w:r>
          </w:p>
        </w:tc>
        <w:tc>
          <w:tcPr>
            <w:tcW w:w="1278" w:type="dxa"/>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临时占地（hm²）</w:t>
            </w:r>
          </w:p>
        </w:tc>
        <w:tc>
          <w:tcPr>
            <w:tcW w:w="1976"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12.67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67" w:type="dxa"/>
            <w:gridSpan w:val="2"/>
            <w:vMerge w:val="restart"/>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土石方量（万m³）</w:t>
            </w:r>
          </w:p>
        </w:tc>
        <w:tc>
          <w:tcPr>
            <w:tcW w:w="1562"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挖方</w:t>
            </w:r>
          </w:p>
        </w:tc>
        <w:tc>
          <w:tcPr>
            <w:tcW w:w="2977"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填方</w:t>
            </w:r>
          </w:p>
        </w:tc>
        <w:tc>
          <w:tcPr>
            <w:tcW w:w="1278" w:type="dxa"/>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借方</w:t>
            </w:r>
          </w:p>
        </w:tc>
        <w:tc>
          <w:tcPr>
            <w:tcW w:w="1976"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余（弃）方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67" w:type="dxa"/>
            <w:gridSpan w:val="2"/>
            <w:vMerge w:val="continue"/>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p>
        </w:tc>
        <w:tc>
          <w:tcPr>
            <w:tcW w:w="1562"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3.93</w:t>
            </w:r>
            <w:r>
              <w:rPr>
                <w:rFonts w:hint="default" w:ascii="Times New Roman" w:hAnsi="Times New Roman" w:eastAsia="仿宋" w:cs="Times New Roman"/>
                <w:kern w:val="0"/>
                <w:sz w:val="18"/>
                <w:szCs w:val="18"/>
              </w:rPr>
              <w:t>（含表土</w:t>
            </w:r>
            <w:r>
              <w:rPr>
                <w:rFonts w:ascii="Times New Roman" w:hAnsi="Times New Roman" w:eastAsia="仿宋" w:cs="Times New Roman"/>
                <w:kern w:val="0"/>
                <w:sz w:val="18"/>
                <w:szCs w:val="18"/>
              </w:rPr>
              <w:t>2.63</w:t>
            </w:r>
            <w:r>
              <w:rPr>
                <w:rFonts w:hint="default" w:ascii="Times New Roman" w:hAnsi="Times New Roman" w:eastAsia="仿宋" w:cs="Times New Roman"/>
                <w:kern w:val="0"/>
                <w:sz w:val="18"/>
                <w:szCs w:val="18"/>
              </w:rPr>
              <w:t>）</w:t>
            </w:r>
          </w:p>
        </w:tc>
        <w:tc>
          <w:tcPr>
            <w:tcW w:w="2977"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3.93</w:t>
            </w:r>
            <w:r>
              <w:rPr>
                <w:rFonts w:hint="default" w:ascii="Times New Roman" w:hAnsi="Times New Roman" w:eastAsia="仿宋" w:cs="Times New Roman"/>
                <w:kern w:val="0"/>
                <w:sz w:val="18"/>
                <w:szCs w:val="18"/>
              </w:rPr>
              <w:t>（含表土</w:t>
            </w:r>
            <w:r>
              <w:rPr>
                <w:rFonts w:ascii="Times New Roman" w:hAnsi="Times New Roman" w:eastAsia="仿宋" w:cs="Times New Roman"/>
                <w:kern w:val="0"/>
                <w:sz w:val="18"/>
                <w:szCs w:val="18"/>
              </w:rPr>
              <w:t>2.63</w:t>
            </w:r>
            <w:r>
              <w:rPr>
                <w:rFonts w:hint="default" w:ascii="Times New Roman" w:hAnsi="Times New Roman" w:eastAsia="仿宋" w:cs="Times New Roman"/>
                <w:kern w:val="0"/>
                <w:sz w:val="18"/>
                <w:szCs w:val="18"/>
              </w:rPr>
              <w:t>）</w:t>
            </w:r>
          </w:p>
        </w:tc>
        <w:tc>
          <w:tcPr>
            <w:tcW w:w="1278" w:type="dxa"/>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0</w:t>
            </w:r>
          </w:p>
        </w:tc>
        <w:tc>
          <w:tcPr>
            <w:tcW w:w="1976"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9" w:type="dxa"/>
            <w:gridSpan w:val="5"/>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重点防治区类型</w:t>
            </w:r>
          </w:p>
        </w:tc>
        <w:tc>
          <w:tcPr>
            <w:tcW w:w="6231" w:type="dxa"/>
            <w:gridSpan w:val="7"/>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hint="default" w:ascii="Times New Roman" w:hAnsi="Times New Roman" w:eastAsia="仿宋" w:cs="Times New Roman"/>
                <w:w w:val="95"/>
                <w:kern w:val="0"/>
                <w:sz w:val="18"/>
                <w:szCs w:val="18"/>
              </w:rPr>
              <w:t>三峡库区国家级水土流失重点治理区、重庆市水土流失重点治理区、梁平区水土流失重点治理区、万州区水土流失重点治理区、开州区水土流失重点预防区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9" w:type="dxa"/>
            <w:gridSpan w:val="5"/>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地貌类型</w:t>
            </w:r>
          </w:p>
        </w:tc>
        <w:tc>
          <w:tcPr>
            <w:tcW w:w="1563" w:type="dxa"/>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构造侵蚀低山地貌、构造剥蚀丘陵地貌</w:t>
            </w:r>
          </w:p>
        </w:tc>
        <w:tc>
          <w:tcPr>
            <w:tcW w:w="2692"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水土保持区划</w:t>
            </w:r>
          </w:p>
        </w:tc>
        <w:tc>
          <w:tcPr>
            <w:tcW w:w="1976"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西南紫色土区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9" w:type="dxa"/>
            <w:gridSpan w:val="5"/>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土壤侵蚀类型</w:t>
            </w:r>
          </w:p>
        </w:tc>
        <w:tc>
          <w:tcPr>
            <w:tcW w:w="1563" w:type="dxa"/>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水力侵蚀</w:t>
            </w:r>
          </w:p>
        </w:tc>
        <w:tc>
          <w:tcPr>
            <w:tcW w:w="2692"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土壤侵蚀强度</w:t>
            </w:r>
          </w:p>
        </w:tc>
        <w:tc>
          <w:tcPr>
            <w:tcW w:w="1976"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轻度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9" w:type="dxa"/>
            <w:gridSpan w:val="5"/>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防治责任范围面积（hm²）</w:t>
            </w:r>
          </w:p>
        </w:tc>
        <w:tc>
          <w:tcPr>
            <w:tcW w:w="1563" w:type="dxa"/>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16.03</w:t>
            </w:r>
          </w:p>
        </w:tc>
        <w:tc>
          <w:tcPr>
            <w:tcW w:w="2692"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容许土壤流失量[t/(km²·a)]</w:t>
            </w:r>
          </w:p>
        </w:tc>
        <w:tc>
          <w:tcPr>
            <w:tcW w:w="1976"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9" w:type="dxa"/>
            <w:gridSpan w:val="5"/>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土壤流失预测总量（t）</w:t>
            </w:r>
          </w:p>
        </w:tc>
        <w:tc>
          <w:tcPr>
            <w:tcW w:w="1563" w:type="dxa"/>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909</w:t>
            </w:r>
          </w:p>
        </w:tc>
        <w:tc>
          <w:tcPr>
            <w:tcW w:w="2692"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新增土壤流失量（t）</w:t>
            </w:r>
          </w:p>
        </w:tc>
        <w:tc>
          <w:tcPr>
            <w:tcW w:w="1976"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591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9" w:type="dxa"/>
            <w:gridSpan w:val="5"/>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水土流失防治标准执行等级</w:t>
            </w:r>
          </w:p>
        </w:tc>
        <w:tc>
          <w:tcPr>
            <w:tcW w:w="6231" w:type="dxa"/>
            <w:gridSpan w:val="7"/>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西南紫色土区建设类项目一级标准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9" w:type="dxa"/>
            <w:vMerge w:val="restart"/>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防治指标</w:t>
            </w:r>
          </w:p>
        </w:tc>
        <w:tc>
          <w:tcPr>
            <w:tcW w:w="1890" w:type="dxa"/>
            <w:gridSpan w:val="4"/>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水土流失治理度（%）</w:t>
            </w:r>
          </w:p>
        </w:tc>
        <w:tc>
          <w:tcPr>
            <w:tcW w:w="1563" w:type="dxa"/>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97</w:t>
            </w:r>
          </w:p>
        </w:tc>
        <w:tc>
          <w:tcPr>
            <w:tcW w:w="2692"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土壤流失控制比</w:t>
            </w:r>
          </w:p>
        </w:tc>
        <w:tc>
          <w:tcPr>
            <w:tcW w:w="1976"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9" w:type="dxa"/>
            <w:vMerge w:val="continue"/>
            <w:tcBorders>
              <w:tl2br w:val="nil"/>
              <w:tr2bl w:val="nil"/>
            </w:tcBorders>
            <w:vAlign w:val="center"/>
          </w:tcPr>
          <w:p>
            <w:pPr>
              <w:widowControl/>
              <w:spacing w:line="240" w:lineRule="exact"/>
              <w:jc w:val="left"/>
              <w:rPr>
                <w:rFonts w:ascii="Times New Roman" w:hAnsi="Times New Roman" w:eastAsia="仿宋" w:cs="Times New Roman"/>
                <w:kern w:val="0"/>
                <w:sz w:val="18"/>
                <w:szCs w:val="18"/>
              </w:rPr>
            </w:pPr>
          </w:p>
        </w:tc>
        <w:tc>
          <w:tcPr>
            <w:tcW w:w="1890" w:type="dxa"/>
            <w:gridSpan w:val="4"/>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渣土防护率</w:t>
            </w:r>
            <w:r>
              <w:rPr>
                <w:rFonts w:ascii="Times New Roman" w:hAnsi="Times New Roman" w:eastAsia="仿宋" w:cs="Times New Roman"/>
                <w:kern w:val="0"/>
                <w:sz w:val="18"/>
                <w:szCs w:val="18"/>
              </w:rPr>
              <w:t>（%）</w:t>
            </w:r>
          </w:p>
        </w:tc>
        <w:tc>
          <w:tcPr>
            <w:tcW w:w="1563" w:type="dxa"/>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92.01</w:t>
            </w:r>
          </w:p>
        </w:tc>
        <w:tc>
          <w:tcPr>
            <w:tcW w:w="2692"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表土保护率（%）</w:t>
            </w:r>
          </w:p>
        </w:tc>
        <w:tc>
          <w:tcPr>
            <w:tcW w:w="1976"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9" w:type="dxa"/>
            <w:vMerge w:val="continue"/>
            <w:tcBorders>
              <w:tl2br w:val="nil"/>
              <w:tr2bl w:val="nil"/>
            </w:tcBorders>
            <w:vAlign w:val="center"/>
          </w:tcPr>
          <w:p>
            <w:pPr>
              <w:widowControl/>
              <w:spacing w:line="240" w:lineRule="exact"/>
              <w:jc w:val="left"/>
              <w:rPr>
                <w:rFonts w:ascii="Times New Roman" w:hAnsi="Times New Roman" w:eastAsia="仿宋" w:cs="Times New Roman"/>
                <w:kern w:val="0"/>
                <w:sz w:val="18"/>
                <w:szCs w:val="18"/>
              </w:rPr>
            </w:pPr>
          </w:p>
        </w:tc>
        <w:tc>
          <w:tcPr>
            <w:tcW w:w="1890" w:type="dxa"/>
            <w:gridSpan w:val="4"/>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林草植被恢复率（%）</w:t>
            </w:r>
          </w:p>
        </w:tc>
        <w:tc>
          <w:tcPr>
            <w:tcW w:w="1563" w:type="dxa"/>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97</w:t>
            </w:r>
          </w:p>
        </w:tc>
        <w:tc>
          <w:tcPr>
            <w:tcW w:w="2692"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林草覆盖率（%）</w:t>
            </w:r>
          </w:p>
        </w:tc>
        <w:tc>
          <w:tcPr>
            <w:tcW w:w="1976"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25.01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939" w:type="dxa"/>
            <w:vMerge w:val="restart"/>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防治措施及工程量</w:t>
            </w:r>
          </w:p>
        </w:tc>
        <w:tc>
          <w:tcPr>
            <w:tcW w:w="1890" w:type="dxa"/>
            <w:gridSpan w:val="4"/>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防治分区</w:t>
            </w:r>
          </w:p>
        </w:tc>
        <w:tc>
          <w:tcPr>
            <w:tcW w:w="2128" w:type="dxa"/>
            <w:gridSpan w:val="2"/>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工程措施</w:t>
            </w:r>
          </w:p>
        </w:tc>
        <w:tc>
          <w:tcPr>
            <w:tcW w:w="2127" w:type="dxa"/>
            <w:gridSpan w:val="2"/>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植物措施</w:t>
            </w:r>
          </w:p>
        </w:tc>
        <w:tc>
          <w:tcPr>
            <w:tcW w:w="1976"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临时措施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39" w:type="dxa"/>
            <w:vMerge w:val="continue"/>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p>
        </w:tc>
        <w:tc>
          <w:tcPr>
            <w:tcW w:w="1890" w:type="dxa"/>
            <w:gridSpan w:val="4"/>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变电站间隔扩建工程防治区</w:t>
            </w:r>
          </w:p>
        </w:tc>
        <w:tc>
          <w:tcPr>
            <w:tcW w:w="2128" w:type="dxa"/>
            <w:gridSpan w:val="2"/>
            <w:tcBorders>
              <w:tl2br w:val="nil"/>
              <w:tr2bl w:val="nil"/>
            </w:tcBorders>
            <w:vAlign w:val="center"/>
          </w:tcPr>
          <w:p>
            <w:pPr>
              <w:widowControl/>
              <w:spacing w:line="240" w:lineRule="exact"/>
              <w:jc w:val="left"/>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主体设计：透水混凝土地坪</w:t>
            </w:r>
            <w:r>
              <w:rPr>
                <w:rFonts w:ascii="Times New Roman" w:hAnsi="Times New Roman" w:eastAsia="仿宋" w:cs="Times New Roman"/>
                <w:kern w:val="0"/>
                <w:sz w:val="18"/>
                <w:szCs w:val="18"/>
              </w:rPr>
              <w:t>40m²、碎石地坪100m²</w:t>
            </w:r>
          </w:p>
          <w:p>
            <w:pPr>
              <w:widowControl/>
              <w:spacing w:line="240" w:lineRule="exact"/>
              <w:jc w:val="left"/>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方案新增：无</w:t>
            </w:r>
          </w:p>
        </w:tc>
        <w:tc>
          <w:tcPr>
            <w:tcW w:w="2127" w:type="dxa"/>
            <w:gridSpan w:val="2"/>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c>
          <w:tcPr>
            <w:tcW w:w="1976" w:type="dxa"/>
            <w:gridSpan w:val="3"/>
            <w:tcBorders>
              <w:tl2br w:val="nil"/>
              <w:tr2bl w:val="nil"/>
            </w:tcBorders>
            <w:vAlign w:val="center"/>
          </w:tcPr>
          <w:p>
            <w:pPr>
              <w:widowControl/>
              <w:spacing w:line="240" w:lineRule="exact"/>
              <w:jc w:val="left"/>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主体设计：无</w:t>
            </w:r>
          </w:p>
          <w:p>
            <w:pPr>
              <w:widowControl/>
              <w:spacing w:line="240" w:lineRule="exact"/>
              <w:jc w:val="left"/>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方案新增：彩条布遮盖0</w:t>
            </w:r>
            <w:r>
              <w:rPr>
                <w:rFonts w:ascii="Times New Roman" w:hAnsi="Times New Roman" w:eastAsia="仿宋" w:cs="Times New Roman"/>
                <w:kern w:val="0"/>
                <w:sz w:val="18"/>
                <w:szCs w:val="18"/>
              </w:rPr>
              <w:t>.01</w:t>
            </w:r>
            <w:r>
              <w:rPr>
                <w:rFonts w:hint="default" w:ascii="Times New Roman" w:hAnsi="Times New Roman" w:eastAsia="仿宋" w:cs="Times New Roman"/>
                <w:kern w:val="0"/>
                <w:sz w:val="18"/>
                <w:szCs w:val="18"/>
              </w:rPr>
              <w:t>hm</w:t>
            </w:r>
            <w:r>
              <w:rPr>
                <w:rFonts w:ascii="Times New Roman" w:hAnsi="Times New Roman" w:eastAsia="仿宋" w:cs="Times New Roman"/>
                <w:kern w:val="0"/>
                <w:sz w:val="18"/>
                <w:szCs w:val="18"/>
              </w:rPr>
              <w:t>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39" w:type="dxa"/>
            <w:vMerge w:val="continue"/>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p>
        </w:tc>
        <w:tc>
          <w:tcPr>
            <w:tcW w:w="1890" w:type="dxa"/>
            <w:gridSpan w:val="4"/>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塔基工程</w:t>
            </w:r>
            <w:r>
              <w:rPr>
                <w:rFonts w:ascii="Times New Roman" w:hAnsi="Times New Roman" w:eastAsia="仿宋" w:cs="Times New Roman"/>
                <w:kern w:val="0"/>
                <w:sz w:val="18"/>
                <w:szCs w:val="18"/>
              </w:rPr>
              <w:t>防治区</w:t>
            </w:r>
          </w:p>
        </w:tc>
        <w:tc>
          <w:tcPr>
            <w:tcW w:w="2128" w:type="dxa"/>
            <w:gridSpan w:val="2"/>
            <w:tcBorders>
              <w:tl2br w:val="nil"/>
              <w:tr2bl w:val="nil"/>
            </w:tcBorders>
            <w:vAlign w:val="center"/>
          </w:tcPr>
          <w:p>
            <w:pPr>
              <w:widowControl/>
              <w:suppressAutoHyphens/>
              <w:topLinePunct w:val="0"/>
              <w:adjustRightInd/>
              <w:snapToGrid/>
              <w:jc w:val="left"/>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主体设计：</w:t>
            </w:r>
            <w:r>
              <w:rPr>
                <w:rFonts w:ascii="Times New Roman" w:hAnsi="Times New Roman" w:eastAsia="仿宋" w:cs="Times New Roman"/>
                <w:kern w:val="0"/>
                <w:sz w:val="18"/>
                <w:szCs w:val="18"/>
              </w:rPr>
              <w:t>表土剥离1.66万m³</w:t>
            </w:r>
            <w:r>
              <w:rPr>
                <w:rFonts w:hint="default" w:ascii="Times New Roman" w:hAnsi="Times New Roman" w:eastAsia="仿宋" w:cs="Times New Roman"/>
                <w:kern w:val="0"/>
                <w:sz w:val="18"/>
                <w:szCs w:val="18"/>
              </w:rPr>
              <w:t>，表土</w:t>
            </w:r>
            <w:r>
              <w:rPr>
                <w:rFonts w:ascii="Times New Roman" w:hAnsi="Times New Roman" w:eastAsia="仿宋" w:cs="Times New Roman"/>
                <w:kern w:val="0"/>
                <w:sz w:val="18"/>
                <w:szCs w:val="18"/>
              </w:rPr>
              <w:t>回覆1.66万m³，土地整治11.16hm²，排水沟224m，挡土墙45m³。</w:t>
            </w:r>
            <w:r>
              <w:rPr>
                <w:rFonts w:hint="default" w:ascii="Times New Roman" w:hAnsi="Times New Roman" w:eastAsia="仿宋" w:cs="Times New Roman"/>
                <w:kern w:val="0"/>
                <w:sz w:val="18"/>
                <w:szCs w:val="18"/>
              </w:rPr>
              <w:t>方案新增：表土剥离</w:t>
            </w:r>
            <w:r>
              <w:rPr>
                <w:rFonts w:ascii="Times New Roman" w:hAnsi="Times New Roman" w:eastAsia="仿宋" w:cs="Times New Roman"/>
                <w:kern w:val="0"/>
                <w:sz w:val="18"/>
                <w:szCs w:val="18"/>
              </w:rPr>
              <w:t>0.14万m³</w:t>
            </w:r>
            <w:r>
              <w:rPr>
                <w:rFonts w:hint="default" w:ascii="Times New Roman" w:hAnsi="Times New Roman" w:eastAsia="仿宋" w:cs="Times New Roman"/>
                <w:kern w:val="0"/>
                <w:sz w:val="18"/>
                <w:szCs w:val="18"/>
              </w:rPr>
              <w:t>，表土</w:t>
            </w:r>
            <w:r>
              <w:rPr>
                <w:rFonts w:ascii="Times New Roman" w:hAnsi="Times New Roman" w:eastAsia="仿宋" w:cs="Times New Roman"/>
                <w:kern w:val="0"/>
                <w:sz w:val="18"/>
                <w:szCs w:val="18"/>
              </w:rPr>
              <w:t>回覆0.14万m³</w:t>
            </w:r>
          </w:p>
        </w:tc>
        <w:tc>
          <w:tcPr>
            <w:tcW w:w="2127" w:type="dxa"/>
            <w:gridSpan w:val="2"/>
            <w:tcBorders>
              <w:tl2br w:val="nil"/>
              <w:tr2bl w:val="nil"/>
            </w:tcBorders>
            <w:vAlign w:val="center"/>
          </w:tcPr>
          <w:p>
            <w:pPr>
              <w:widowControl/>
              <w:spacing w:line="240" w:lineRule="exact"/>
              <w:jc w:val="left"/>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主体设计：撒播草籽面积</w:t>
            </w:r>
            <w:r>
              <w:rPr>
                <w:rFonts w:ascii="Times New Roman" w:hAnsi="Times New Roman" w:eastAsia="仿宋" w:cs="Times New Roman"/>
                <w:kern w:val="0"/>
                <w:sz w:val="18"/>
                <w:szCs w:val="18"/>
              </w:rPr>
              <w:t>7.31hm²，栽植灌木10244株，栽植果树787株</w:t>
            </w:r>
          </w:p>
          <w:p>
            <w:pPr>
              <w:widowControl/>
              <w:spacing w:line="240" w:lineRule="exact"/>
              <w:jc w:val="left"/>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方案新增：无</w:t>
            </w:r>
          </w:p>
        </w:tc>
        <w:tc>
          <w:tcPr>
            <w:tcW w:w="1976" w:type="dxa"/>
            <w:gridSpan w:val="3"/>
            <w:tcBorders>
              <w:tl2br w:val="nil"/>
              <w:tr2bl w:val="nil"/>
            </w:tcBorders>
            <w:vAlign w:val="center"/>
          </w:tcPr>
          <w:p>
            <w:pPr>
              <w:widowControl/>
              <w:spacing w:line="240" w:lineRule="exact"/>
              <w:jc w:val="left"/>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主体设计：泥浆沉淀池1</w:t>
            </w:r>
            <w:r>
              <w:rPr>
                <w:rFonts w:ascii="Times New Roman" w:hAnsi="Times New Roman" w:eastAsia="仿宋" w:cs="Times New Roman"/>
                <w:kern w:val="0"/>
                <w:sz w:val="18"/>
                <w:szCs w:val="18"/>
              </w:rPr>
              <w:t>1</w:t>
            </w:r>
            <w:r>
              <w:rPr>
                <w:rFonts w:hint="default" w:ascii="Times New Roman" w:hAnsi="Times New Roman" w:eastAsia="仿宋" w:cs="Times New Roman"/>
                <w:kern w:val="0"/>
                <w:sz w:val="18"/>
                <w:szCs w:val="18"/>
              </w:rPr>
              <w:t>个</w:t>
            </w:r>
          </w:p>
          <w:p>
            <w:pPr>
              <w:widowControl/>
              <w:spacing w:line="240" w:lineRule="exact"/>
              <w:jc w:val="left"/>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方案新增：</w:t>
            </w:r>
            <w:r>
              <w:rPr>
                <w:rFonts w:ascii="Times New Roman" w:hAnsi="Times New Roman" w:eastAsia="仿宋" w:cs="Times New Roman"/>
                <w:kern w:val="0"/>
                <w:sz w:val="18"/>
                <w:szCs w:val="18"/>
              </w:rPr>
              <w:t>彩条布遮盖3.80hm²，彩条布铺垫0.80hm²，</w:t>
            </w:r>
            <w:r>
              <w:rPr>
                <w:rFonts w:hint="default" w:ascii="Times New Roman" w:hAnsi="Times New Roman" w:eastAsia="仿宋" w:cs="Times New Roman"/>
                <w:kern w:val="0"/>
                <w:sz w:val="18"/>
                <w:szCs w:val="18"/>
              </w:rPr>
              <w:t>填土编织袋</w:t>
            </w:r>
            <w:r>
              <w:rPr>
                <w:rFonts w:ascii="Times New Roman" w:hAnsi="Times New Roman" w:eastAsia="仿宋" w:cs="Times New Roman"/>
                <w:kern w:val="0"/>
                <w:sz w:val="18"/>
                <w:szCs w:val="18"/>
              </w:rPr>
              <w:t>拦挡2790m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39" w:type="dxa"/>
            <w:vMerge w:val="continue"/>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p>
        </w:tc>
        <w:tc>
          <w:tcPr>
            <w:tcW w:w="1890" w:type="dxa"/>
            <w:gridSpan w:val="4"/>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牵张场地</w:t>
            </w:r>
            <w:r>
              <w:rPr>
                <w:rFonts w:ascii="Times New Roman" w:hAnsi="Times New Roman" w:eastAsia="仿宋" w:cs="Times New Roman"/>
                <w:kern w:val="0"/>
                <w:sz w:val="18"/>
                <w:szCs w:val="18"/>
              </w:rPr>
              <w:t>防治区</w:t>
            </w:r>
          </w:p>
        </w:tc>
        <w:tc>
          <w:tcPr>
            <w:tcW w:w="2128" w:type="dxa"/>
            <w:gridSpan w:val="2"/>
            <w:tcBorders>
              <w:tl2br w:val="nil"/>
              <w:tr2bl w:val="nil"/>
            </w:tcBorders>
            <w:vAlign w:val="center"/>
          </w:tcPr>
          <w:p>
            <w:pPr>
              <w:widowControl/>
              <w:spacing w:line="240" w:lineRule="exact"/>
              <w:jc w:val="left"/>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主体设计：表土剥离</w:t>
            </w:r>
            <w:r>
              <w:rPr>
                <w:rFonts w:ascii="Times New Roman" w:hAnsi="Times New Roman" w:eastAsia="仿宋" w:cs="Times New Roman"/>
                <w:kern w:val="0"/>
                <w:sz w:val="18"/>
                <w:szCs w:val="18"/>
              </w:rPr>
              <w:t>0.15万m³</w:t>
            </w:r>
            <w:r>
              <w:rPr>
                <w:rFonts w:hint="default" w:ascii="Times New Roman" w:hAnsi="Times New Roman" w:eastAsia="仿宋" w:cs="Times New Roman"/>
                <w:kern w:val="0"/>
                <w:sz w:val="18"/>
                <w:szCs w:val="18"/>
              </w:rPr>
              <w:t>，表土</w:t>
            </w:r>
            <w:r>
              <w:rPr>
                <w:rFonts w:ascii="Times New Roman" w:hAnsi="Times New Roman" w:eastAsia="仿宋" w:cs="Times New Roman"/>
                <w:kern w:val="0"/>
                <w:sz w:val="18"/>
                <w:szCs w:val="18"/>
              </w:rPr>
              <w:t>回覆0.15万m³，土地整治0.46hm²</w:t>
            </w:r>
          </w:p>
          <w:p>
            <w:pPr>
              <w:widowControl/>
              <w:spacing w:line="240" w:lineRule="exact"/>
              <w:jc w:val="left"/>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方案新增：无</w:t>
            </w:r>
          </w:p>
        </w:tc>
        <w:tc>
          <w:tcPr>
            <w:tcW w:w="2127" w:type="dxa"/>
            <w:gridSpan w:val="2"/>
            <w:tcBorders>
              <w:tl2br w:val="nil"/>
              <w:tr2bl w:val="nil"/>
            </w:tcBorders>
            <w:vAlign w:val="center"/>
          </w:tcPr>
          <w:p>
            <w:pPr>
              <w:widowControl/>
              <w:spacing w:line="240" w:lineRule="exact"/>
              <w:jc w:val="left"/>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主体设计：栽植果树</w:t>
            </w:r>
            <w:r>
              <w:rPr>
                <w:rFonts w:ascii="Times New Roman" w:hAnsi="Times New Roman" w:eastAsia="仿宋" w:cs="Times New Roman"/>
                <w:kern w:val="0"/>
                <w:sz w:val="18"/>
                <w:szCs w:val="18"/>
              </w:rPr>
              <w:t>75株</w:t>
            </w:r>
          </w:p>
          <w:p>
            <w:pPr>
              <w:widowControl/>
              <w:spacing w:line="240" w:lineRule="exact"/>
              <w:jc w:val="left"/>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方案新增：无</w:t>
            </w:r>
          </w:p>
        </w:tc>
        <w:tc>
          <w:tcPr>
            <w:tcW w:w="1976" w:type="dxa"/>
            <w:gridSpan w:val="3"/>
            <w:tcBorders>
              <w:tl2br w:val="nil"/>
              <w:tr2bl w:val="nil"/>
            </w:tcBorders>
            <w:vAlign w:val="center"/>
          </w:tcPr>
          <w:p>
            <w:pPr>
              <w:widowControl/>
              <w:spacing w:line="240" w:lineRule="exact"/>
              <w:jc w:val="left"/>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主体设计：无</w:t>
            </w:r>
          </w:p>
          <w:p>
            <w:pPr>
              <w:widowControl/>
              <w:spacing w:line="240" w:lineRule="exact"/>
              <w:jc w:val="left"/>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方案新增：彩条布铺垫</w:t>
            </w:r>
            <w:r>
              <w:rPr>
                <w:rFonts w:ascii="Times New Roman" w:hAnsi="Times New Roman" w:eastAsia="仿宋" w:cs="Times New Roman"/>
                <w:kern w:val="0"/>
                <w:sz w:val="18"/>
                <w:szCs w:val="18"/>
              </w:rPr>
              <w:t>0.15</w:t>
            </w:r>
            <w:r>
              <w:rPr>
                <w:rFonts w:hint="default" w:ascii="Times New Roman" w:hAnsi="Times New Roman" w:eastAsia="仿宋" w:cs="Times New Roman"/>
                <w:kern w:val="0"/>
                <w:sz w:val="18"/>
                <w:szCs w:val="18"/>
              </w:rPr>
              <w:t>h</w:t>
            </w:r>
            <w:r>
              <w:rPr>
                <w:rFonts w:hint="default" w:ascii="Times New Roman" w:hAnsi="Times New Roman" w:eastAsia="宋体" w:cs="Times New Roman"/>
                <w:kern w:val="0"/>
                <w:sz w:val="18"/>
                <w:szCs w:val="18"/>
              </w:rPr>
              <w:t>m²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39" w:type="dxa"/>
            <w:vMerge w:val="continue"/>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p>
        </w:tc>
        <w:tc>
          <w:tcPr>
            <w:tcW w:w="1890" w:type="dxa"/>
            <w:gridSpan w:val="4"/>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跨越施工场地</w:t>
            </w:r>
            <w:r>
              <w:rPr>
                <w:rFonts w:ascii="Times New Roman" w:hAnsi="Times New Roman" w:eastAsia="仿宋" w:cs="Times New Roman"/>
                <w:kern w:val="0"/>
                <w:sz w:val="18"/>
                <w:szCs w:val="18"/>
              </w:rPr>
              <w:t>防治区</w:t>
            </w:r>
          </w:p>
        </w:tc>
        <w:tc>
          <w:tcPr>
            <w:tcW w:w="2128" w:type="dxa"/>
            <w:gridSpan w:val="2"/>
            <w:tcBorders>
              <w:tl2br w:val="nil"/>
              <w:tr2bl w:val="nil"/>
            </w:tcBorders>
            <w:vAlign w:val="center"/>
          </w:tcPr>
          <w:p>
            <w:pPr>
              <w:widowControl/>
              <w:spacing w:line="240" w:lineRule="exact"/>
              <w:jc w:val="left"/>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主体设计：</w:t>
            </w:r>
            <w:r>
              <w:rPr>
                <w:rFonts w:ascii="Times New Roman" w:hAnsi="Times New Roman" w:eastAsia="仿宋" w:cs="Times New Roman"/>
                <w:kern w:val="0"/>
                <w:sz w:val="18"/>
                <w:szCs w:val="18"/>
              </w:rPr>
              <w:t>土地整治0.04hm²</w:t>
            </w:r>
          </w:p>
          <w:p>
            <w:pPr>
              <w:widowControl/>
              <w:spacing w:line="240" w:lineRule="exact"/>
              <w:jc w:val="left"/>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方案新增：表土剥离</w:t>
            </w:r>
            <w:r>
              <w:rPr>
                <w:rFonts w:ascii="Times New Roman" w:hAnsi="Times New Roman" w:eastAsia="仿宋" w:cs="Times New Roman"/>
                <w:kern w:val="0"/>
                <w:sz w:val="18"/>
                <w:szCs w:val="18"/>
              </w:rPr>
              <w:t>3m³</w:t>
            </w:r>
            <w:r>
              <w:rPr>
                <w:rFonts w:hint="default" w:ascii="Times New Roman" w:hAnsi="Times New Roman" w:eastAsia="仿宋" w:cs="Times New Roman"/>
                <w:kern w:val="0"/>
                <w:sz w:val="18"/>
                <w:szCs w:val="18"/>
              </w:rPr>
              <w:t>，表土</w:t>
            </w:r>
            <w:r>
              <w:rPr>
                <w:rFonts w:ascii="Times New Roman" w:hAnsi="Times New Roman" w:eastAsia="仿宋" w:cs="Times New Roman"/>
                <w:kern w:val="0"/>
                <w:sz w:val="18"/>
                <w:szCs w:val="18"/>
              </w:rPr>
              <w:t>回覆3m³</w:t>
            </w:r>
          </w:p>
        </w:tc>
        <w:tc>
          <w:tcPr>
            <w:tcW w:w="2127" w:type="dxa"/>
            <w:gridSpan w:val="2"/>
            <w:tcBorders>
              <w:tl2br w:val="nil"/>
              <w:tr2bl w:val="nil"/>
            </w:tcBorders>
            <w:vAlign w:val="center"/>
          </w:tcPr>
          <w:p>
            <w:pPr>
              <w:widowControl/>
              <w:spacing w:line="240" w:lineRule="exact"/>
              <w:jc w:val="left"/>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主体设计：无</w:t>
            </w:r>
          </w:p>
          <w:p>
            <w:pPr>
              <w:widowControl/>
              <w:spacing w:line="240" w:lineRule="exact"/>
              <w:jc w:val="left"/>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方案新增：无</w:t>
            </w:r>
          </w:p>
        </w:tc>
        <w:tc>
          <w:tcPr>
            <w:tcW w:w="1976" w:type="dxa"/>
            <w:gridSpan w:val="3"/>
            <w:tcBorders>
              <w:tl2br w:val="nil"/>
              <w:tr2bl w:val="nil"/>
            </w:tcBorders>
            <w:vAlign w:val="center"/>
          </w:tcPr>
          <w:p>
            <w:pPr>
              <w:widowControl/>
              <w:spacing w:line="240" w:lineRule="exact"/>
              <w:jc w:val="left"/>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主体设计：无</w:t>
            </w:r>
          </w:p>
          <w:p>
            <w:pPr>
              <w:widowControl/>
              <w:spacing w:line="240" w:lineRule="exact"/>
              <w:jc w:val="left"/>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方案新增：</w:t>
            </w:r>
            <w:r>
              <w:rPr>
                <w:rFonts w:ascii="Times New Roman" w:hAnsi="Times New Roman" w:eastAsia="仿宋" w:cs="Times New Roman"/>
                <w:kern w:val="0"/>
                <w:sz w:val="18"/>
                <w:szCs w:val="18"/>
              </w:rPr>
              <w:t>彩条布铺垫0.04hm²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39" w:type="dxa"/>
            <w:vMerge w:val="continue"/>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p>
        </w:tc>
        <w:tc>
          <w:tcPr>
            <w:tcW w:w="1890" w:type="dxa"/>
            <w:gridSpan w:val="4"/>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施工道路防治区</w:t>
            </w:r>
          </w:p>
        </w:tc>
        <w:tc>
          <w:tcPr>
            <w:tcW w:w="2128" w:type="dxa"/>
            <w:gridSpan w:val="2"/>
            <w:tcBorders>
              <w:tl2br w:val="nil"/>
              <w:tr2bl w:val="nil"/>
            </w:tcBorders>
            <w:vAlign w:val="center"/>
          </w:tcPr>
          <w:p>
            <w:pPr>
              <w:widowControl/>
              <w:spacing w:line="240" w:lineRule="exact"/>
              <w:jc w:val="left"/>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主体设计：</w:t>
            </w:r>
            <w:r>
              <w:rPr>
                <w:rFonts w:ascii="Times New Roman" w:hAnsi="Times New Roman" w:eastAsia="仿宋" w:cs="Times New Roman"/>
                <w:kern w:val="0"/>
                <w:sz w:val="18"/>
                <w:szCs w:val="18"/>
              </w:rPr>
              <w:t>表土剥离0.68</w:t>
            </w:r>
            <w:r>
              <w:rPr>
                <w:rFonts w:hint="default" w:ascii="Times New Roman" w:hAnsi="Times New Roman" w:eastAsia="仿宋" w:cs="Times New Roman"/>
                <w:kern w:val="0"/>
                <w:sz w:val="18"/>
                <w:szCs w:val="18"/>
              </w:rPr>
              <w:t>万</w:t>
            </w:r>
            <w:r>
              <w:rPr>
                <w:rFonts w:ascii="Times New Roman" w:hAnsi="Times New Roman" w:eastAsia="仿宋" w:cs="Times New Roman"/>
                <w:kern w:val="0"/>
                <w:sz w:val="18"/>
                <w:szCs w:val="18"/>
              </w:rPr>
              <w:t>m³</w:t>
            </w:r>
            <w:r>
              <w:rPr>
                <w:rFonts w:hint="default" w:ascii="Times New Roman" w:hAnsi="Times New Roman" w:eastAsia="仿宋" w:cs="Times New Roman"/>
                <w:kern w:val="0"/>
                <w:sz w:val="18"/>
                <w:szCs w:val="18"/>
              </w:rPr>
              <w:t>，</w:t>
            </w:r>
            <w:r>
              <w:rPr>
                <w:rFonts w:ascii="Times New Roman" w:hAnsi="Times New Roman" w:eastAsia="仿宋" w:cs="Times New Roman"/>
                <w:kern w:val="0"/>
                <w:sz w:val="18"/>
                <w:szCs w:val="18"/>
              </w:rPr>
              <w:t>表土</w:t>
            </w:r>
            <w:r>
              <w:rPr>
                <w:rFonts w:hint="default" w:ascii="Times New Roman" w:hAnsi="Times New Roman" w:eastAsia="仿宋" w:cs="Times New Roman"/>
                <w:kern w:val="0"/>
                <w:sz w:val="18"/>
                <w:szCs w:val="18"/>
              </w:rPr>
              <w:t>回覆</w:t>
            </w:r>
            <w:r>
              <w:rPr>
                <w:rFonts w:ascii="Times New Roman" w:hAnsi="Times New Roman" w:eastAsia="仿宋" w:cs="Times New Roman"/>
                <w:kern w:val="0"/>
                <w:sz w:val="18"/>
                <w:szCs w:val="18"/>
              </w:rPr>
              <w:t>0.68</w:t>
            </w:r>
            <w:r>
              <w:rPr>
                <w:rFonts w:hint="default" w:ascii="Times New Roman" w:hAnsi="Times New Roman" w:eastAsia="仿宋" w:cs="Times New Roman"/>
                <w:kern w:val="0"/>
                <w:sz w:val="18"/>
                <w:szCs w:val="18"/>
              </w:rPr>
              <w:t>万</w:t>
            </w:r>
            <w:r>
              <w:rPr>
                <w:rFonts w:ascii="Times New Roman" w:hAnsi="Times New Roman" w:eastAsia="仿宋" w:cs="Times New Roman"/>
                <w:kern w:val="0"/>
                <w:sz w:val="18"/>
                <w:szCs w:val="18"/>
              </w:rPr>
              <w:t>m³，</w:t>
            </w:r>
            <w:r>
              <w:rPr>
                <w:rFonts w:hint="default" w:ascii="Times New Roman" w:hAnsi="Times New Roman" w:eastAsia="仿宋" w:cs="Times New Roman"/>
                <w:kern w:val="0"/>
                <w:sz w:val="18"/>
                <w:szCs w:val="18"/>
              </w:rPr>
              <w:t>土地整治</w:t>
            </w:r>
            <w:r>
              <w:rPr>
                <w:rFonts w:ascii="Times New Roman" w:hAnsi="Times New Roman" w:eastAsia="仿宋" w:cs="Times New Roman"/>
                <w:kern w:val="0"/>
                <w:sz w:val="18"/>
                <w:szCs w:val="18"/>
              </w:rPr>
              <w:t>4.04</w:t>
            </w:r>
            <w:r>
              <w:rPr>
                <w:rFonts w:hint="default" w:ascii="Times New Roman" w:hAnsi="Times New Roman" w:eastAsia="仿宋" w:cs="Times New Roman"/>
                <w:kern w:val="0"/>
                <w:sz w:val="18"/>
                <w:szCs w:val="18"/>
              </w:rPr>
              <w:t>hm</w:t>
            </w:r>
            <w:r>
              <w:rPr>
                <w:rFonts w:ascii="Times New Roman" w:hAnsi="Times New Roman" w:eastAsia="仿宋" w:cs="Times New Roman"/>
                <w:kern w:val="0"/>
                <w:sz w:val="18"/>
                <w:szCs w:val="18"/>
              </w:rPr>
              <w:t xml:space="preserve">² </w:t>
            </w:r>
          </w:p>
          <w:p>
            <w:pPr>
              <w:widowControl/>
              <w:spacing w:line="240" w:lineRule="exact"/>
              <w:jc w:val="left"/>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方案新增：无</w:t>
            </w:r>
          </w:p>
        </w:tc>
        <w:tc>
          <w:tcPr>
            <w:tcW w:w="2127" w:type="dxa"/>
            <w:gridSpan w:val="2"/>
            <w:tcBorders>
              <w:tl2br w:val="nil"/>
              <w:tr2bl w:val="nil"/>
            </w:tcBorders>
            <w:vAlign w:val="center"/>
          </w:tcPr>
          <w:p>
            <w:pPr>
              <w:widowControl/>
              <w:spacing w:line="240" w:lineRule="exact"/>
              <w:jc w:val="left"/>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主体设计：撒播草籽面积</w:t>
            </w:r>
            <w:r>
              <w:rPr>
                <w:rFonts w:ascii="Times New Roman" w:hAnsi="Times New Roman" w:eastAsia="仿宋" w:cs="Times New Roman"/>
                <w:kern w:val="0"/>
                <w:sz w:val="18"/>
                <w:szCs w:val="18"/>
              </w:rPr>
              <w:t>2.05hm²，栽植乔木607株，栽植灌木4252株，栽植果树275株</w:t>
            </w:r>
          </w:p>
          <w:p>
            <w:pPr>
              <w:widowControl/>
              <w:spacing w:line="240" w:lineRule="exact"/>
              <w:jc w:val="left"/>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方案新增：无</w:t>
            </w:r>
          </w:p>
        </w:tc>
        <w:tc>
          <w:tcPr>
            <w:tcW w:w="1976" w:type="dxa"/>
            <w:gridSpan w:val="3"/>
            <w:tcBorders>
              <w:tl2br w:val="nil"/>
              <w:tr2bl w:val="nil"/>
            </w:tcBorders>
            <w:vAlign w:val="center"/>
          </w:tcPr>
          <w:p>
            <w:pPr>
              <w:widowControl/>
              <w:spacing w:line="240" w:lineRule="exact"/>
              <w:jc w:val="left"/>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主体设计：无</w:t>
            </w:r>
          </w:p>
          <w:p>
            <w:pPr>
              <w:widowControl/>
              <w:spacing w:line="240" w:lineRule="exact"/>
              <w:jc w:val="left"/>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方案新增：临时排水沟</w:t>
            </w:r>
            <w:r>
              <w:rPr>
                <w:rFonts w:ascii="Times New Roman" w:hAnsi="Times New Roman" w:eastAsia="仿宋" w:cs="Times New Roman"/>
                <w:kern w:val="0"/>
                <w:sz w:val="18"/>
                <w:szCs w:val="18"/>
              </w:rPr>
              <w:t>2446m，临时沉沙池31个，彩条布遮盖0.60hm²，填土编织袋拦挡1382m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9" w:type="dxa"/>
            <w:gridSpan w:val="5"/>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投资（万元）</w:t>
            </w:r>
          </w:p>
        </w:tc>
        <w:tc>
          <w:tcPr>
            <w:tcW w:w="2128" w:type="dxa"/>
            <w:gridSpan w:val="2"/>
            <w:tcBorders>
              <w:tl2br w:val="nil"/>
              <w:tr2bl w:val="nil"/>
            </w:tcBorders>
            <w:vAlign w:val="center"/>
          </w:tcPr>
          <w:p>
            <w:pPr>
              <w:widowControl/>
              <w:spacing w:line="240" w:lineRule="exact"/>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121.35（新增4.06）</w:t>
            </w:r>
          </w:p>
        </w:tc>
        <w:tc>
          <w:tcPr>
            <w:tcW w:w="2127" w:type="dxa"/>
            <w:gridSpan w:val="2"/>
            <w:tcBorders>
              <w:tl2br w:val="nil"/>
              <w:tr2bl w:val="nil"/>
            </w:tcBorders>
            <w:vAlign w:val="center"/>
          </w:tcPr>
          <w:p>
            <w:pPr>
              <w:widowControl/>
              <w:spacing w:line="240" w:lineRule="exact"/>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33.07（新增0）</w:t>
            </w:r>
          </w:p>
        </w:tc>
        <w:tc>
          <w:tcPr>
            <w:tcW w:w="1976" w:type="dxa"/>
            <w:gridSpan w:val="3"/>
            <w:tcBorders>
              <w:tl2br w:val="nil"/>
              <w:tr2bl w:val="nil"/>
            </w:tcBorders>
            <w:vAlign w:val="center"/>
          </w:tcPr>
          <w:p>
            <w:pPr>
              <w:widowControl/>
              <w:spacing w:line="240" w:lineRule="exact"/>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155.19（新增154.7</w:t>
            </w:r>
            <w:r>
              <w:rPr>
                <w:rFonts w:hint="default" w:ascii="Times New Roman" w:hAnsi="Times New Roman" w:eastAsia="仿宋" w:cs="Times New Roman"/>
                <w:kern w:val="0"/>
                <w:sz w:val="18"/>
                <w:szCs w:val="18"/>
              </w:rPr>
              <w:t>5</w:t>
            </w:r>
            <w:r>
              <w:rPr>
                <w:rFonts w:ascii="Times New Roman" w:hAnsi="Times New Roman" w:eastAsia="仿宋" w:cs="Times New Roman"/>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7"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水土保持总投资（万元）</w:t>
            </w:r>
          </w:p>
        </w:tc>
        <w:tc>
          <w:tcPr>
            <w:tcW w:w="2835" w:type="dxa"/>
            <w:gridSpan w:val="3"/>
            <w:tcBorders>
              <w:tl2br w:val="nil"/>
              <w:tr2bl w:val="nil"/>
            </w:tcBorders>
            <w:vAlign w:val="center"/>
          </w:tcPr>
          <w:p>
            <w:pPr>
              <w:widowControl/>
              <w:spacing w:line="240" w:lineRule="exact"/>
              <w:jc w:val="left"/>
              <w:rPr>
                <w:rFonts w:ascii="Times New Roman" w:hAnsi="Times New Roman" w:eastAsia="仿宋" w:cs="Times New Roman"/>
                <w:kern w:val="0"/>
                <w:sz w:val="18"/>
                <w:szCs w:val="18"/>
              </w:rPr>
            </w:pPr>
            <w:r>
              <w:rPr>
                <w:rFonts w:ascii="Times New Roman" w:hAnsi="Times New Roman" w:eastAsia="仿宋" w:cs="Times New Roman"/>
                <w:spacing w:val="-3"/>
                <w:kern w:val="0"/>
                <w:sz w:val="18"/>
                <w:szCs w:val="18"/>
              </w:rPr>
              <w:t>416.16</w:t>
            </w:r>
            <w:r>
              <w:rPr>
                <w:rFonts w:ascii="Times New Roman" w:hAnsi="Times New Roman" w:eastAsia="仿宋" w:cs="Times New Roman"/>
                <w:kern w:val="0"/>
                <w:sz w:val="18"/>
                <w:szCs w:val="18"/>
              </w:rPr>
              <w:t>（新增</w:t>
            </w:r>
            <w:r>
              <w:rPr>
                <w:rFonts w:ascii="Times New Roman" w:hAnsi="Times New Roman" w:eastAsia="仿宋" w:cs="Times New Roman"/>
                <w:kern w:val="0"/>
                <w:sz w:val="18"/>
                <w:szCs w:val="18"/>
                <w:lang w:bidi="ar"/>
              </w:rPr>
              <w:t>265.36</w:t>
            </w:r>
            <w:r>
              <w:rPr>
                <w:rFonts w:ascii="Times New Roman" w:hAnsi="Times New Roman" w:eastAsia="仿宋" w:cs="Times New Roman"/>
                <w:kern w:val="0"/>
                <w:sz w:val="18"/>
                <w:szCs w:val="18"/>
              </w:rPr>
              <w:t>）</w:t>
            </w:r>
          </w:p>
        </w:tc>
        <w:tc>
          <w:tcPr>
            <w:tcW w:w="1414" w:type="dxa"/>
            <w:gridSpan w:val="2"/>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独立费用（万元）</w:t>
            </w:r>
          </w:p>
        </w:tc>
        <w:tc>
          <w:tcPr>
            <w:tcW w:w="3254" w:type="dxa"/>
            <w:gridSpan w:val="4"/>
            <w:tcBorders>
              <w:tl2br w:val="nil"/>
              <w:tr2bl w:val="nil"/>
            </w:tcBorders>
            <w:vAlign w:val="center"/>
          </w:tcPr>
          <w:p>
            <w:pPr>
              <w:widowControl/>
              <w:spacing w:line="240" w:lineRule="exact"/>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lang w:bidi="ar"/>
              </w:rPr>
              <w:t>47.48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7" w:type="dxa"/>
            <w:gridSpan w:val="3"/>
            <w:tcBorders>
              <w:tl2br w:val="nil"/>
              <w:tr2bl w:val="nil"/>
            </w:tcBorders>
            <w:vAlign w:val="center"/>
          </w:tcPr>
          <w:p>
            <w:pPr>
              <w:widowControl/>
              <w:spacing w:line="240" w:lineRule="exact"/>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监理费（万元）</w:t>
            </w:r>
          </w:p>
        </w:tc>
        <w:tc>
          <w:tcPr>
            <w:tcW w:w="1134" w:type="dxa"/>
            <w:tcBorders>
              <w:tl2br w:val="nil"/>
              <w:tr2bl w:val="nil"/>
            </w:tcBorders>
            <w:vAlign w:val="center"/>
          </w:tcPr>
          <w:p>
            <w:pPr>
              <w:widowControl/>
              <w:spacing w:line="240" w:lineRule="exact"/>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5.27</w:t>
            </w:r>
          </w:p>
        </w:tc>
        <w:tc>
          <w:tcPr>
            <w:tcW w:w="1701" w:type="dxa"/>
            <w:gridSpan w:val="2"/>
            <w:tcBorders>
              <w:tl2br w:val="nil"/>
              <w:tr2bl w:val="nil"/>
            </w:tcBorders>
            <w:vAlign w:val="center"/>
          </w:tcPr>
          <w:p>
            <w:pPr>
              <w:widowControl/>
              <w:spacing w:line="240" w:lineRule="exact"/>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监测费（万元）</w:t>
            </w:r>
          </w:p>
        </w:tc>
        <w:tc>
          <w:tcPr>
            <w:tcW w:w="1414" w:type="dxa"/>
            <w:gridSpan w:val="2"/>
            <w:tcBorders>
              <w:tl2br w:val="nil"/>
              <w:tr2bl w:val="nil"/>
            </w:tcBorders>
            <w:vAlign w:val="center"/>
          </w:tcPr>
          <w:p>
            <w:pPr>
              <w:widowControl/>
              <w:spacing w:line="240" w:lineRule="exact"/>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22.88</w:t>
            </w:r>
          </w:p>
        </w:tc>
        <w:tc>
          <w:tcPr>
            <w:tcW w:w="1560" w:type="dxa"/>
            <w:gridSpan w:val="2"/>
            <w:tcBorders>
              <w:tl2br w:val="nil"/>
              <w:tr2bl w:val="nil"/>
            </w:tcBorders>
            <w:vAlign w:val="center"/>
          </w:tcPr>
          <w:p>
            <w:pPr>
              <w:widowControl/>
              <w:spacing w:line="240" w:lineRule="exact"/>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补偿费（万元）</w:t>
            </w:r>
          </w:p>
        </w:tc>
        <w:tc>
          <w:tcPr>
            <w:tcW w:w="1694" w:type="dxa"/>
            <w:gridSpan w:val="2"/>
            <w:tcBorders>
              <w:tl2br w:val="nil"/>
              <w:tr2bl w:val="nil"/>
            </w:tcBorders>
            <w:vAlign w:val="center"/>
          </w:tcPr>
          <w:p>
            <w:pPr>
              <w:widowControl/>
              <w:spacing w:line="240" w:lineRule="exact"/>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22.442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7"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方案编制单位</w:t>
            </w:r>
          </w:p>
        </w:tc>
        <w:tc>
          <w:tcPr>
            <w:tcW w:w="2835"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重庆宏伟环保工程有限公司</w:t>
            </w:r>
          </w:p>
        </w:tc>
        <w:tc>
          <w:tcPr>
            <w:tcW w:w="1414" w:type="dxa"/>
            <w:gridSpan w:val="2"/>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建设单位</w:t>
            </w:r>
          </w:p>
        </w:tc>
        <w:tc>
          <w:tcPr>
            <w:tcW w:w="3254" w:type="dxa"/>
            <w:gridSpan w:val="4"/>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bookmarkStart w:id="0" w:name="OLE_LINK60"/>
            <w:r>
              <w:rPr>
                <w:rFonts w:ascii="Times New Roman" w:hAnsi="Times New Roman" w:eastAsia="仿宋" w:cs="Times New Roman"/>
                <w:kern w:val="0"/>
                <w:sz w:val="18"/>
                <w:szCs w:val="18"/>
              </w:rPr>
              <w:t>国网重庆市电力公司</w:t>
            </w:r>
            <w:r>
              <w:rPr>
                <w:rFonts w:hint="default" w:ascii="Times New Roman" w:hAnsi="Times New Roman" w:eastAsia="仿宋" w:cs="Times New Roman"/>
                <w:kern w:val="0"/>
                <w:sz w:val="18"/>
                <w:szCs w:val="18"/>
              </w:rPr>
              <w:t>万州</w:t>
            </w:r>
            <w:r>
              <w:rPr>
                <w:rFonts w:ascii="Times New Roman" w:hAnsi="Times New Roman" w:eastAsia="仿宋" w:cs="Times New Roman"/>
                <w:kern w:val="0"/>
                <w:sz w:val="18"/>
                <w:szCs w:val="18"/>
              </w:rPr>
              <w:t>供电分公司</w:t>
            </w:r>
            <w:bookmarkEnd w:id="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7"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法定代表人</w:t>
            </w:r>
          </w:p>
        </w:tc>
        <w:tc>
          <w:tcPr>
            <w:tcW w:w="2835"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李传福</w:t>
            </w:r>
          </w:p>
        </w:tc>
        <w:tc>
          <w:tcPr>
            <w:tcW w:w="1414" w:type="dxa"/>
            <w:gridSpan w:val="2"/>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法定代表人</w:t>
            </w:r>
          </w:p>
        </w:tc>
        <w:tc>
          <w:tcPr>
            <w:tcW w:w="3254" w:type="dxa"/>
            <w:gridSpan w:val="4"/>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蔡伟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7"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地址</w:t>
            </w:r>
          </w:p>
        </w:tc>
        <w:tc>
          <w:tcPr>
            <w:tcW w:w="2835"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重庆市九龙坡区火炬大道99号千叶中央街区3栋28楼</w:t>
            </w:r>
          </w:p>
        </w:tc>
        <w:tc>
          <w:tcPr>
            <w:tcW w:w="1414" w:type="dxa"/>
            <w:gridSpan w:val="2"/>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地址</w:t>
            </w:r>
          </w:p>
        </w:tc>
        <w:tc>
          <w:tcPr>
            <w:tcW w:w="3254" w:type="dxa"/>
            <w:gridSpan w:val="4"/>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bookmarkStart w:id="1" w:name="OLE_LINK85"/>
            <w:r>
              <w:rPr>
                <w:rFonts w:ascii="Times New Roman" w:hAnsi="Times New Roman" w:eastAsia="仿宋" w:cs="Times New Roman"/>
                <w:kern w:val="0"/>
                <w:sz w:val="18"/>
                <w:szCs w:val="18"/>
              </w:rPr>
              <w:t>重庆市</w:t>
            </w:r>
            <w:r>
              <w:rPr>
                <w:rFonts w:hint="default" w:ascii="Times New Roman" w:hAnsi="Times New Roman" w:eastAsia="仿宋" w:cs="Times New Roman"/>
                <w:kern w:val="0"/>
                <w:sz w:val="18"/>
                <w:szCs w:val="18"/>
              </w:rPr>
              <w:t>万州区龙都广场1号</w:t>
            </w:r>
            <w:bookmarkEnd w:id="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7"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邮编</w:t>
            </w:r>
          </w:p>
        </w:tc>
        <w:tc>
          <w:tcPr>
            <w:tcW w:w="2835"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400039</w:t>
            </w:r>
          </w:p>
        </w:tc>
        <w:tc>
          <w:tcPr>
            <w:tcW w:w="1414" w:type="dxa"/>
            <w:gridSpan w:val="2"/>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邮编</w:t>
            </w:r>
          </w:p>
        </w:tc>
        <w:tc>
          <w:tcPr>
            <w:tcW w:w="3254" w:type="dxa"/>
            <w:gridSpan w:val="4"/>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404100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7"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联系人及电话</w:t>
            </w:r>
          </w:p>
        </w:tc>
        <w:tc>
          <w:tcPr>
            <w:tcW w:w="2835"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陈艳1</w:t>
            </w:r>
            <w:r>
              <w:rPr>
                <w:rFonts w:ascii="Times New Roman" w:hAnsi="Times New Roman" w:eastAsia="仿宋" w:cs="Times New Roman"/>
                <w:kern w:val="0"/>
                <w:sz w:val="18"/>
                <w:szCs w:val="18"/>
              </w:rPr>
              <w:t>7</w:t>
            </w:r>
            <w:r>
              <w:rPr>
                <w:rFonts w:hint="default" w:ascii="Times New Roman" w:hAnsi="Times New Roman" w:eastAsia="仿宋" w:cs="Times New Roman"/>
                <w:kern w:val="0"/>
                <w:sz w:val="18"/>
                <w:szCs w:val="18"/>
              </w:rPr>
              <w:t>***</w:t>
            </w:r>
            <w:r>
              <w:rPr>
                <w:rFonts w:ascii="Times New Roman" w:hAnsi="Times New Roman" w:eastAsia="仿宋" w:cs="Times New Roman"/>
                <w:kern w:val="0"/>
                <w:sz w:val="18"/>
                <w:szCs w:val="18"/>
              </w:rPr>
              <w:t>23</w:t>
            </w:r>
          </w:p>
        </w:tc>
        <w:tc>
          <w:tcPr>
            <w:tcW w:w="1414" w:type="dxa"/>
            <w:gridSpan w:val="2"/>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联系人及电话</w:t>
            </w:r>
          </w:p>
        </w:tc>
        <w:tc>
          <w:tcPr>
            <w:tcW w:w="3254" w:type="dxa"/>
            <w:gridSpan w:val="4"/>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李昌1</w:t>
            </w:r>
            <w:r>
              <w:rPr>
                <w:rFonts w:ascii="Times New Roman" w:hAnsi="Times New Roman" w:eastAsia="仿宋" w:cs="Times New Roman"/>
                <w:kern w:val="0"/>
                <w:sz w:val="18"/>
                <w:szCs w:val="18"/>
              </w:rPr>
              <w:t>8</w:t>
            </w:r>
            <w:r>
              <w:rPr>
                <w:rFonts w:hint="default" w:ascii="Times New Roman" w:hAnsi="Times New Roman" w:eastAsia="仿宋" w:cs="Times New Roman"/>
                <w:kern w:val="0"/>
                <w:sz w:val="18"/>
                <w:szCs w:val="18"/>
              </w:rPr>
              <w:t>***</w:t>
            </w:r>
            <w:r>
              <w:rPr>
                <w:rFonts w:ascii="Times New Roman" w:hAnsi="Times New Roman" w:eastAsia="仿宋" w:cs="Times New Roman"/>
                <w:kern w:val="0"/>
                <w:sz w:val="18"/>
                <w:szCs w:val="18"/>
              </w:rPr>
              <w:t>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7"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传真</w:t>
            </w:r>
          </w:p>
        </w:tc>
        <w:tc>
          <w:tcPr>
            <w:tcW w:w="2835"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023-68</w:t>
            </w:r>
            <w:r>
              <w:rPr>
                <w:rFonts w:hint="default" w:ascii="Times New Roman" w:hAnsi="Times New Roman" w:eastAsia="仿宋" w:cs="Times New Roman"/>
                <w:kern w:val="0"/>
                <w:sz w:val="18"/>
                <w:szCs w:val="18"/>
              </w:rPr>
              <w:t>***</w:t>
            </w:r>
            <w:r>
              <w:rPr>
                <w:rFonts w:ascii="Times New Roman" w:hAnsi="Times New Roman" w:eastAsia="仿宋" w:cs="Times New Roman"/>
                <w:kern w:val="0"/>
                <w:sz w:val="18"/>
                <w:szCs w:val="18"/>
              </w:rPr>
              <w:t>82</w:t>
            </w:r>
          </w:p>
        </w:tc>
        <w:tc>
          <w:tcPr>
            <w:tcW w:w="1414" w:type="dxa"/>
            <w:gridSpan w:val="2"/>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传真</w:t>
            </w:r>
          </w:p>
        </w:tc>
        <w:tc>
          <w:tcPr>
            <w:tcW w:w="3254" w:type="dxa"/>
            <w:gridSpan w:val="4"/>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7"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电子信箱</w:t>
            </w:r>
          </w:p>
        </w:tc>
        <w:tc>
          <w:tcPr>
            <w:tcW w:w="2835" w:type="dxa"/>
            <w:gridSpan w:val="3"/>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34</w:t>
            </w:r>
            <w:r>
              <w:rPr>
                <w:rFonts w:hint="default" w:ascii="Times New Roman" w:hAnsi="Times New Roman" w:eastAsia="仿宋" w:cs="Times New Roman"/>
                <w:kern w:val="0"/>
                <w:sz w:val="18"/>
                <w:szCs w:val="18"/>
              </w:rPr>
              <w:t>***</w:t>
            </w:r>
            <w:r>
              <w:rPr>
                <w:rFonts w:ascii="Times New Roman" w:hAnsi="Times New Roman" w:eastAsia="仿宋" w:cs="Times New Roman"/>
                <w:kern w:val="0"/>
                <w:sz w:val="18"/>
                <w:szCs w:val="18"/>
              </w:rPr>
              <w:t>99@qq.com</w:t>
            </w:r>
          </w:p>
        </w:tc>
        <w:tc>
          <w:tcPr>
            <w:tcW w:w="1414" w:type="dxa"/>
            <w:gridSpan w:val="2"/>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电子信箱</w:t>
            </w:r>
          </w:p>
        </w:tc>
        <w:tc>
          <w:tcPr>
            <w:tcW w:w="3254" w:type="dxa"/>
            <w:gridSpan w:val="4"/>
            <w:tcBorders>
              <w:tl2br w:val="nil"/>
              <w:tr2bl w:val="nil"/>
            </w:tcBorders>
            <w:vAlign w:val="center"/>
          </w:tcPr>
          <w:p>
            <w:pPr>
              <w:widowControl/>
              <w:spacing w:line="240" w:lineRule="exact"/>
              <w:jc w:val="center"/>
              <w:rPr>
                <w:rFonts w:ascii="Times New Roman" w:hAnsi="Times New Roman" w:eastAsia="仿宋" w:cs="Times New Roman"/>
                <w:kern w:val="0"/>
                <w:sz w:val="18"/>
                <w:szCs w:val="18"/>
              </w:rPr>
            </w:pPr>
            <w:r>
              <w:rPr>
                <w:rFonts w:hint="default" w:ascii="Times New Roman" w:hAnsi="Times New Roman" w:eastAsia="仿宋" w:cs="Times New Roman"/>
                <w:kern w:val="0"/>
                <w:sz w:val="18"/>
                <w:szCs w:val="18"/>
              </w:rPr>
              <w:t>/</w:t>
            </w:r>
          </w:p>
        </w:tc>
      </w:tr>
    </w:tbl>
    <w:p>
      <w:pP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br w:type="page"/>
      </w:r>
    </w:p>
    <w:p>
      <w:pPr>
        <w:spacing w:line="594" w:lineRule="exact"/>
        <w:jc w:val="left"/>
        <w:rPr>
          <w:rFonts w:ascii="方正黑体_GBK" w:hAnsi="Times New Roman" w:eastAsia="方正黑体_GBK"/>
          <w:color w:val="auto"/>
          <w:sz w:val="32"/>
          <w:szCs w:val="32"/>
        </w:rPr>
      </w:pPr>
      <w:r>
        <w:rPr>
          <w:rFonts w:hint="default" w:ascii="Times New Roman" w:hAnsi="Times New Roman" w:eastAsia="方正仿宋_GBK" w:cs="Times New Roman"/>
          <w:color w:val="auto"/>
          <w:sz w:val="32"/>
          <w:szCs w:val="32"/>
        </w:rPr>
        <w:t xml:space="preserve"> </w:t>
      </w:r>
      <w:r>
        <w:rPr>
          <w:rFonts w:hint="default" w:ascii="Times New Roman" w:hAnsi="Times New Roman" w:eastAsia="方正黑体_GBK" w:cs="Times New Roman"/>
          <w:color w:val="auto"/>
          <w:sz w:val="32"/>
          <w:szCs w:val="32"/>
        </w:rPr>
        <w:t>附件2</w:t>
      </w:r>
    </w:p>
    <w:p>
      <w:pPr>
        <w:spacing w:line="594" w:lineRule="exact"/>
        <w:jc w:val="center"/>
        <w:rPr>
          <w:rFonts w:hint="eastAsia" w:ascii="Times New Roman" w:hAnsi="Times New Roman" w:eastAsia="方正小标宋_GBK" w:cs="Times New Roman"/>
          <w:bCs/>
          <w:color w:val="auto"/>
          <w:sz w:val="44"/>
          <w:szCs w:val="44"/>
          <w:lang w:eastAsia="zh-CN" w:bidi="ar"/>
        </w:rPr>
      </w:pPr>
    </w:p>
    <w:p>
      <w:pPr>
        <w:spacing w:line="594" w:lineRule="exact"/>
        <w:jc w:val="center"/>
        <w:rPr>
          <w:rFonts w:hint="eastAsia" w:ascii="Times New Roman" w:hAnsi="Times New Roman" w:eastAsia="方正小标宋_GBK" w:cs="Times New Roman"/>
          <w:bCs/>
          <w:color w:val="auto"/>
          <w:sz w:val="44"/>
          <w:szCs w:val="44"/>
          <w:lang w:bidi="ar"/>
        </w:rPr>
      </w:pPr>
      <w:r>
        <w:rPr>
          <w:rFonts w:hint="eastAsia" w:ascii="Times New Roman" w:hAnsi="Times New Roman" w:eastAsia="方正小标宋_GBK" w:cs="Times New Roman"/>
          <w:bCs/>
          <w:color w:val="auto"/>
          <w:sz w:val="44"/>
          <w:szCs w:val="44"/>
          <w:lang w:eastAsia="zh-CN" w:bidi="ar"/>
        </w:rPr>
        <w:t>成达万高铁重庆中兴牵220千伏</w:t>
      </w:r>
      <w:r>
        <w:rPr>
          <w:rFonts w:hint="eastAsia" w:ascii="Times New Roman" w:hAnsi="Times New Roman" w:eastAsia="方正小标宋_GBK" w:cs="Times New Roman"/>
          <w:bCs/>
          <w:color w:val="auto"/>
          <w:spacing w:val="-6"/>
          <w:sz w:val="44"/>
          <w:szCs w:val="44"/>
          <w:lang w:eastAsia="zh-CN" w:bidi="ar"/>
        </w:rPr>
        <w:t>外部供电工程</w:t>
      </w:r>
      <w:r>
        <w:rPr>
          <w:rFonts w:hint="eastAsia" w:ascii="Times New Roman" w:hAnsi="Times New Roman" w:eastAsia="方正小标宋_GBK" w:cs="Times New Roman"/>
          <w:bCs/>
          <w:color w:val="auto"/>
          <w:spacing w:val="-6"/>
          <w:sz w:val="44"/>
          <w:szCs w:val="44"/>
          <w:lang w:bidi="ar"/>
        </w:rPr>
        <w:t>水土保持方案报告书</w:t>
      </w:r>
      <w:r>
        <w:rPr>
          <w:rFonts w:ascii="Times New Roman" w:hAnsi="Times New Roman" w:eastAsia="方正小标宋_GBK" w:cs="Times New Roman"/>
          <w:color w:val="auto"/>
          <w:spacing w:val="-6"/>
          <w:sz w:val="44"/>
          <w:szCs w:val="44"/>
        </w:rPr>
        <w:t>专家评审意见</w:t>
      </w:r>
    </w:p>
    <w:p>
      <w:pPr>
        <w:spacing w:line="594" w:lineRule="exact"/>
        <w:ind w:firstLine="200"/>
        <w:rPr>
          <w:rFonts w:hint="eastAsia" w:ascii="Times New Roman" w:hAnsi="Times New Roman" w:eastAsia="方正小标宋_GBK" w:cs="Times New Roman"/>
          <w:color w:val="auto"/>
          <w:sz w:val="44"/>
          <w:szCs w:val="44"/>
        </w:rPr>
      </w:pPr>
    </w:p>
    <w:p>
      <w:pPr>
        <w:pageBreakBefore w:val="0"/>
        <w:kinsoku/>
        <w:wordWrap/>
        <w:overflowPunct/>
        <w:topLinePunct w:val="0"/>
        <w:bidi w:val="0"/>
        <w:spacing w:line="594" w:lineRule="exact"/>
        <w:ind w:left="0" w:leftChars="0" w:firstLine="640" w:firstLineChars="200"/>
        <w:textAlignment w:val="auto"/>
        <w:rPr>
          <w:rFonts w:ascii="Times New Roman" w:hAnsi="Times New Roman" w:eastAsia="方正仿宋_GBK" w:cs="Times New Roman"/>
          <w:color w:val="auto"/>
          <w:sz w:val="32"/>
          <w:szCs w:val="32"/>
          <w:lang w:bidi="ar"/>
        </w:rPr>
      </w:pPr>
      <w:r>
        <w:rPr>
          <w:rFonts w:hint="default" w:ascii="Times New Roman" w:hAnsi="Times New Roman" w:eastAsia="方正仿宋_GBK" w:cs="Times New Roman"/>
          <w:color w:val="auto"/>
          <w:sz w:val="32"/>
          <w:szCs w:val="32"/>
          <w:lang w:bidi="ar"/>
        </w:rPr>
        <w:t>2025年11月</w:t>
      </w:r>
      <w:r>
        <w:rPr>
          <w:rFonts w:hint="default" w:ascii="Times New Roman" w:hAnsi="Times New Roman" w:eastAsia="方正仿宋_GBK" w:cs="Times New Roman"/>
          <w:color w:val="auto"/>
          <w:sz w:val="32"/>
          <w:szCs w:val="32"/>
          <w:lang w:val="en-US" w:eastAsia="zh-CN" w:bidi="ar"/>
        </w:rPr>
        <w:t>18</w:t>
      </w:r>
      <w:r>
        <w:rPr>
          <w:rFonts w:hint="default" w:ascii="Times New Roman" w:hAnsi="Times New Roman" w:eastAsia="方正仿宋_GBK" w:cs="Times New Roman"/>
          <w:color w:val="auto"/>
          <w:sz w:val="32"/>
          <w:szCs w:val="32"/>
          <w:lang w:bidi="ar"/>
        </w:rPr>
        <w:t>日，重庆市水利局组织召开了《</w:t>
      </w:r>
      <w:r>
        <w:rPr>
          <w:rFonts w:hint="default" w:ascii="Times New Roman" w:hAnsi="Times New Roman" w:eastAsia="方正仿宋_GBK" w:cs="Times New Roman"/>
          <w:color w:val="auto"/>
          <w:sz w:val="32"/>
          <w:szCs w:val="32"/>
          <w:lang w:eastAsia="zh-CN" w:bidi="ar"/>
        </w:rPr>
        <w:t>成达万高铁重庆中兴牵</w:t>
      </w:r>
      <w:r>
        <w:rPr>
          <w:rFonts w:hint="default" w:ascii="Times New Roman" w:hAnsi="Times New Roman" w:eastAsia="方正仿宋_GBK" w:cs="Times New Roman"/>
          <w:color w:val="auto"/>
          <w:sz w:val="32"/>
          <w:szCs w:val="32"/>
          <w:lang w:bidi="ar"/>
        </w:rPr>
        <w:t>220 千伏外部供电工程水土保持方案报告书》（以下简称《水保方案》）专家评审会。</w:t>
      </w:r>
      <w:r>
        <w:rPr>
          <w:rFonts w:hint="default" w:ascii="Times New Roman" w:hAnsi="Times New Roman" w:eastAsia="方正仿宋_GBK" w:cs="Times New Roman"/>
          <w:color w:val="auto"/>
          <w:sz w:val="32"/>
          <w:szCs w:val="32"/>
          <w:lang w:eastAsia="zh-CN" w:bidi="ar"/>
        </w:rPr>
        <w:t>万州区水利局、</w:t>
      </w:r>
      <w:r>
        <w:rPr>
          <w:rFonts w:hint="default" w:ascii="Times New Roman" w:hAnsi="Times New Roman" w:eastAsia="方正仿宋_GBK" w:cs="Times New Roman"/>
          <w:color w:val="auto"/>
          <w:sz w:val="32"/>
          <w:szCs w:val="32"/>
          <w:lang w:bidi="ar"/>
        </w:rPr>
        <w:t>开州区水利局、</w:t>
      </w:r>
      <w:r>
        <w:rPr>
          <w:rFonts w:hint="default" w:ascii="Times New Roman" w:hAnsi="Times New Roman" w:eastAsia="方正仿宋_GBK" w:cs="Times New Roman"/>
          <w:color w:val="auto"/>
          <w:sz w:val="32"/>
          <w:szCs w:val="32"/>
          <w:lang w:eastAsia="zh-CN" w:bidi="ar"/>
        </w:rPr>
        <w:t>梁平区</w:t>
      </w:r>
      <w:r>
        <w:rPr>
          <w:rFonts w:hint="default" w:ascii="Times New Roman" w:hAnsi="Times New Roman" w:eastAsia="方正仿宋_GBK" w:cs="Times New Roman"/>
          <w:color w:val="auto"/>
          <w:sz w:val="32"/>
          <w:szCs w:val="32"/>
          <w:lang w:bidi="ar"/>
        </w:rPr>
        <w:t>水利局、国网重庆市电力公司万州供电分公司（以下简称项目法人）、重庆宏伟环保工程有限公司（以下简称报告编制单位）、重庆电力设计院有限责任公司（主体设计单位）的代表及特邀专家参加了会议。会议成立了专家组，专家组成员会前详细审阅了《水保方案》，与会人员会上认真听取了报告编制单位的汇报，进行了深入讨论。</w:t>
      </w: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eastAsia="zh-CN"/>
        </w:rPr>
        <w:t>《水利部办公厅关于印发生产建设项目水土保持方案审查要点的通知》（办水保</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177</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w:t>
      </w:r>
      <w:r>
        <w:rPr>
          <w:rFonts w:hint="default" w:ascii="Times New Roman" w:hAnsi="Times New Roman" w:eastAsia="方正仿宋_GBK" w:cs="Times New Roman"/>
          <w:sz w:val="32"/>
          <w:szCs w:val="32"/>
          <w:lang w:eastAsia="zh-CN"/>
        </w:rPr>
        <w:t>《重庆市水利局关于进一步加强和规范生产建设项目水土保持方案审批的通知》（</w:t>
      </w:r>
      <w:r>
        <w:rPr>
          <w:rFonts w:hint="default" w:ascii="Times New Roman" w:hAnsi="Times New Roman" w:eastAsia="方正仿宋_GBK" w:cs="Times New Roman"/>
          <w:sz w:val="32"/>
          <w:szCs w:val="32"/>
        </w:rPr>
        <w:t>渝水〔2018〕267号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lang w:bidi="ar"/>
        </w:rPr>
        <w:t>专家组对《水保方案》进行了质量评分，质量评定等级合格。报告编制单位会后对《水保方案》进行了修改补充，2025年12月</w:t>
      </w:r>
      <w:r>
        <w:rPr>
          <w:rFonts w:hint="default" w:ascii="Times New Roman" w:hAnsi="Times New Roman" w:eastAsia="方正仿宋_GBK" w:cs="Times New Roman"/>
          <w:color w:val="auto"/>
          <w:sz w:val="32"/>
          <w:szCs w:val="32"/>
          <w:lang w:val="en-US" w:eastAsia="zh-CN" w:bidi="ar"/>
        </w:rPr>
        <w:t>9</w:t>
      </w:r>
      <w:r>
        <w:rPr>
          <w:rFonts w:hint="default" w:ascii="Times New Roman" w:hAnsi="Times New Roman" w:eastAsia="方正仿宋_GBK" w:cs="Times New Roman"/>
          <w:color w:val="auto"/>
          <w:sz w:val="32"/>
          <w:szCs w:val="32"/>
          <w:lang w:bidi="ar"/>
        </w:rPr>
        <w:t>日，项目法人提交了修改完善后的《水保方案》。经专家组复核，形成专家评审意见如下</w:t>
      </w:r>
      <w:r>
        <w:rPr>
          <w:rFonts w:ascii="Times New Roman" w:hAnsi="Times New Roman" w:eastAsia="方正仿宋_GBK" w:cs="Times New Roman"/>
          <w:color w:val="auto"/>
          <w:sz w:val="32"/>
          <w:szCs w:val="32"/>
          <w:lang w:bidi="ar"/>
        </w:rPr>
        <w:t>：</w:t>
      </w:r>
    </w:p>
    <w:p>
      <w:pPr>
        <w:pStyle w:val="2"/>
        <w:rPr>
          <w:rFonts w:hint="default" w:ascii="Times New Roman" w:hAnsi="Times New Roman" w:eastAsia="仿宋_GB2312" w:cs="Times New Roman"/>
          <w:color w:val="auto"/>
          <w:sz w:val="24"/>
          <w:szCs w:val="21"/>
          <w:lang w:bidi="ar"/>
        </w:rPr>
      </w:pPr>
    </w:p>
    <w:p>
      <w:pPr>
        <w:pageBreakBefore w:val="0"/>
        <w:kinsoku/>
        <w:wordWrap/>
        <w:overflowPunct/>
        <w:topLinePunct w:val="0"/>
        <w:bidi w:val="0"/>
        <w:snapToGrid w:val="0"/>
        <w:spacing w:line="594" w:lineRule="exact"/>
        <w:ind w:left="0" w:leftChars="0" w:firstLine="640" w:firstLineChars="200"/>
        <w:jc w:val="left"/>
        <w:textAlignment w:val="auto"/>
        <w:rPr>
          <w:rFonts w:hint="default" w:ascii="Times New Roman" w:hAnsi="Times New Roman" w:eastAsia="方正黑体_GBK" w:cs="Times New Roman"/>
          <w:snapToGrid w:val="0"/>
          <w:color w:val="auto"/>
          <w:kern w:val="0"/>
          <w:sz w:val="32"/>
          <w:szCs w:val="32"/>
        </w:rPr>
      </w:pPr>
      <w:r>
        <w:rPr>
          <w:rFonts w:hint="default" w:ascii="Times New Roman" w:hAnsi="Times New Roman" w:eastAsia="方正黑体_GBK" w:cs="Times New Roman"/>
          <w:snapToGrid w:val="0"/>
          <w:color w:val="auto"/>
          <w:kern w:val="0"/>
          <w:sz w:val="32"/>
          <w:szCs w:val="32"/>
        </w:rPr>
        <w:t>一、综合说明</w:t>
      </w:r>
    </w:p>
    <w:p>
      <w:pPr>
        <w:pageBreakBefore w:val="0"/>
        <w:kinsoku/>
        <w:wordWrap/>
        <w:overflowPunct/>
        <w:topLinePunct w:val="0"/>
        <w:bidi w:val="0"/>
        <w:spacing w:line="594"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（一）方案编制所依据的法律法规、规章、规范性文件、规范标准和技术文件及采用的资料基本正确。</w:t>
      </w:r>
    </w:p>
    <w:p>
      <w:pPr>
        <w:pageBreakBefore w:val="0"/>
        <w:kinsoku/>
        <w:wordWrap/>
        <w:overflowPunct/>
        <w:topLinePunct w:val="0"/>
        <w:bidi w:val="0"/>
        <w:spacing w:line="594"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（二）同意设计水平年为2027年。</w:t>
      </w:r>
    </w:p>
    <w:p>
      <w:pPr>
        <w:pageBreakBefore w:val="0"/>
        <w:kinsoku/>
        <w:wordWrap/>
        <w:overflowPunct/>
        <w:topLinePunct w:val="0"/>
        <w:bidi w:val="0"/>
        <w:spacing w:line="594"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（三）同意水土流失防治责任范围界定，水土流失防治责任范围面积为16.03</w:t>
      </w:r>
      <w:r>
        <w:rPr>
          <w:rFonts w:hint="default" w:ascii="Times New Roman" w:hAnsi="Times New Roman" w:eastAsia="方正仿宋_GBK" w:cs="Times New Roman"/>
          <w:color w:val="auto"/>
          <w:spacing w:val="6"/>
          <w:sz w:val="32"/>
          <w:szCs w:val="32"/>
        </w:rPr>
        <w:t>hm</w:t>
      </w:r>
      <w:r>
        <w:rPr>
          <w:rFonts w:hint="default" w:ascii="Times New Roman" w:hAnsi="Times New Roman" w:eastAsia="方正仿宋_GBK" w:cs="Times New Roman"/>
          <w:color w:val="auto"/>
          <w:spacing w:val="6"/>
          <w:sz w:val="32"/>
          <w:szCs w:val="32"/>
          <w:vertAlign w:val="superscript"/>
          <w:lang w:val="en-US" w:eastAsia="zh-CN"/>
        </w:rPr>
        <w:t>2</w:t>
      </w:r>
      <w:r>
        <w:rPr>
          <w:rFonts w:hint="default" w:ascii="Times New Roman" w:hAnsi="Times New Roman" w:eastAsia="方正仿宋_GBK" w:cs="Times New Roman"/>
          <w:color w:val="auto"/>
          <w:sz w:val="32"/>
          <w:szCs w:val="32"/>
          <w:lang w:eastAsia="zh-CN"/>
        </w:rPr>
        <w:t>，其中：梁平区</w:t>
      </w:r>
      <w:r>
        <w:rPr>
          <w:rFonts w:hint="default" w:ascii="Times New Roman" w:hAnsi="Times New Roman" w:eastAsia="方正仿宋_GBK" w:cs="Times New Roman"/>
          <w:color w:val="auto"/>
          <w:sz w:val="32"/>
          <w:szCs w:val="32"/>
          <w:lang w:val="en-US" w:eastAsia="zh-CN"/>
        </w:rPr>
        <w:t>3.59</w:t>
      </w:r>
      <w:r>
        <w:rPr>
          <w:rFonts w:hint="default" w:ascii="Times New Roman" w:hAnsi="Times New Roman" w:eastAsia="方正仿宋_GBK" w:cs="Times New Roman"/>
          <w:color w:val="auto"/>
          <w:spacing w:val="6"/>
          <w:sz w:val="32"/>
          <w:szCs w:val="32"/>
        </w:rPr>
        <w:t>hm²</w:t>
      </w:r>
      <w:r>
        <w:rPr>
          <w:rFonts w:hint="default" w:ascii="Times New Roman" w:hAnsi="Times New Roman" w:eastAsia="方正仿宋_GBK" w:cs="Times New Roman"/>
          <w:color w:val="auto"/>
          <w:spacing w:val="6"/>
          <w:sz w:val="32"/>
          <w:szCs w:val="32"/>
          <w:lang w:eastAsia="zh-CN"/>
        </w:rPr>
        <w:t>，万州区</w:t>
      </w:r>
      <w:r>
        <w:rPr>
          <w:rFonts w:hint="default" w:ascii="Times New Roman" w:hAnsi="Times New Roman" w:eastAsia="方正仿宋_GBK" w:cs="Times New Roman"/>
          <w:color w:val="auto"/>
          <w:spacing w:val="6"/>
          <w:sz w:val="32"/>
          <w:szCs w:val="32"/>
          <w:lang w:val="en-US" w:eastAsia="zh-CN"/>
        </w:rPr>
        <w:t>4.09</w:t>
      </w:r>
      <w:r>
        <w:rPr>
          <w:rFonts w:hint="default" w:ascii="Times New Roman" w:hAnsi="Times New Roman" w:eastAsia="方正仿宋_GBK" w:cs="Times New Roman"/>
          <w:color w:val="auto"/>
          <w:spacing w:val="0"/>
          <w:sz w:val="32"/>
          <w:szCs w:val="32"/>
        </w:rPr>
        <w:t>hm²</w:t>
      </w:r>
      <w:r>
        <w:rPr>
          <w:rFonts w:hint="default" w:ascii="Times New Roman" w:hAnsi="Times New Roman" w:eastAsia="方正仿宋_GBK" w:cs="Times New Roman"/>
          <w:color w:val="auto"/>
          <w:spacing w:val="6"/>
          <w:sz w:val="32"/>
          <w:szCs w:val="32"/>
          <w:lang w:val="en-US" w:eastAsia="zh-CN"/>
        </w:rPr>
        <w:t>，</w:t>
      </w:r>
      <w:r>
        <w:rPr>
          <w:rFonts w:hint="default" w:ascii="Times New Roman" w:hAnsi="Times New Roman" w:eastAsia="方正仿宋_GBK" w:cs="Times New Roman"/>
          <w:color w:val="auto"/>
          <w:spacing w:val="6"/>
          <w:sz w:val="32"/>
          <w:szCs w:val="32"/>
          <w:lang w:eastAsia="zh-CN"/>
        </w:rPr>
        <w:t>开州区</w:t>
      </w:r>
      <w:r>
        <w:rPr>
          <w:rFonts w:hint="default" w:ascii="Times New Roman" w:hAnsi="Times New Roman" w:eastAsia="方正仿宋_GBK" w:cs="Times New Roman"/>
          <w:color w:val="auto"/>
          <w:spacing w:val="6"/>
          <w:sz w:val="32"/>
          <w:szCs w:val="32"/>
          <w:lang w:val="en-US" w:eastAsia="zh-CN"/>
        </w:rPr>
        <w:t>8.35</w:t>
      </w:r>
      <w:r>
        <w:rPr>
          <w:rFonts w:hint="default" w:ascii="Times New Roman" w:hAnsi="Times New Roman" w:eastAsia="方正仿宋_GBK" w:cs="Times New Roman"/>
          <w:color w:val="auto"/>
          <w:spacing w:val="0"/>
          <w:sz w:val="32"/>
          <w:szCs w:val="32"/>
        </w:rPr>
        <w:t>hm</w:t>
      </w:r>
      <w:r>
        <w:rPr>
          <w:rFonts w:hint="default" w:ascii="Times New Roman" w:hAnsi="Times New Roman" w:eastAsia="方正仿宋_GBK" w:cs="Times New Roman"/>
          <w:color w:val="auto"/>
          <w:spacing w:val="0"/>
          <w:sz w:val="32"/>
          <w:szCs w:val="32"/>
          <w:vertAlign w:val="baseline"/>
        </w:rPr>
        <w:t>²</w:t>
      </w:r>
      <w:r>
        <w:rPr>
          <w:rFonts w:hint="default" w:ascii="Times New Roman" w:hAnsi="Times New Roman" w:eastAsia="方正仿宋_GBK" w:cs="Times New Roman"/>
          <w:color w:val="auto"/>
          <w:spacing w:val="6"/>
          <w:sz w:val="32"/>
          <w:szCs w:val="32"/>
          <w:lang w:eastAsia="zh-CN"/>
        </w:rPr>
        <w:t>。</w:t>
      </w:r>
    </w:p>
    <w:p>
      <w:pPr>
        <w:pageBreakBefore w:val="0"/>
        <w:kinsoku/>
        <w:wordWrap/>
        <w:overflowPunct/>
        <w:topLinePunct w:val="0"/>
        <w:bidi w:val="0"/>
        <w:spacing w:line="594"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（四）同意项目水土流失防治标准执行西南紫色土区建设类一级防治标准。</w:t>
      </w:r>
    </w:p>
    <w:p>
      <w:pPr>
        <w:pageBreakBefore w:val="0"/>
        <w:kinsoku/>
        <w:wordWrap/>
        <w:overflowPunct/>
        <w:topLinePunct w:val="0"/>
        <w:bidi w:val="0"/>
        <w:spacing w:line="594" w:lineRule="exact"/>
        <w:ind w:left="0" w:leftChars="0" w:firstLine="640" w:firstLineChars="200"/>
        <w:textAlignment w:val="auto"/>
        <w:rPr>
          <w:rFonts w:ascii="Times New Roman" w:hAnsi="Times New Roman" w:eastAsia="方正仿宋_GBK" w:cs="Times New Roman"/>
          <w:bCs/>
          <w:snapToGrid w:val="0"/>
          <w:color w:val="auto"/>
          <w:kern w:val="0"/>
          <w:sz w:val="32"/>
          <w:szCs w:val="32"/>
        </w:rPr>
      </w:pPr>
      <w:r>
        <w:rPr>
          <w:rFonts w:hint="default" w:ascii="Times New Roman" w:hAnsi="Times New Roman" w:eastAsia="方正仿宋_GBK" w:cs="Times New Roman"/>
          <w:color w:val="auto"/>
          <w:sz w:val="32"/>
          <w:szCs w:val="32"/>
        </w:rPr>
        <w:t>（五）同意水土流失防治目标</w:t>
      </w:r>
      <w:r>
        <w:rPr>
          <w:rFonts w:hint="default" w:ascii="Times New Roman" w:hAnsi="Times New Roman" w:eastAsia="方正仿宋_GBK" w:cs="Times New Roman"/>
          <w:color w:val="auto"/>
          <w:sz w:val="32"/>
          <w:szCs w:val="32"/>
          <w:lang w:eastAsia="zh-CN"/>
        </w:rPr>
        <w:t>，其中：</w:t>
      </w:r>
      <w:r>
        <w:rPr>
          <w:rFonts w:hint="default" w:ascii="Times New Roman" w:hAnsi="Times New Roman" w:eastAsia="方正仿宋_GBK" w:cs="Times New Roman"/>
          <w:color w:val="auto"/>
          <w:sz w:val="32"/>
          <w:szCs w:val="32"/>
        </w:rPr>
        <w:t>水土流失治理度达到97%，土壤流失控制比1.0，渣土防护率92.01%，表土保护率92%，林草植被恢复率97%，林草覆盖率25.01%</w:t>
      </w:r>
      <w:r>
        <w:rPr>
          <w:rFonts w:hint="default" w:ascii="Times New Roman" w:hAnsi="Times New Roman"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default" w:ascii="Times New Roman" w:hAnsi="Times New Roman" w:eastAsia="方正黑体_GBK" w:cs="Times New Roman"/>
          <w:snapToGrid w:val="0"/>
          <w:color w:val="auto"/>
          <w:kern w:val="0"/>
          <w:sz w:val="32"/>
          <w:szCs w:val="32"/>
        </w:rPr>
      </w:pPr>
      <w:r>
        <w:rPr>
          <w:rFonts w:hint="default" w:ascii="Times New Roman" w:hAnsi="Times New Roman" w:eastAsia="方正黑体_GBK" w:cs="Times New Roman"/>
          <w:snapToGrid w:val="0"/>
          <w:color w:val="auto"/>
          <w:kern w:val="0"/>
          <w:sz w:val="32"/>
          <w:szCs w:val="32"/>
        </w:rPr>
        <w:t>二、项目概况</w:t>
      </w:r>
    </w:p>
    <w:p>
      <w:pPr>
        <w:pageBreakBefore w:val="0"/>
        <w:kinsoku/>
        <w:wordWrap/>
        <w:overflowPunct/>
        <w:topLinePunct w:val="0"/>
        <w:bidi w:val="0"/>
        <w:spacing w:line="594"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（一）项目概况阐述基本清楚。</w:t>
      </w:r>
      <w:r>
        <w:rPr>
          <w:rFonts w:hint="default" w:ascii="Times New Roman" w:hAnsi="Times New Roman" w:eastAsia="方正仿宋_GBK" w:cs="Times New Roman"/>
          <w:color w:val="auto"/>
          <w:sz w:val="32"/>
          <w:szCs w:val="32"/>
          <w:lang w:eastAsia="zh-CN" w:bidi="ar"/>
        </w:rPr>
        <w:t>成达万高铁重庆中兴牵</w:t>
      </w:r>
      <w:r>
        <w:rPr>
          <w:rFonts w:hint="default" w:ascii="Times New Roman" w:hAnsi="Times New Roman" w:eastAsia="方正仿宋_GBK" w:cs="Times New Roman"/>
          <w:color w:val="auto"/>
          <w:sz w:val="32"/>
          <w:szCs w:val="32"/>
          <w:lang w:bidi="ar"/>
        </w:rPr>
        <w:t>220 千伏外部供电工程</w:t>
      </w:r>
      <w:r>
        <w:rPr>
          <w:rFonts w:hint="default" w:ascii="Times New Roman" w:hAnsi="Times New Roman" w:eastAsia="方正仿宋_GBK" w:cs="Times New Roman"/>
          <w:color w:val="auto"/>
          <w:sz w:val="32"/>
          <w:szCs w:val="32"/>
          <w:lang w:eastAsia="zh-CN" w:bidi="ar"/>
        </w:rPr>
        <w:t>（以下简称本项目）</w:t>
      </w:r>
      <w:r>
        <w:rPr>
          <w:rFonts w:hint="default" w:ascii="Times New Roman" w:hAnsi="Times New Roman" w:eastAsia="方正仿宋_GBK" w:cs="Times New Roman"/>
          <w:color w:val="auto"/>
          <w:sz w:val="32"/>
          <w:szCs w:val="32"/>
        </w:rPr>
        <w:t>为新建建设类项目，</w:t>
      </w:r>
      <w:r>
        <w:rPr>
          <w:rFonts w:hint="default" w:ascii="Times New Roman" w:hAnsi="Times New Roman" w:eastAsia="方正仿宋_GBK" w:cs="Times New Roman"/>
          <w:color w:val="auto"/>
          <w:sz w:val="32"/>
          <w:szCs w:val="32"/>
          <w:lang w:eastAsia="zh-CN"/>
        </w:rPr>
        <w:t>建设地点</w:t>
      </w:r>
      <w:r>
        <w:rPr>
          <w:rFonts w:hint="default" w:ascii="Times New Roman" w:hAnsi="Times New Roman" w:eastAsia="方正仿宋_GBK" w:cs="Times New Roman"/>
          <w:color w:val="auto"/>
          <w:sz w:val="32"/>
          <w:szCs w:val="32"/>
        </w:rPr>
        <w:t>位于重庆市开州区、梁平区、万州区，主要为成达万高速铁路中心牵引站提供电源。</w:t>
      </w:r>
      <w:r>
        <w:rPr>
          <w:rFonts w:hint="default" w:ascii="Times New Roman" w:hAnsi="Times New Roman" w:eastAsia="方正仿宋_GBK" w:cs="Times New Roman"/>
          <w:color w:val="auto"/>
          <w:sz w:val="32"/>
          <w:szCs w:val="32"/>
          <w:lang w:eastAsia="zh-CN"/>
        </w:rPr>
        <w:t>本项目由变电站间隔扩建工程和输电线路工程两部分组成。变电站间隔扩建工程为</w:t>
      </w:r>
      <w:r>
        <w:rPr>
          <w:rFonts w:hint="default" w:ascii="Times New Roman" w:hAnsi="Times New Roman" w:eastAsia="方正仿宋_GBK" w:cs="Times New Roman"/>
          <w:color w:val="auto"/>
          <w:sz w:val="32"/>
          <w:szCs w:val="32"/>
        </w:rPr>
        <w:t>扩建城北220kV变电站间隔1个</w:t>
      </w:r>
      <w:r>
        <w:rPr>
          <w:rFonts w:hint="default" w:ascii="Times New Roman" w:hAnsi="Times New Roman" w:eastAsia="方正仿宋_GBK" w:cs="Times New Roman"/>
          <w:color w:val="auto"/>
          <w:sz w:val="32"/>
          <w:szCs w:val="32"/>
          <w:lang w:eastAsia="zh-CN"/>
        </w:rPr>
        <w:t>；输电线路工程包括</w:t>
      </w:r>
      <w:r>
        <w:rPr>
          <w:rFonts w:hint="default" w:ascii="Times New Roman" w:hAnsi="Times New Roman" w:eastAsia="方正仿宋_GBK" w:cs="Times New Roman"/>
          <w:color w:val="auto"/>
          <w:sz w:val="32"/>
          <w:szCs w:val="32"/>
        </w:rPr>
        <w:t>新建220kV线路83.12km，新建铁塔177基，利旧铁塔2基，拆除铁塔1基。</w:t>
      </w:r>
      <w:r>
        <w:rPr>
          <w:rFonts w:hint="default" w:ascii="Times New Roman" w:hAnsi="Times New Roman" w:eastAsia="方正仿宋_GBK" w:cs="Times New Roman"/>
          <w:color w:val="auto"/>
          <w:sz w:val="32"/>
          <w:szCs w:val="32"/>
          <w:lang w:eastAsia="zh-CN"/>
        </w:rPr>
        <w:t>本项目施工组织设计</w:t>
      </w:r>
      <w:r>
        <w:rPr>
          <w:rFonts w:hint="default" w:ascii="Times New Roman" w:hAnsi="Times New Roman" w:eastAsia="方正仿宋_GBK" w:cs="Times New Roman"/>
          <w:color w:val="auto"/>
          <w:spacing w:val="6"/>
          <w:sz w:val="32"/>
          <w:szCs w:val="32"/>
        </w:rPr>
        <w:t>共</w:t>
      </w:r>
      <w:r>
        <w:rPr>
          <w:rFonts w:hint="default" w:ascii="Times New Roman" w:hAnsi="Times New Roman" w:eastAsia="方正仿宋_GBK" w:cs="Times New Roman"/>
          <w:color w:val="auto"/>
          <w:spacing w:val="6"/>
          <w:sz w:val="32"/>
          <w:szCs w:val="32"/>
          <w:lang w:eastAsia="zh-CN"/>
        </w:rPr>
        <w:t>布</w:t>
      </w:r>
      <w:r>
        <w:rPr>
          <w:rFonts w:hint="default" w:ascii="Times New Roman" w:hAnsi="Times New Roman" w:eastAsia="方正仿宋_GBK" w:cs="Times New Roman"/>
          <w:color w:val="auto"/>
          <w:spacing w:val="6"/>
          <w:sz w:val="32"/>
          <w:szCs w:val="32"/>
        </w:rPr>
        <w:t>设牵张场0.52hm²/15处，跨越施工场地0.04hm²/2处，</w:t>
      </w:r>
      <w:r>
        <w:rPr>
          <w:rFonts w:hint="default" w:ascii="Times New Roman" w:hAnsi="Times New Roman" w:eastAsia="方正仿宋_GBK" w:cs="Times New Roman"/>
          <w:color w:val="auto"/>
          <w:spacing w:val="6"/>
          <w:sz w:val="32"/>
          <w:szCs w:val="32"/>
          <w:lang w:eastAsia="zh-CN"/>
        </w:rPr>
        <w:t>施工便道</w:t>
      </w:r>
      <w:r>
        <w:rPr>
          <w:rFonts w:hint="default" w:ascii="Times New Roman" w:hAnsi="Times New Roman" w:eastAsia="方正仿宋_GBK" w:cs="Times New Roman"/>
          <w:color w:val="auto"/>
          <w:spacing w:val="6"/>
          <w:sz w:val="32"/>
          <w:szCs w:val="32"/>
          <w:lang w:val="en-US" w:eastAsia="zh-CN"/>
        </w:rPr>
        <w:t>4.04</w:t>
      </w:r>
      <w:r>
        <w:rPr>
          <w:rFonts w:hint="default" w:ascii="Times New Roman" w:hAnsi="Times New Roman" w:eastAsia="方正仿宋_GBK" w:cs="Times New Roman"/>
          <w:color w:val="auto"/>
          <w:spacing w:val="6"/>
          <w:sz w:val="32"/>
          <w:szCs w:val="32"/>
        </w:rPr>
        <w:t>hm²/</w:t>
      </w:r>
      <w:r>
        <w:rPr>
          <w:rFonts w:hint="default" w:ascii="Times New Roman" w:hAnsi="Times New Roman" w:eastAsia="方正仿宋_GBK" w:cs="Times New Roman"/>
          <w:color w:val="auto"/>
          <w:spacing w:val="6"/>
          <w:sz w:val="32"/>
          <w:szCs w:val="32"/>
          <w:lang w:val="en-US" w:eastAsia="zh-CN"/>
        </w:rPr>
        <w:t>144条（</w:t>
      </w:r>
      <w:r>
        <w:rPr>
          <w:rFonts w:hint="default" w:ascii="Times New Roman" w:hAnsi="Times New Roman" w:eastAsia="方正仿宋_GBK" w:cs="Times New Roman"/>
          <w:color w:val="auto"/>
          <w:spacing w:val="6"/>
          <w:sz w:val="32"/>
          <w:szCs w:val="32"/>
        </w:rPr>
        <w:t>车行道路60条</w:t>
      </w:r>
      <w:r>
        <w:rPr>
          <w:rFonts w:hint="default" w:ascii="Times New Roman" w:hAnsi="Times New Roman" w:eastAsia="方正仿宋_GBK" w:cs="Times New Roman"/>
          <w:color w:val="auto"/>
          <w:spacing w:val="6"/>
          <w:sz w:val="32"/>
          <w:szCs w:val="32"/>
          <w:lang w:eastAsia="zh-CN"/>
        </w:rPr>
        <w:t>和</w:t>
      </w:r>
      <w:r>
        <w:rPr>
          <w:rFonts w:hint="default" w:ascii="Times New Roman" w:hAnsi="Times New Roman" w:eastAsia="方正仿宋_GBK" w:cs="Times New Roman"/>
          <w:color w:val="auto"/>
          <w:spacing w:val="6"/>
          <w:sz w:val="32"/>
          <w:szCs w:val="32"/>
        </w:rPr>
        <w:t>人抬道路84条</w:t>
      </w:r>
      <w:r>
        <w:rPr>
          <w:rFonts w:hint="default" w:ascii="Times New Roman" w:hAnsi="Times New Roman" w:eastAsia="方正仿宋_GBK" w:cs="Times New Roman"/>
          <w:color w:val="auto"/>
          <w:spacing w:val="6"/>
          <w:sz w:val="32"/>
          <w:szCs w:val="32"/>
          <w:lang w:val="en-US" w:eastAsia="zh-CN"/>
        </w:rPr>
        <w:t>）</w:t>
      </w:r>
      <w:r>
        <w:rPr>
          <w:rFonts w:hint="default" w:ascii="Times New Roman" w:hAnsi="Times New Roman" w:eastAsia="方正仿宋_GBK" w:cs="Times New Roman"/>
          <w:color w:val="auto"/>
          <w:spacing w:val="6"/>
          <w:sz w:val="32"/>
          <w:szCs w:val="32"/>
        </w:rPr>
        <w:t>，</w:t>
      </w:r>
      <w:r>
        <w:rPr>
          <w:rFonts w:hint="default" w:ascii="Times New Roman" w:hAnsi="Times New Roman" w:eastAsia="方正仿宋_GBK" w:cs="Times New Roman"/>
          <w:color w:val="auto"/>
          <w:sz w:val="32"/>
          <w:szCs w:val="32"/>
        </w:rPr>
        <w:t>施工用电就近从沿线电网、农户处取用或自备柴油发电机，施工用水就近从沿线供水管网、农户处接水，或通过管道/畜力从周边蓄水设施或天然水源处取水。</w:t>
      </w:r>
    </w:p>
    <w:p>
      <w:pPr>
        <w:pageBreakBefore w:val="0"/>
        <w:kinsoku/>
        <w:wordWrap/>
        <w:overflowPunct/>
        <w:topLinePunct w:val="0"/>
        <w:bidi w:val="0"/>
        <w:spacing w:line="594"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工程总占地面积为16.03 hm²，</w:t>
      </w:r>
      <w:r>
        <w:rPr>
          <w:rFonts w:hint="default" w:ascii="Times New Roman" w:hAnsi="Times New Roman" w:eastAsia="方正仿宋_GBK" w:cs="Times New Roman"/>
          <w:color w:val="auto"/>
          <w:sz w:val="32"/>
          <w:szCs w:val="32"/>
          <w:lang w:eastAsia="zh-CN"/>
        </w:rPr>
        <w:t>其中：</w:t>
      </w:r>
      <w:r>
        <w:rPr>
          <w:rFonts w:hint="default" w:ascii="Times New Roman" w:hAnsi="Times New Roman" w:eastAsia="方正仿宋_GBK" w:cs="Times New Roman"/>
          <w:color w:val="auto"/>
          <w:sz w:val="32"/>
          <w:szCs w:val="32"/>
        </w:rPr>
        <w:t>永久占地约3.36 hm²，临时占地约12.67 hm²。本工程总挖方量约3.93万m³（含剥离表土2.63万m³），总填方量约3.93万m³（含回覆表土2.63万m³），无借方，无余方。本工程不涉及征地拆迁、移民安置问题。工程计划2025年12月开工，2026年12月完工，总工期13个月。</w:t>
      </w:r>
      <w:r>
        <w:rPr>
          <w:rFonts w:hint="default" w:ascii="Times New Roman" w:hAnsi="Times New Roman" w:eastAsia="方正仿宋_GBK" w:cs="Times New Roman"/>
          <w:color w:val="auto"/>
          <w:sz w:val="32"/>
          <w:szCs w:val="32"/>
          <w:lang w:eastAsia="zh-CN"/>
        </w:rPr>
        <w:t>工程总投资</w:t>
      </w:r>
      <w:r>
        <w:rPr>
          <w:rFonts w:hint="default" w:ascii="Times New Roman" w:hAnsi="Times New Roman" w:eastAsia="方正仿宋_GBK" w:cs="Times New Roman"/>
          <w:color w:val="auto"/>
          <w:sz w:val="32"/>
          <w:szCs w:val="32"/>
          <w:lang w:val="en-US" w:eastAsia="zh-CN"/>
        </w:rPr>
        <w:t>17829万元，其中土建投资13403万元。</w:t>
      </w:r>
    </w:p>
    <w:p>
      <w:pPr>
        <w:pageBreakBefore w:val="0"/>
        <w:kinsoku/>
        <w:wordWrap/>
        <w:overflowPunct/>
        <w:topLinePunct w:val="0"/>
        <w:bidi w:val="0"/>
        <w:spacing w:line="594" w:lineRule="exact"/>
        <w:ind w:left="0" w:leftChars="0" w:firstLine="640" w:firstLineChars="200"/>
        <w:textAlignment w:val="auto"/>
        <w:rPr>
          <w:rFonts w:hint="default" w:ascii="Times New Roman" w:hAnsi="Times New Roman" w:eastAsia="方正仿宋_GBK" w:cs="Times New Roman"/>
          <w:bCs/>
          <w:snapToGrid w:val="0"/>
          <w:color w:val="auto"/>
          <w:kern w:val="0"/>
          <w:sz w:val="32"/>
          <w:szCs w:val="32"/>
        </w:rPr>
      </w:pPr>
      <w:r>
        <w:rPr>
          <w:rFonts w:hint="default" w:ascii="Times New Roman" w:hAnsi="Times New Roman" w:eastAsia="方正仿宋_GBK" w:cs="Times New Roman"/>
          <w:color w:val="auto"/>
          <w:sz w:val="32"/>
          <w:szCs w:val="32"/>
        </w:rPr>
        <w:t>（二）项目区</w:t>
      </w:r>
      <w:r>
        <w:rPr>
          <w:rFonts w:hint="default" w:ascii="Times New Roman" w:hAnsi="Times New Roman" w:eastAsia="方正仿宋_GBK" w:cs="Times New Roman"/>
          <w:color w:val="auto"/>
          <w:sz w:val="32"/>
          <w:szCs w:val="32"/>
          <w:lang w:eastAsia="zh-CN"/>
        </w:rPr>
        <w:t>自然简</w:t>
      </w:r>
      <w:r>
        <w:rPr>
          <w:rFonts w:hint="default" w:ascii="Times New Roman" w:hAnsi="Times New Roman" w:eastAsia="方正仿宋_GBK" w:cs="Times New Roman"/>
          <w:color w:val="auto"/>
          <w:sz w:val="32"/>
          <w:szCs w:val="32"/>
        </w:rPr>
        <w:t>况阐述较为清楚</w:t>
      </w:r>
      <w:r>
        <w:rPr>
          <w:rFonts w:ascii="Times New Roman" w:hAnsi="Times New Roman"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default" w:ascii="Times New Roman" w:hAnsi="Times New Roman" w:eastAsia="方正黑体_GBK" w:cs="Times New Roman"/>
          <w:snapToGrid w:val="0"/>
          <w:color w:val="auto"/>
          <w:kern w:val="0"/>
          <w:sz w:val="32"/>
          <w:szCs w:val="32"/>
        </w:rPr>
      </w:pPr>
      <w:r>
        <w:rPr>
          <w:rFonts w:hint="default" w:ascii="Times New Roman" w:hAnsi="Times New Roman" w:eastAsia="方正黑体_GBK" w:cs="Times New Roman"/>
          <w:snapToGrid w:val="0"/>
          <w:color w:val="auto"/>
          <w:kern w:val="0"/>
          <w:sz w:val="32"/>
          <w:szCs w:val="32"/>
        </w:rPr>
        <w:t>三、</w:t>
      </w:r>
      <w:r>
        <w:rPr>
          <w:rFonts w:hint="default" w:ascii="Times New Roman" w:hAnsi="Times New Roman" w:eastAsia="方正黑体_GBK" w:cs="Times New Roman"/>
          <w:bCs/>
          <w:snapToGrid w:val="0"/>
          <w:color w:val="auto"/>
          <w:kern w:val="0"/>
          <w:sz w:val="32"/>
          <w:szCs w:val="32"/>
        </w:rPr>
        <w:t>项目水土保持</w:t>
      </w:r>
      <w:r>
        <w:rPr>
          <w:rFonts w:ascii="Times New Roman" w:hAnsi="Times New Roman" w:eastAsia="方正黑体_GBK" w:cs="Times New Roman"/>
          <w:bCs/>
          <w:snapToGrid w:val="0"/>
          <w:color w:val="auto"/>
          <w:kern w:val="0"/>
          <w:sz w:val="32"/>
          <w:szCs w:val="32"/>
        </w:rPr>
        <w:t>评价</w:t>
      </w:r>
    </w:p>
    <w:p>
      <w:pPr>
        <w:pageBreakBefore w:val="0"/>
        <w:kinsoku/>
        <w:wordWrap/>
        <w:overflowPunct/>
        <w:topLinePunct w:val="0"/>
        <w:bidi w:val="0"/>
        <w:snapToGrid w:val="0"/>
        <w:spacing w:line="594" w:lineRule="exact"/>
        <w:ind w:left="0" w:leftChars="0" w:firstLine="640" w:firstLineChars="200"/>
        <w:jc w:val="lef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（一）</w:t>
      </w:r>
      <w:r>
        <w:rPr>
          <w:rFonts w:hint="default" w:ascii="Times New Roman" w:hAnsi="Times New Roman" w:eastAsia="方正仿宋_GBK" w:cs="Times New Roman"/>
          <w:color w:val="auto"/>
          <w:sz w:val="32"/>
          <w:szCs w:val="32"/>
          <w:lang w:eastAsia="zh-CN"/>
        </w:rPr>
        <w:t>基本</w:t>
      </w:r>
      <w:r>
        <w:rPr>
          <w:rFonts w:hint="default" w:ascii="Times New Roman" w:hAnsi="Times New Roman" w:eastAsia="方正仿宋_GBK" w:cs="Times New Roman"/>
          <w:color w:val="auto"/>
          <w:sz w:val="32"/>
          <w:szCs w:val="32"/>
        </w:rPr>
        <w:t>同意主体工程选线的水土保持评价结论。工程选址涉及三峡库区国家级水土流失重点治理区、重庆市水土流失重点治理区、梁平区水土流失重点治理区、万州区水土流失重点治理区、开州区水土流失重点预防区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且无法避让</w:t>
      </w:r>
      <w:r>
        <w:rPr>
          <w:rFonts w:hint="default" w:ascii="Times New Roman" w:hAnsi="Times New Roman" w:eastAsia="方正仿宋_GBK" w:cs="Times New Roman"/>
          <w:color w:val="auto"/>
          <w:sz w:val="32"/>
          <w:szCs w:val="32"/>
          <w:lang w:eastAsia="zh-CN"/>
        </w:rPr>
        <w:t>，方案已执行水土流失防治最高标准（一级标准），符合法律法规要求。</w:t>
      </w:r>
    </w:p>
    <w:p>
      <w:pPr>
        <w:pageBreakBefore w:val="0"/>
        <w:kinsoku/>
        <w:wordWrap/>
        <w:overflowPunct/>
        <w:topLinePunct w:val="0"/>
        <w:bidi w:val="0"/>
        <w:snapToGrid w:val="0"/>
        <w:spacing w:line="594" w:lineRule="exact"/>
        <w:ind w:left="0" w:leftChars="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w:t>
      </w:r>
      <w:r>
        <w:rPr>
          <w:rFonts w:hint="default" w:ascii="Times New Roman" w:hAnsi="Times New Roman" w:eastAsia="方正仿宋_GBK" w:cs="Times New Roman"/>
          <w:color w:val="auto"/>
          <w:sz w:val="32"/>
          <w:szCs w:val="32"/>
          <w:lang w:eastAsia="zh-CN"/>
        </w:rPr>
        <w:t>基本</w:t>
      </w:r>
      <w:r>
        <w:rPr>
          <w:rFonts w:hint="default" w:ascii="Times New Roman" w:hAnsi="Times New Roman" w:eastAsia="方正仿宋_GBK" w:cs="Times New Roman"/>
          <w:color w:val="auto"/>
          <w:sz w:val="32"/>
          <w:szCs w:val="32"/>
        </w:rPr>
        <w:t>同意对项目建设方案与布局、工程占地、土石方平衡及施工工艺的水土保持评价。</w:t>
      </w:r>
    </w:p>
    <w:p>
      <w:pPr>
        <w:pageBreakBefore w:val="0"/>
        <w:kinsoku/>
        <w:wordWrap/>
        <w:overflowPunct/>
        <w:topLinePunct w:val="0"/>
        <w:bidi w:val="0"/>
        <w:snapToGrid w:val="0"/>
        <w:spacing w:line="594" w:lineRule="exact"/>
        <w:ind w:left="0" w:leftChars="0" w:firstLine="640" w:firstLineChars="200"/>
        <w:jc w:val="left"/>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color w:val="auto"/>
          <w:sz w:val="32"/>
          <w:szCs w:val="32"/>
        </w:rPr>
        <w:t>（三）</w:t>
      </w:r>
      <w:r>
        <w:rPr>
          <w:rFonts w:hint="default" w:ascii="Times New Roman" w:hAnsi="Times New Roman" w:eastAsia="方正仿宋_GBK" w:cs="Times New Roman"/>
          <w:color w:val="auto"/>
          <w:sz w:val="32"/>
          <w:szCs w:val="32"/>
          <w:lang w:eastAsia="zh-CN"/>
        </w:rPr>
        <w:t>基本</w:t>
      </w:r>
      <w:r>
        <w:rPr>
          <w:rFonts w:hint="default" w:ascii="Times New Roman" w:hAnsi="Times New Roman" w:eastAsia="方正仿宋_GBK" w:cs="Times New Roman"/>
          <w:color w:val="auto"/>
          <w:sz w:val="32"/>
          <w:szCs w:val="32"/>
        </w:rPr>
        <w:t>同意主体工程设计中水土保持措施界定成果</w:t>
      </w:r>
      <w:r>
        <w:rPr>
          <w:rFonts w:hint="default" w:ascii="Times New Roman" w:hAnsi="Times New Roman" w:eastAsia="方正仿宋_GBK" w:cs="Times New Roman"/>
          <w:color w:val="auto"/>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ascii="Times New Roman" w:hAnsi="Times New Roman" w:eastAsia="方正黑体_GBK" w:cs="Times New Roman"/>
          <w:snapToGrid w:val="0"/>
          <w:color w:val="auto"/>
          <w:kern w:val="0"/>
          <w:sz w:val="32"/>
          <w:szCs w:val="32"/>
        </w:rPr>
      </w:pPr>
      <w:r>
        <w:rPr>
          <w:rFonts w:hint="default" w:ascii="Times New Roman" w:hAnsi="Times New Roman" w:eastAsia="方正黑体_GBK" w:cs="Times New Roman"/>
          <w:snapToGrid w:val="0"/>
          <w:color w:val="auto"/>
          <w:kern w:val="0"/>
          <w:sz w:val="32"/>
          <w:szCs w:val="32"/>
        </w:rPr>
        <w:t>四、</w:t>
      </w:r>
      <w:r>
        <w:rPr>
          <w:rFonts w:ascii="Times New Roman" w:hAnsi="Times New Roman" w:eastAsia="方正黑体_GBK" w:cs="Times New Roman"/>
          <w:bCs/>
          <w:snapToGrid w:val="0"/>
          <w:color w:val="auto"/>
          <w:kern w:val="0"/>
          <w:sz w:val="32"/>
          <w:szCs w:val="32"/>
        </w:rPr>
        <w:t>水土流失</w:t>
      </w:r>
      <w:r>
        <w:rPr>
          <w:rFonts w:hint="default" w:ascii="Times New Roman" w:hAnsi="Times New Roman" w:eastAsia="方正黑体_GBK" w:cs="Times New Roman"/>
          <w:bCs/>
          <w:snapToGrid w:val="0"/>
          <w:color w:val="auto"/>
          <w:kern w:val="0"/>
          <w:sz w:val="32"/>
          <w:szCs w:val="32"/>
        </w:rPr>
        <w:t>分析</w:t>
      </w:r>
      <w:r>
        <w:rPr>
          <w:rFonts w:ascii="Times New Roman" w:hAnsi="Times New Roman" w:eastAsia="方正黑体_GBK" w:cs="Times New Roman"/>
          <w:bCs/>
          <w:snapToGrid w:val="0"/>
          <w:color w:val="auto"/>
          <w:kern w:val="0"/>
          <w:sz w:val="32"/>
          <w:szCs w:val="32"/>
        </w:rPr>
        <w:t>与预测</w:t>
      </w:r>
    </w:p>
    <w:p>
      <w:pPr>
        <w:pageBreakBefore w:val="0"/>
        <w:kinsoku/>
        <w:wordWrap/>
        <w:overflowPunct/>
        <w:topLinePunct w:val="0"/>
        <w:bidi w:val="0"/>
        <w:snapToGrid w:val="0"/>
        <w:spacing w:line="594" w:lineRule="exact"/>
        <w:ind w:left="0" w:leftChars="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（一）基本同意对项目区水土流失现状及影响分析结论。</w:t>
      </w:r>
    </w:p>
    <w:p>
      <w:pPr>
        <w:pageBreakBefore w:val="0"/>
        <w:kinsoku/>
        <w:wordWrap/>
        <w:overflowPunct/>
        <w:topLinePunct w:val="0"/>
        <w:bidi w:val="0"/>
        <w:snapToGrid w:val="0"/>
        <w:spacing w:line="594" w:lineRule="exact"/>
        <w:ind w:left="0" w:leftChars="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w:t>
      </w:r>
      <w:r>
        <w:rPr>
          <w:rFonts w:hint="default" w:ascii="Times New Roman" w:hAnsi="Times New Roman" w:eastAsia="方正仿宋_GBK" w:cs="Times New Roman"/>
          <w:color w:val="auto"/>
          <w:sz w:val="32"/>
          <w:szCs w:val="32"/>
          <w:lang w:eastAsia="zh-CN"/>
        </w:rPr>
        <w:t>基本同意</w:t>
      </w:r>
      <w:r>
        <w:rPr>
          <w:rFonts w:hint="default" w:ascii="Times New Roman" w:hAnsi="Times New Roman" w:eastAsia="方正仿宋_GBK" w:cs="Times New Roman"/>
          <w:color w:val="auto"/>
          <w:sz w:val="32"/>
          <w:szCs w:val="32"/>
        </w:rPr>
        <w:t>项目</w:t>
      </w:r>
      <w:r>
        <w:rPr>
          <w:rFonts w:hint="default" w:ascii="Times New Roman" w:hAnsi="Times New Roman" w:eastAsia="方正仿宋_GBK" w:cs="Times New Roman"/>
          <w:color w:val="auto"/>
          <w:sz w:val="32"/>
          <w:szCs w:val="32"/>
          <w:lang w:eastAsia="zh-CN"/>
        </w:rPr>
        <w:t>建设</w:t>
      </w:r>
      <w:r>
        <w:rPr>
          <w:rFonts w:hint="default" w:ascii="Times New Roman" w:hAnsi="Times New Roman" w:eastAsia="方正仿宋_GBK" w:cs="Times New Roman"/>
          <w:color w:val="auto"/>
          <w:sz w:val="32"/>
          <w:szCs w:val="32"/>
        </w:rPr>
        <w:t>扰动地表面积16.03hm²，损毁植被面积8.58hm²。</w:t>
      </w:r>
    </w:p>
    <w:p>
      <w:pPr>
        <w:pageBreakBefore w:val="0"/>
        <w:kinsoku/>
        <w:wordWrap/>
        <w:overflowPunct/>
        <w:topLinePunct w:val="0"/>
        <w:bidi w:val="0"/>
        <w:snapToGrid w:val="0"/>
        <w:spacing w:line="594" w:lineRule="exact"/>
        <w:ind w:left="0" w:leftChars="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w:t>
      </w:r>
      <w:r>
        <w:rPr>
          <w:rFonts w:hint="default" w:ascii="Times New Roman" w:hAnsi="Times New Roman" w:eastAsia="方正仿宋_GBK" w:cs="Times New Roman"/>
          <w:color w:val="auto"/>
          <w:sz w:val="32"/>
          <w:szCs w:val="32"/>
          <w:lang w:eastAsia="zh-CN"/>
        </w:rPr>
        <w:t>基本</w:t>
      </w:r>
      <w:r>
        <w:rPr>
          <w:rFonts w:hint="default" w:ascii="Times New Roman" w:hAnsi="Times New Roman" w:eastAsia="方正仿宋_GBK" w:cs="Times New Roman"/>
          <w:color w:val="auto"/>
          <w:sz w:val="32"/>
          <w:szCs w:val="32"/>
        </w:rPr>
        <w:t>同意水土流失量预测方法及成果。工程建设可能造成的土壤流失量为909t，新增土壤流失量为591t。</w:t>
      </w:r>
    </w:p>
    <w:p>
      <w:pPr>
        <w:pageBreakBefore w:val="0"/>
        <w:kinsoku/>
        <w:wordWrap/>
        <w:overflowPunct/>
        <w:topLinePunct w:val="0"/>
        <w:bidi w:val="0"/>
        <w:snapToGrid w:val="0"/>
        <w:spacing w:line="594" w:lineRule="exact"/>
        <w:ind w:left="0" w:leftChars="0" w:firstLine="640" w:firstLineChars="200"/>
        <w:jc w:val="left"/>
        <w:textAlignment w:val="auto"/>
        <w:rPr>
          <w:rFonts w:ascii="Times New Roman" w:hAnsi="Times New Roman" w:eastAsia="方正仿宋_GBK" w:cs="Times New Roman"/>
          <w:bCs/>
          <w:snapToGrid w:val="0"/>
          <w:color w:val="auto"/>
          <w:kern w:val="0"/>
          <w:sz w:val="32"/>
          <w:szCs w:val="32"/>
        </w:rPr>
      </w:pPr>
      <w:r>
        <w:rPr>
          <w:rFonts w:hint="default" w:ascii="Times New Roman" w:hAnsi="Times New Roman" w:eastAsia="方正仿宋_GBK" w:cs="Times New Roman"/>
          <w:color w:val="auto"/>
          <w:sz w:val="32"/>
          <w:szCs w:val="32"/>
        </w:rPr>
        <w:t>（四）</w:t>
      </w:r>
      <w:r>
        <w:rPr>
          <w:rFonts w:hint="default" w:ascii="Times New Roman" w:hAnsi="Times New Roman" w:eastAsia="方正仿宋_GBK" w:cs="Times New Roman"/>
          <w:color w:val="auto"/>
          <w:sz w:val="32"/>
          <w:szCs w:val="32"/>
          <w:lang w:eastAsia="zh-CN"/>
        </w:rPr>
        <w:t>基本</w:t>
      </w:r>
      <w:r>
        <w:rPr>
          <w:rFonts w:hint="default" w:ascii="Times New Roman" w:hAnsi="Times New Roman" w:eastAsia="方正仿宋_GBK" w:cs="Times New Roman"/>
          <w:color w:val="auto"/>
          <w:sz w:val="32"/>
          <w:szCs w:val="32"/>
        </w:rPr>
        <w:t>同意水土流失的危害分析结论和指导性意见</w:t>
      </w:r>
      <w:r>
        <w:rPr>
          <w:rFonts w:ascii="Times New Roman" w:hAnsi="Times New Roman"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default" w:ascii="Times New Roman" w:hAnsi="Times New Roman" w:eastAsia="方正黑体_GBK" w:cs="Times New Roman"/>
          <w:snapToGrid w:val="0"/>
          <w:color w:val="auto"/>
          <w:kern w:val="0"/>
          <w:sz w:val="32"/>
          <w:szCs w:val="32"/>
        </w:rPr>
      </w:pPr>
      <w:r>
        <w:rPr>
          <w:rFonts w:hint="default" w:ascii="Times New Roman" w:hAnsi="Times New Roman" w:eastAsia="方正黑体_GBK" w:cs="Times New Roman"/>
          <w:snapToGrid w:val="0"/>
          <w:color w:val="auto"/>
          <w:kern w:val="0"/>
          <w:sz w:val="32"/>
          <w:szCs w:val="32"/>
        </w:rPr>
        <w:t>五、</w:t>
      </w:r>
      <w:r>
        <w:rPr>
          <w:rFonts w:hint="default" w:ascii="Times New Roman" w:hAnsi="Times New Roman" w:eastAsia="方正黑体_GBK" w:cs="Times New Roman"/>
          <w:bCs/>
          <w:snapToGrid w:val="0"/>
          <w:color w:val="auto"/>
          <w:kern w:val="0"/>
          <w:sz w:val="32"/>
          <w:szCs w:val="32"/>
        </w:rPr>
        <w:t>水土保持措施</w:t>
      </w:r>
    </w:p>
    <w:p>
      <w:pPr>
        <w:pageBreakBefore w:val="0"/>
        <w:kinsoku/>
        <w:wordWrap/>
        <w:overflowPunct/>
        <w:topLinePunct w:val="0"/>
        <w:bidi w:val="0"/>
        <w:snapToGrid w:val="0"/>
        <w:spacing w:line="594" w:lineRule="exact"/>
        <w:ind w:left="0" w:leftChars="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w:t>
      </w:r>
      <w:r>
        <w:rPr>
          <w:rFonts w:hint="default" w:ascii="Times New Roman" w:hAnsi="Times New Roman" w:eastAsia="方正仿宋_GBK" w:cs="Times New Roman"/>
          <w:color w:val="auto"/>
          <w:sz w:val="32"/>
          <w:szCs w:val="32"/>
          <w:lang w:eastAsia="zh-CN"/>
        </w:rPr>
        <w:t>基本</w:t>
      </w:r>
      <w:r>
        <w:rPr>
          <w:rFonts w:hint="default" w:ascii="Times New Roman" w:hAnsi="Times New Roman" w:eastAsia="方正仿宋_GBK" w:cs="Times New Roman"/>
          <w:color w:val="auto"/>
          <w:sz w:val="32"/>
          <w:szCs w:val="32"/>
        </w:rPr>
        <w:t>同意项目</w:t>
      </w:r>
      <w:r>
        <w:rPr>
          <w:rFonts w:hint="default" w:ascii="Times New Roman" w:hAnsi="Times New Roman" w:eastAsia="方正仿宋_GBK" w:cs="Times New Roman"/>
          <w:color w:val="auto"/>
          <w:sz w:val="32"/>
          <w:szCs w:val="32"/>
          <w:lang w:eastAsia="zh-CN"/>
        </w:rPr>
        <w:t>水土流失防治分区</w:t>
      </w:r>
      <w:r>
        <w:rPr>
          <w:rFonts w:hint="default" w:ascii="Times New Roman" w:hAnsi="Times New Roman" w:eastAsia="方正仿宋_GBK" w:cs="Times New Roman"/>
          <w:color w:val="auto"/>
          <w:sz w:val="32"/>
          <w:szCs w:val="32"/>
        </w:rPr>
        <w:t>划分为变电站间隔扩建工程、塔基工程、牵张场、跨越施工场地、施工道路5个一级防治区。</w:t>
      </w:r>
    </w:p>
    <w:p>
      <w:pPr>
        <w:pageBreakBefore w:val="0"/>
        <w:kinsoku/>
        <w:wordWrap/>
        <w:overflowPunct/>
        <w:topLinePunct w:val="0"/>
        <w:bidi w:val="0"/>
        <w:snapToGrid w:val="0"/>
        <w:spacing w:line="594" w:lineRule="exact"/>
        <w:ind w:left="0" w:leftChars="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w:t>
      </w:r>
      <w:r>
        <w:rPr>
          <w:rFonts w:hint="default" w:ascii="Times New Roman" w:hAnsi="Times New Roman" w:eastAsia="方正仿宋_GBK" w:cs="Times New Roman"/>
          <w:color w:val="auto"/>
          <w:sz w:val="32"/>
          <w:szCs w:val="32"/>
          <w:lang w:eastAsia="zh-CN"/>
        </w:rPr>
        <w:t>基本同意</w:t>
      </w:r>
      <w:r>
        <w:rPr>
          <w:rFonts w:hint="default" w:ascii="Times New Roman" w:hAnsi="Times New Roman" w:eastAsia="方正仿宋_GBK" w:cs="Times New Roman"/>
          <w:color w:val="auto"/>
          <w:sz w:val="32"/>
          <w:szCs w:val="32"/>
        </w:rPr>
        <w:t>主体工程设计的水土保持措施和方案新增的水土保持措施所组成的水土流失防治措施体系。</w:t>
      </w:r>
    </w:p>
    <w:p>
      <w:pPr>
        <w:pageBreakBefore w:val="0"/>
        <w:kinsoku/>
        <w:wordWrap/>
        <w:overflowPunct/>
        <w:topLinePunct w:val="0"/>
        <w:bidi w:val="0"/>
        <w:snapToGrid w:val="0"/>
        <w:spacing w:line="594" w:lineRule="exact"/>
        <w:ind w:left="0" w:leftChars="0" w:firstLine="640" w:firstLineChars="200"/>
        <w:jc w:val="lef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（三）</w:t>
      </w:r>
      <w:r>
        <w:rPr>
          <w:rFonts w:hint="default" w:ascii="Times New Roman" w:hAnsi="Times New Roman" w:eastAsia="方正仿宋_GBK" w:cs="Times New Roman"/>
          <w:color w:val="auto"/>
          <w:sz w:val="32"/>
          <w:szCs w:val="32"/>
          <w:lang w:eastAsia="zh-CN"/>
        </w:rPr>
        <w:t>基本</w:t>
      </w:r>
      <w:r>
        <w:rPr>
          <w:rFonts w:hint="default" w:ascii="Times New Roman" w:hAnsi="Times New Roman" w:eastAsia="方正仿宋_GBK" w:cs="Times New Roman"/>
          <w:color w:val="auto"/>
          <w:sz w:val="32"/>
          <w:szCs w:val="32"/>
        </w:rPr>
        <w:t>同意各防治区防治措施布局及方案新增水土保持措施</w:t>
      </w:r>
      <w:r>
        <w:rPr>
          <w:rFonts w:hint="default" w:ascii="Times New Roman" w:hAnsi="Times New Roman" w:eastAsia="方正仿宋_GBK" w:cs="Times New Roman"/>
          <w:color w:val="auto"/>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变电站间隔扩建工程防治区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施工期间</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采用彩条布对裸露地表及堆土进行临时遮盖</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施工后期</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恢复透水砖地坪和碎石地坪。</w:t>
      </w:r>
    </w:p>
    <w:p>
      <w:pPr>
        <w:pageBreakBefore w:val="0"/>
        <w:kinsoku/>
        <w:wordWrap/>
        <w:overflowPunct/>
        <w:topLinePunct w:val="0"/>
        <w:bidi w:val="0"/>
        <w:snapToGrid w:val="0"/>
        <w:spacing w:line="594" w:lineRule="exact"/>
        <w:ind w:left="0" w:leftChars="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塔基工程防治区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施工前，对塔基开挖区内表土进行剥离，临时堆放在塔基施工区域</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在陡坡区域（坡度</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25°）的堆土下坡侧使用填土编织袋临时拦挡，优先使用表土装袋</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施工过程中，在有汇水的塔基上边坡修建排水沟，并顺接周边自然排水系统</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在城兴线J020塔基下边坡修建浆砌石挡土墙，对塔基施工产生的临时堆土及表土采用填土编织袋拦挡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遇降雨时对临时堆土（含表土）及裸露区域采用彩条布遮盖，块石压脚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在未剥离表土的区域堆放砂石、水泥等材料的区域使用彩条布铺垫</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采用泥浆护壁机械成孔灌注桩基础施工时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在塔基施工场地设泥浆沉淀池对泥浆进行沉淀</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施工后期，</w:t>
      </w:r>
      <w:r>
        <w:rPr>
          <w:rFonts w:hint="default" w:ascii="Times New Roman" w:hAnsi="Times New Roman" w:eastAsia="方正仿宋_GBK" w:cs="Times New Roman"/>
          <w:color w:val="auto"/>
          <w:sz w:val="32"/>
          <w:szCs w:val="32"/>
          <w:lang w:eastAsia="zh-CN"/>
        </w:rPr>
        <w:t>进行</w:t>
      </w:r>
      <w:r>
        <w:rPr>
          <w:rFonts w:hint="default" w:ascii="Times New Roman" w:hAnsi="Times New Roman" w:eastAsia="方正仿宋_GBK" w:cs="Times New Roman"/>
          <w:color w:val="auto"/>
          <w:sz w:val="32"/>
          <w:szCs w:val="32"/>
        </w:rPr>
        <w:t>土地整治并拆除装填表土的编织袋，将表土（含堆放表土）回覆至剥离区域</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塔基永久占地采取撒播草籽进行植被恢复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对临时占用的耕地进行复耕，对临时占用的林地采取灌草形式恢复，对临时占用的草地采用撒播草籽的形式进行恢复，对临时占用的园地采用栽植果树的形式进行恢复。</w:t>
      </w:r>
    </w:p>
    <w:p>
      <w:pPr>
        <w:pageBreakBefore w:val="0"/>
        <w:kinsoku/>
        <w:wordWrap/>
        <w:overflowPunct/>
        <w:topLinePunct w:val="0"/>
        <w:bidi w:val="0"/>
        <w:snapToGrid w:val="0"/>
        <w:spacing w:line="594" w:lineRule="exact"/>
        <w:ind w:left="0" w:leftChars="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牵张场防治区</w:t>
      </w:r>
    </w:p>
    <w:p>
      <w:pPr>
        <w:pageBreakBefore w:val="0"/>
        <w:kinsoku/>
        <w:wordWrap/>
        <w:overflowPunct/>
        <w:topLinePunct w:val="0"/>
        <w:bidi w:val="0"/>
        <w:snapToGrid w:val="0"/>
        <w:spacing w:line="594" w:lineRule="exact"/>
        <w:ind w:left="0" w:leftChars="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施工前，</w:t>
      </w:r>
      <w:r>
        <w:rPr>
          <w:rFonts w:hint="default" w:ascii="Times New Roman" w:hAnsi="Times New Roman" w:eastAsia="方正仿宋_GBK" w:cs="Times New Roman"/>
          <w:color w:val="auto"/>
          <w:sz w:val="32"/>
          <w:szCs w:val="32"/>
          <w:lang w:eastAsia="zh-CN"/>
        </w:rPr>
        <w:t>对</w:t>
      </w:r>
      <w:r>
        <w:rPr>
          <w:rFonts w:hint="default" w:ascii="Times New Roman" w:hAnsi="Times New Roman" w:eastAsia="方正仿宋_GBK" w:cs="Times New Roman"/>
          <w:color w:val="auto"/>
          <w:sz w:val="32"/>
          <w:szCs w:val="32"/>
        </w:rPr>
        <w:t>占用的耕地、园地进行表土剥离</w:t>
      </w:r>
      <w:r>
        <w:rPr>
          <w:rFonts w:hint="default" w:ascii="Times New Roman" w:hAnsi="Times New Roman" w:eastAsia="方正仿宋_GBK" w:cs="Times New Roman"/>
          <w:color w:val="auto"/>
          <w:sz w:val="32"/>
          <w:szCs w:val="32"/>
          <w:lang w:eastAsia="zh-CN"/>
        </w:rPr>
        <w:t>，集中堆放于该区域内。</w:t>
      </w:r>
      <w:r>
        <w:rPr>
          <w:rFonts w:hint="default" w:ascii="Times New Roman" w:hAnsi="Times New Roman" w:eastAsia="方正仿宋_GBK" w:cs="Times New Roman"/>
          <w:color w:val="auto"/>
          <w:sz w:val="32"/>
          <w:szCs w:val="32"/>
        </w:rPr>
        <w:t>施工过程中，遇降雨时对场内临时堆土（含表土）及裸露区域采用彩条布进行遮盖</w:t>
      </w:r>
      <w:r>
        <w:rPr>
          <w:rFonts w:hint="default" w:ascii="Times New Roman" w:hAnsi="Times New Roman" w:eastAsia="方正仿宋_GBK" w:cs="Times New Roman"/>
          <w:color w:val="auto"/>
          <w:sz w:val="32"/>
          <w:szCs w:val="32"/>
          <w:lang w:eastAsia="zh-CN"/>
        </w:rPr>
        <w:t>、块石压脚。</w:t>
      </w:r>
      <w:r>
        <w:rPr>
          <w:rFonts w:hint="default" w:ascii="Times New Roman" w:hAnsi="Times New Roman" w:eastAsia="方正仿宋_GBK" w:cs="Times New Roman"/>
          <w:color w:val="auto"/>
          <w:sz w:val="32"/>
          <w:szCs w:val="32"/>
        </w:rPr>
        <w:t>施工后期，对占地进行土地整治，将剥离的表土全部回覆至剥离区域，对临时占用的耕地整治后复耕，对临时占用的园地种植果树恢复原有用地性质。</w:t>
      </w:r>
    </w:p>
    <w:p>
      <w:pPr>
        <w:pageBreakBefore w:val="0"/>
        <w:kinsoku/>
        <w:wordWrap/>
        <w:overflowPunct/>
        <w:topLinePunct w:val="0"/>
        <w:bidi w:val="0"/>
        <w:snapToGrid w:val="0"/>
        <w:spacing w:line="594" w:lineRule="exact"/>
        <w:ind w:left="0" w:leftChars="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跨越施工场地防治区</w:t>
      </w:r>
    </w:p>
    <w:p>
      <w:pPr>
        <w:pageBreakBefore w:val="0"/>
        <w:kinsoku/>
        <w:wordWrap/>
        <w:overflowPunct/>
        <w:topLinePunct w:val="0"/>
        <w:bidi w:val="0"/>
        <w:snapToGrid w:val="0"/>
        <w:spacing w:line="594" w:lineRule="exact"/>
        <w:ind w:left="0" w:leftChars="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施工前，对场地处于地锚坑区域的表土进行剥离</w:t>
      </w:r>
      <w:r>
        <w:rPr>
          <w:rFonts w:hint="default" w:ascii="Times New Roman" w:hAnsi="Times New Roman" w:eastAsia="方正仿宋_GBK" w:cs="Times New Roman"/>
          <w:color w:val="auto"/>
          <w:sz w:val="32"/>
          <w:szCs w:val="32"/>
          <w:lang w:eastAsia="zh-CN"/>
        </w:rPr>
        <w:t>，集中堆放于该区域内。</w:t>
      </w:r>
      <w:r>
        <w:rPr>
          <w:rFonts w:hint="default" w:ascii="Times New Roman" w:hAnsi="Times New Roman" w:eastAsia="方正仿宋_GBK" w:cs="Times New Roman"/>
          <w:color w:val="auto"/>
          <w:sz w:val="32"/>
          <w:szCs w:val="32"/>
        </w:rPr>
        <w:t>施工过程中，占地区域铺垫彩条布进行表土防护</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施工后期</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进行土地整治，将剥离的表土全部回覆至剥离区，对占用的耕地进行复耕。</w:t>
      </w:r>
    </w:p>
    <w:p>
      <w:pPr>
        <w:pageBreakBefore w:val="0"/>
        <w:kinsoku/>
        <w:wordWrap/>
        <w:overflowPunct/>
        <w:topLinePunct w:val="0"/>
        <w:bidi w:val="0"/>
        <w:snapToGrid w:val="0"/>
        <w:spacing w:line="594" w:lineRule="exact"/>
        <w:ind w:left="0" w:leftChars="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施工道路防治区</w:t>
      </w:r>
    </w:p>
    <w:p>
      <w:pPr>
        <w:pageBreakBefore w:val="0"/>
        <w:kinsoku/>
        <w:wordWrap/>
        <w:overflowPunct/>
        <w:topLinePunct w:val="0"/>
        <w:bidi w:val="0"/>
        <w:snapToGrid w:val="0"/>
        <w:spacing w:line="594" w:lineRule="exact"/>
        <w:ind w:left="0" w:leftChars="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施工前，对车行道路区域内的表土进行剥离，</w:t>
      </w:r>
      <w:r>
        <w:rPr>
          <w:rFonts w:hint="default" w:ascii="Times New Roman" w:hAnsi="Times New Roman" w:eastAsia="方正仿宋_GBK" w:cs="Times New Roman"/>
          <w:color w:val="auto"/>
          <w:sz w:val="32"/>
          <w:szCs w:val="32"/>
          <w:lang w:eastAsia="zh-CN"/>
        </w:rPr>
        <w:t>部分剥离表土</w:t>
      </w:r>
      <w:r>
        <w:rPr>
          <w:rFonts w:hint="default" w:ascii="Times New Roman" w:hAnsi="Times New Roman" w:eastAsia="方正仿宋_GBK" w:cs="Times New Roman"/>
          <w:color w:val="auto"/>
          <w:sz w:val="32"/>
          <w:szCs w:val="32"/>
        </w:rPr>
        <w:t>优先装袋用作道路堆土临时拦挡，</w:t>
      </w:r>
      <w:r>
        <w:rPr>
          <w:rFonts w:hint="default" w:ascii="Times New Roman" w:hAnsi="Times New Roman" w:eastAsia="方正仿宋_GBK" w:cs="Times New Roman"/>
          <w:color w:val="auto"/>
          <w:sz w:val="32"/>
          <w:szCs w:val="32"/>
          <w:lang w:eastAsia="zh-CN"/>
        </w:rPr>
        <w:t>其余</w:t>
      </w:r>
      <w:r>
        <w:rPr>
          <w:rFonts w:hint="default" w:ascii="Times New Roman" w:hAnsi="Times New Roman" w:eastAsia="方正仿宋_GBK" w:cs="Times New Roman"/>
          <w:color w:val="auto"/>
          <w:sz w:val="32"/>
          <w:szCs w:val="32"/>
        </w:rPr>
        <w:t>剥离表土就近堆放在塔基施工区或堆放在车行施工道路一侧</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施工过程中，在车行施工道路填方边坡坡脚布设填土编织袋挡土墙进行临时拦挡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在车行道路汇水侧布设临时排水沟</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并顺接周边自然排水系统</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道路临时裸露边坡及临时堆土采用彩条布遮盖；施工后期，对车行道路占地进行土地整治，拆出编织袋装的表土，并与其他表土一起回覆至表土剥离区域</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对人抬道路进行土地整治，占用的耕地进行复耕，占用的林地采取乔灌草的方式进行植被恢复，对占用的草地播撒草籽恢复植被，对占用的园地栽植果树进行恢复。</w:t>
      </w:r>
    </w:p>
    <w:p>
      <w:pPr>
        <w:pageBreakBefore w:val="0"/>
        <w:kinsoku/>
        <w:wordWrap/>
        <w:overflowPunct/>
        <w:topLinePunct w:val="0"/>
        <w:bidi w:val="0"/>
        <w:snapToGrid w:val="0"/>
        <w:spacing w:line="594" w:lineRule="exact"/>
        <w:ind w:left="0" w:leftChars="0" w:firstLine="640" w:firstLineChars="200"/>
        <w:jc w:val="left"/>
        <w:textAlignment w:val="auto"/>
        <w:rPr>
          <w:rFonts w:ascii="Times New Roman" w:hAnsi="Times New Roman" w:eastAsia="方正仿宋_GBK" w:cs="Times New Roman"/>
          <w:bCs/>
          <w:snapToGrid w:val="0"/>
          <w:color w:val="auto"/>
          <w:kern w:val="0"/>
          <w:sz w:val="32"/>
          <w:szCs w:val="32"/>
        </w:rPr>
      </w:pPr>
      <w:r>
        <w:rPr>
          <w:rFonts w:hint="default" w:ascii="Times New Roman" w:hAnsi="Times New Roman" w:eastAsia="方正仿宋_GBK" w:cs="Times New Roman"/>
          <w:color w:val="auto"/>
          <w:sz w:val="32"/>
          <w:szCs w:val="32"/>
        </w:rPr>
        <w:t>（四）基本同意水土保持施工组织设计及施工时间安排</w:t>
      </w:r>
      <w:r>
        <w:rPr>
          <w:rFonts w:ascii="Times New Roman" w:hAnsi="Times New Roman"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default" w:ascii="Times New Roman" w:hAnsi="Times New Roman" w:eastAsia="方正黑体_GBK" w:cs="Times New Roman"/>
          <w:bCs/>
          <w:snapToGrid w:val="0"/>
          <w:color w:val="auto"/>
          <w:kern w:val="0"/>
          <w:sz w:val="32"/>
          <w:szCs w:val="32"/>
        </w:rPr>
      </w:pPr>
      <w:r>
        <w:rPr>
          <w:rFonts w:hint="default" w:ascii="Times New Roman" w:hAnsi="Times New Roman" w:eastAsia="方正黑体_GBK" w:cs="Times New Roman"/>
          <w:bCs/>
          <w:snapToGrid w:val="0"/>
          <w:color w:val="auto"/>
          <w:kern w:val="0"/>
          <w:sz w:val="32"/>
          <w:szCs w:val="32"/>
        </w:rPr>
        <w:t>六</w:t>
      </w:r>
      <w:r>
        <w:rPr>
          <w:rFonts w:ascii="Times New Roman" w:hAnsi="Times New Roman" w:eastAsia="方正黑体_GBK" w:cs="Times New Roman"/>
          <w:bCs/>
          <w:snapToGrid w:val="0"/>
          <w:color w:val="auto"/>
          <w:kern w:val="0"/>
          <w:sz w:val="32"/>
          <w:szCs w:val="32"/>
        </w:rPr>
        <w:t>、</w:t>
      </w:r>
      <w:r>
        <w:rPr>
          <w:rFonts w:hint="default" w:ascii="Times New Roman" w:hAnsi="Times New Roman" w:eastAsia="方正黑体_GBK" w:cs="Times New Roman"/>
          <w:bCs/>
          <w:snapToGrid w:val="0"/>
          <w:color w:val="auto"/>
          <w:kern w:val="0"/>
          <w:sz w:val="32"/>
          <w:szCs w:val="32"/>
        </w:rPr>
        <w:t>水土保持监测</w:t>
      </w:r>
    </w:p>
    <w:p>
      <w:pPr>
        <w:pageBreakBefore w:val="0"/>
        <w:kinsoku/>
        <w:wordWrap/>
        <w:overflowPunct/>
        <w:topLinePunct w:val="0"/>
        <w:bidi w:val="0"/>
        <w:snapToGrid w:val="0"/>
        <w:spacing w:line="594" w:lineRule="exact"/>
        <w:ind w:left="0" w:leftChars="0" w:firstLine="640" w:firstLineChars="200"/>
        <w:jc w:val="left"/>
        <w:textAlignment w:val="auto"/>
        <w:rPr>
          <w:rFonts w:hint="default" w:ascii="Times New Roman" w:hAnsi="Times New Roman" w:eastAsia="方正仿宋_GBK" w:cs="Times New Roman"/>
          <w:bCs/>
          <w:snapToGrid w:val="0"/>
          <w:color w:val="auto"/>
          <w:kern w:val="0"/>
          <w:sz w:val="32"/>
          <w:szCs w:val="32"/>
        </w:rPr>
      </w:pPr>
      <w:r>
        <w:rPr>
          <w:rFonts w:ascii="Times New Roman" w:hAnsi="Times New Roman" w:eastAsia="方正仿宋_GBK" w:cs="Times New Roman"/>
          <w:bCs/>
          <w:snapToGrid w:val="0"/>
          <w:color w:val="auto"/>
          <w:kern w:val="0"/>
          <w:sz w:val="32"/>
          <w:szCs w:val="32"/>
        </w:rPr>
        <w:t>基本同意水土保持监测方案。</w:t>
      </w:r>
    </w:p>
    <w:p>
      <w:pPr>
        <w:pageBreakBefore w:val="0"/>
        <w:kinsoku/>
        <w:wordWrap/>
        <w:overflowPunct/>
        <w:topLinePunct w:val="0"/>
        <w:bidi w:val="0"/>
        <w:snapToGrid w:val="0"/>
        <w:spacing w:line="594" w:lineRule="exact"/>
        <w:ind w:left="0" w:leftChars="0" w:firstLine="640" w:firstLineChars="200"/>
        <w:jc w:val="left"/>
        <w:textAlignment w:val="auto"/>
        <w:rPr>
          <w:rFonts w:hint="default" w:ascii="Times New Roman" w:hAnsi="Times New Roman" w:eastAsia="方正黑体_GBK" w:cs="Times New Roman"/>
          <w:bCs/>
          <w:snapToGrid w:val="0"/>
          <w:color w:val="auto"/>
          <w:kern w:val="0"/>
          <w:sz w:val="32"/>
          <w:szCs w:val="32"/>
        </w:rPr>
      </w:pPr>
      <w:r>
        <w:rPr>
          <w:rFonts w:hint="default" w:ascii="Times New Roman" w:hAnsi="Times New Roman" w:eastAsia="方正黑体_GBK" w:cs="Times New Roman"/>
          <w:bCs/>
          <w:snapToGrid w:val="0"/>
          <w:color w:val="auto"/>
          <w:kern w:val="0"/>
          <w:sz w:val="32"/>
          <w:szCs w:val="32"/>
        </w:rPr>
        <w:t>七、水土保持投资</w:t>
      </w:r>
      <w:r>
        <w:rPr>
          <w:rFonts w:ascii="Times New Roman" w:hAnsi="Times New Roman" w:eastAsia="方正黑体_GBK" w:cs="Times New Roman"/>
          <w:bCs/>
          <w:snapToGrid w:val="0"/>
          <w:color w:val="auto"/>
          <w:kern w:val="0"/>
          <w:sz w:val="32"/>
          <w:szCs w:val="32"/>
        </w:rPr>
        <w:t>估算及效益分析</w:t>
      </w:r>
    </w:p>
    <w:p>
      <w:pPr>
        <w:pageBreakBefore w:val="0"/>
        <w:kinsoku/>
        <w:wordWrap/>
        <w:overflowPunct/>
        <w:topLinePunct w:val="0"/>
        <w:bidi w:val="0"/>
        <w:snapToGrid w:val="0"/>
        <w:spacing w:line="594" w:lineRule="exact"/>
        <w:ind w:left="0" w:leftChars="0" w:firstLine="640" w:firstLineChars="200"/>
        <w:jc w:val="left"/>
        <w:textAlignment w:val="auto"/>
        <w:rPr>
          <w:rFonts w:hint="default" w:ascii="Times New Roman" w:hAnsi="Times New Roman" w:eastAsia="方正仿宋_GBK" w:cs="Times New Roman"/>
          <w:bCs/>
          <w:snapToGrid w:val="0"/>
          <w:color w:val="auto"/>
          <w:kern w:val="0"/>
          <w:sz w:val="32"/>
          <w:szCs w:val="32"/>
        </w:rPr>
      </w:pPr>
      <w:r>
        <w:rPr>
          <w:rFonts w:hint="default" w:ascii="Times New Roman" w:hAnsi="Times New Roman" w:eastAsia="方正仿宋_GBK" w:cs="Times New Roman"/>
          <w:bCs/>
          <w:snapToGrid w:val="0"/>
          <w:color w:val="auto"/>
          <w:kern w:val="0"/>
          <w:sz w:val="32"/>
          <w:szCs w:val="32"/>
        </w:rPr>
        <w:t>（一）投资估算编制依据正确，费用及定额选择基本合理，编制深度基本满足规范要求。</w:t>
      </w:r>
    </w:p>
    <w:p>
      <w:pPr>
        <w:adjustRightInd w:val="0"/>
        <w:snapToGrid w:val="0"/>
        <w:spacing w:line="580" w:lineRule="exact"/>
        <w:ind w:firstLine="640" w:firstLineChars="200"/>
        <w:jc w:val="left"/>
        <w:rPr>
          <w:rFonts w:hint="default" w:ascii="Times New Roman" w:hAnsi="Times New Roman" w:eastAsia="方正仿宋_GBK" w:cs="Times New Roman"/>
          <w:bCs/>
          <w:snapToGrid w:val="0"/>
          <w:color w:val="auto"/>
          <w:kern w:val="0"/>
          <w:sz w:val="32"/>
          <w:szCs w:val="32"/>
        </w:rPr>
      </w:pPr>
      <w:r>
        <w:rPr>
          <w:rFonts w:hint="default" w:ascii="Times New Roman" w:hAnsi="Times New Roman" w:eastAsia="方正仿宋_GBK" w:cs="Times New Roman"/>
          <w:bCs/>
          <w:snapToGrid w:val="0"/>
          <w:color w:val="auto"/>
          <w:kern w:val="0"/>
          <w:sz w:val="32"/>
          <w:szCs w:val="32"/>
        </w:rPr>
        <w:t>（二）</w:t>
      </w:r>
      <w:r>
        <w:rPr>
          <w:rFonts w:hint="default" w:ascii="Times New Roman" w:hAnsi="Times New Roman" w:eastAsia="方正仿宋_GBK" w:cs="Times New Roman"/>
          <w:bCs/>
          <w:snapToGrid w:val="0"/>
          <w:color w:val="auto"/>
          <w:kern w:val="0"/>
          <w:sz w:val="32"/>
          <w:szCs w:val="32"/>
          <w:lang w:eastAsia="zh-CN"/>
        </w:rPr>
        <w:t>经审核，</w:t>
      </w:r>
      <w:r>
        <w:rPr>
          <w:rFonts w:hint="default" w:ascii="Times New Roman" w:hAnsi="Times New Roman" w:eastAsia="方正仿宋_GBK" w:cs="Times New Roman"/>
          <w:bCs/>
          <w:snapToGrid w:val="0"/>
          <w:color w:val="auto"/>
          <w:kern w:val="0"/>
          <w:sz w:val="32"/>
          <w:szCs w:val="32"/>
        </w:rPr>
        <w:t>水土保持</w:t>
      </w:r>
      <w:r>
        <w:rPr>
          <w:rFonts w:hint="default" w:ascii="Times New Roman" w:hAnsi="Times New Roman" w:eastAsia="方正仿宋_GBK" w:cs="Times New Roman"/>
          <w:bCs/>
          <w:snapToGrid w:val="0"/>
          <w:color w:val="auto"/>
          <w:kern w:val="0"/>
          <w:sz w:val="32"/>
          <w:szCs w:val="32"/>
          <w:lang w:eastAsia="zh-CN"/>
        </w:rPr>
        <w:t>方案静态</w:t>
      </w:r>
      <w:r>
        <w:rPr>
          <w:rFonts w:hint="default" w:ascii="Times New Roman" w:hAnsi="Times New Roman" w:eastAsia="方正仿宋_GBK" w:cs="Times New Roman"/>
          <w:bCs/>
          <w:snapToGrid w:val="0"/>
          <w:color w:val="auto"/>
          <w:kern w:val="0"/>
          <w:sz w:val="32"/>
          <w:szCs w:val="32"/>
        </w:rPr>
        <w:t>总投资</w:t>
      </w:r>
      <w:r>
        <w:rPr>
          <w:rFonts w:hint="default" w:ascii="Times New Roman" w:hAnsi="Times New Roman" w:eastAsia="方正仿宋_GBK" w:cs="Times New Roman"/>
          <w:sz w:val="32"/>
          <w:szCs w:val="32"/>
        </w:rPr>
        <w:t>416.16</w:t>
      </w:r>
      <w:r>
        <w:rPr>
          <w:rFonts w:hint="default" w:ascii="Times New Roman" w:hAnsi="Times New Roman" w:eastAsia="方正仿宋_GBK" w:cs="Times New Roman"/>
          <w:bCs/>
          <w:snapToGrid w:val="0"/>
          <w:color w:val="auto"/>
          <w:kern w:val="0"/>
          <w:sz w:val="32"/>
          <w:szCs w:val="32"/>
        </w:rPr>
        <w:t>万元，其中</w:t>
      </w:r>
      <w:r>
        <w:rPr>
          <w:rFonts w:hint="default" w:ascii="Times New Roman" w:hAnsi="Times New Roman" w:eastAsia="方正仿宋_GBK" w:cs="Times New Roman"/>
          <w:bCs/>
          <w:snapToGrid w:val="0"/>
          <w:color w:val="auto"/>
          <w:kern w:val="0"/>
          <w:sz w:val="32"/>
          <w:szCs w:val="32"/>
          <w:lang w:eastAsia="zh-CN"/>
        </w:rPr>
        <w:t>：</w:t>
      </w:r>
      <w:r>
        <w:rPr>
          <w:rFonts w:hint="default" w:ascii="Times New Roman" w:hAnsi="Times New Roman" w:eastAsia="方正仿宋_GBK" w:cs="Times New Roman"/>
          <w:sz w:val="32"/>
          <w:szCs w:val="32"/>
        </w:rPr>
        <w:t>主体已列150.80万元，方案投资265.36万元</w:t>
      </w:r>
      <w:r>
        <w:rPr>
          <w:rFonts w:hint="default" w:ascii="Times New Roman" w:hAnsi="Times New Roman" w:eastAsia="方正仿宋_GBK" w:cs="Times New Roman"/>
          <w:sz w:val="32"/>
          <w:szCs w:val="32"/>
          <w:lang w:eastAsia="zh-CN"/>
        </w:rPr>
        <w:t>（其中：</w:t>
      </w:r>
      <w:r>
        <w:rPr>
          <w:rFonts w:hint="default" w:ascii="Times New Roman" w:hAnsi="Times New Roman" w:eastAsia="方正仿宋_GBK" w:cs="Times New Roman"/>
          <w:sz w:val="32"/>
          <w:szCs w:val="32"/>
        </w:rPr>
        <w:t>工程措施4.06万元，监测措施22.88万元，</w:t>
      </w:r>
      <w:r>
        <w:rPr>
          <w:rFonts w:hint="default" w:ascii="Times New Roman" w:hAnsi="Times New Roman" w:eastAsia="方正仿宋_GBK" w:cs="Times New Roman"/>
          <w:sz w:val="32"/>
          <w:szCs w:val="32"/>
          <w:lang w:eastAsia="zh-CN"/>
        </w:rPr>
        <w:t>施工</w:t>
      </w:r>
      <w:r>
        <w:rPr>
          <w:rFonts w:hint="default" w:ascii="Times New Roman" w:hAnsi="Times New Roman" w:eastAsia="方正仿宋_GBK" w:cs="Times New Roman"/>
          <w:sz w:val="32"/>
          <w:szCs w:val="32"/>
        </w:rPr>
        <w:t>临时措施154.75万元，独立费用47.48万元，基本预备费13.75万元，水土保持补偿费22.442万元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ascii="Times New Roman" w:hAnsi="Times New Roman" w:eastAsia="方正仿宋_GBK" w:cs="Times New Roman"/>
          <w:bCs/>
          <w:snapToGrid w:val="0"/>
          <w:color w:val="auto"/>
          <w:kern w:val="0"/>
          <w:sz w:val="32"/>
          <w:szCs w:val="32"/>
        </w:rPr>
      </w:pPr>
      <w:r>
        <w:rPr>
          <w:rFonts w:hint="default" w:ascii="Times New Roman" w:hAnsi="Times New Roman" w:eastAsia="方正仿宋_GBK" w:cs="Times New Roman"/>
          <w:bCs/>
          <w:snapToGrid w:val="0"/>
          <w:color w:val="auto"/>
          <w:kern w:val="0"/>
          <w:sz w:val="32"/>
          <w:szCs w:val="32"/>
        </w:rPr>
        <w:t>（三）效益分析方法基本正确，分析结果基本合理</w:t>
      </w:r>
      <w:r>
        <w:rPr>
          <w:rFonts w:ascii="Times New Roman" w:hAnsi="Times New Roman"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default" w:ascii="Times New Roman" w:hAnsi="Times New Roman" w:eastAsia="方正黑体_GBK" w:cs="Times New Roman"/>
          <w:bCs/>
          <w:snapToGrid w:val="0"/>
          <w:color w:val="auto"/>
          <w:kern w:val="0"/>
          <w:sz w:val="32"/>
          <w:szCs w:val="32"/>
        </w:rPr>
      </w:pPr>
      <w:r>
        <w:rPr>
          <w:rFonts w:hint="default" w:ascii="Times New Roman" w:hAnsi="Times New Roman" w:eastAsia="方正黑体_GBK" w:cs="Times New Roman"/>
          <w:bCs/>
          <w:snapToGrid w:val="0"/>
          <w:color w:val="auto"/>
          <w:kern w:val="0"/>
          <w:sz w:val="32"/>
          <w:szCs w:val="32"/>
        </w:rPr>
        <w:t>八</w:t>
      </w:r>
      <w:r>
        <w:rPr>
          <w:rFonts w:ascii="Times New Roman" w:hAnsi="Times New Roman" w:eastAsia="方正黑体_GBK" w:cs="Times New Roman"/>
          <w:bCs/>
          <w:snapToGrid w:val="0"/>
          <w:color w:val="auto"/>
          <w:kern w:val="0"/>
          <w:sz w:val="32"/>
          <w:szCs w:val="32"/>
        </w:rPr>
        <w:t>、水土保持管理</w:t>
      </w:r>
    </w:p>
    <w:p>
      <w:pPr>
        <w:pageBreakBefore w:val="0"/>
        <w:kinsoku/>
        <w:wordWrap/>
        <w:overflowPunct/>
        <w:topLinePunct w:val="0"/>
        <w:bidi w:val="0"/>
        <w:snapToGrid w:val="0"/>
        <w:spacing w:line="594" w:lineRule="exact"/>
        <w:ind w:left="0" w:leftChars="0" w:firstLine="640" w:firstLineChars="200"/>
        <w:jc w:val="left"/>
        <w:textAlignment w:val="auto"/>
        <w:rPr>
          <w:rFonts w:hint="default" w:ascii="Times New Roman" w:hAnsi="Times New Roman" w:eastAsia="方正仿宋_GBK" w:cs="Times New Roman"/>
          <w:bCs/>
          <w:snapToGrid w:val="0"/>
          <w:color w:val="auto"/>
          <w:kern w:val="0"/>
          <w:sz w:val="32"/>
          <w:szCs w:val="32"/>
        </w:rPr>
      </w:pPr>
      <w:r>
        <w:rPr>
          <w:rFonts w:hint="default" w:ascii="Times New Roman" w:hAnsi="Times New Roman" w:eastAsia="方正仿宋_GBK" w:cs="Times New Roman"/>
          <w:bCs/>
          <w:snapToGrid w:val="0"/>
          <w:color w:val="auto"/>
          <w:kern w:val="0"/>
          <w:sz w:val="32"/>
          <w:szCs w:val="32"/>
        </w:rPr>
        <w:t>同意组织管理、后续设计、水土保持监测、水土保持监理、水土保持施工、水土保持设施验收等保障措施和要求。</w:t>
      </w:r>
    </w:p>
    <w:p>
      <w:pPr>
        <w:widowControl w:val="0"/>
        <w:autoSpaceDE w:val="0"/>
        <w:autoSpaceDN w:val="0"/>
        <w:adjustRightInd w:val="0"/>
        <w:rPr>
          <w:rFonts w:hint="default" w:ascii="Times New Roman" w:hAnsi="Times New Roman" w:eastAsia="宋体" w:cs="Times New Roman"/>
          <w:color w:val="FF0000"/>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line="600" w:lineRule="exact"/>
        <w:ind w:left="1598" w:leftChars="304" w:hanging="960" w:hangingChars="300"/>
        <w:textAlignment w:val="auto"/>
        <w:rPr>
          <w:rFonts w:hint="default" w:ascii="Times New Roman" w:hAnsi="Times New Roman" w:eastAsia="方正黑体_GBK" w:cs="Times New Roman"/>
          <w:color w:val="auto"/>
          <w:sz w:val="24"/>
          <w:szCs w:val="24"/>
        </w:rPr>
      </w:pPr>
      <w:r>
        <w:rPr>
          <w:rFonts w:ascii="Times New Roman" w:hAnsi="Times New Roman" w:eastAsia="方正仿宋_GBK" w:cs="Times New Roman"/>
          <w:color w:val="auto"/>
          <w:sz w:val="32"/>
          <w:szCs w:val="32"/>
        </w:rPr>
        <w:t>附</w:t>
      </w:r>
      <w:r>
        <w:rPr>
          <w:rFonts w:hint="default" w:ascii="Times New Roman" w:hAnsi="Times New Roman" w:eastAsia="方正仿宋_GBK" w:cs="Times New Roman"/>
          <w:color w:val="auto"/>
          <w:sz w:val="32"/>
          <w:szCs w:val="32"/>
        </w:rPr>
        <w:t>件</w:t>
      </w:r>
      <w:r>
        <w:rPr>
          <w:rFonts w:ascii="Times New Roman" w:hAnsi="Times New Roman" w:eastAsia="方正仿宋_GBK" w:cs="Times New Roman"/>
          <w:color w:val="auto"/>
          <w:sz w:val="32"/>
          <w:szCs w:val="32"/>
        </w:rPr>
        <w:t>：</w:t>
      </w:r>
      <w:r>
        <w:rPr>
          <w:rFonts w:hint="default" w:ascii="Times New Roman" w:hAnsi="Times New Roman" w:eastAsia="方正仿宋_GBK" w:cs="Times New Roman"/>
          <w:bCs/>
          <w:color w:val="auto"/>
          <w:sz w:val="32"/>
          <w:szCs w:val="32"/>
          <w:lang w:eastAsia="zh-CN"/>
        </w:rPr>
        <w:t>成达万高铁重庆中兴牵220千伏外部供电工程</w:t>
      </w:r>
      <w:r>
        <w:rPr>
          <w:rFonts w:hint="default" w:ascii="Times New Roman" w:hAnsi="Times New Roman" w:eastAsia="方正仿宋_GBK" w:cs="Times New Roman"/>
          <w:bCs/>
          <w:color w:val="auto"/>
          <w:sz w:val="32"/>
          <w:szCs w:val="32"/>
        </w:rPr>
        <w:t>水土保持方案投资估算</w:t>
      </w:r>
      <w:r>
        <w:rPr>
          <w:rFonts w:hint="default" w:ascii="Times New Roman" w:hAnsi="Times New Roman" w:eastAsia="方正仿宋_GBK" w:cs="Times New Roman"/>
          <w:color w:val="auto"/>
          <w:sz w:val="32"/>
          <w:szCs w:val="32"/>
        </w:rPr>
        <w:t>审核表</w:t>
      </w:r>
    </w:p>
    <w:p>
      <w:pPr>
        <w:widowControl/>
        <w:spacing w:line="600" w:lineRule="exact"/>
        <w:ind w:left="1380" w:leftChars="200" w:hanging="960" w:hangingChars="3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kern w:val="2"/>
          <w:sz w:val="32"/>
          <w:szCs w:val="32"/>
          <w:lang w:val="en-US" w:eastAsia="zh-CN"/>
        </w:rPr>
        <w:t xml:space="preserve">                        </w:t>
      </w:r>
      <w:r>
        <w:rPr>
          <w:rFonts w:ascii="Times New Roman" w:hAnsi="Times New Roman" w:eastAsia="方正仿宋_GBK" w:cs="Times New Roman"/>
          <w:color w:val="auto"/>
          <w:sz w:val="32"/>
          <w:szCs w:val="32"/>
        </w:rPr>
        <w:t xml:space="preserve"> </w:t>
      </w:r>
    </w:p>
    <w:p>
      <w:pPr>
        <w:pStyle w:val="2"/>
      </w:pPr>
    </w:p>
    <w:p>
      <w:pPr>
        <w:widowControl/>
        <w:spacing w:line="600" w:lineRule="exact"/>
        <w:jc w:val="center"/>
        <w:rPr>
          <w:rFonts w:hint="eastAsia" w:ascii="Times New Roman" w:hAnsi="Times New Roman" w:eastAsia="方正仿宋_GBK" w:cs="Times New Roman"/>
          <w:color w:val="auto"/>
          <w:sz w:val="32"/>
          <w:szCs w:val="32"/>
          <w:lang w:eastAsia="zh-CN"/>
        </w:rPr>
      </w:pPr>
      <w:r>
        <w:rPr>
          <w:rFonts w:ascii="等线" w:hAnsi="等线" w:eastAsia="等线" w:cs="Times New Roman"/>
          <w:sz w:val="21"/>
          <w:szCs w:val="22"/>
        </w:rPr>
        <w:drawing>
          <wp:anchor distT="0" distB="0" distL="114300" distR="114300" simplePos="0" relativeHeight="251659264" behindDoc="0" locked="0" layoutInCell="1" allowOverlap="0">
            <wp:simplePos x="0" y="0"/>
            <wp:positionH relativeFrom="column">
              <wp:posOffset>4629150</wp:posOffset>
            </wp:positionH>
            <wp:positionV relativeFrom="paragraph">
              <wp:posOffset>31750</wp:posOffset>
            </wp:positionV>
            <wp:extent cx="715010" cy="386080"/>
            <wp:effectExtent l="0" t="0" r="1270" b="1016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rcRect l="11549" t="24515" r="17505" b="17140"/>
                    <a:stretch>
                      <a:fillRect/>
                    </a:stretch>
                  </pic:blipFill>
                  <pic:spPr>
                    <a:xfrm>
                      <a:off x="0" y="0"/>
                      <a:ext cx="715010" cy="386080"/>
                    </a:xfrm>
                    <a:prstGeom prst="rect">
                      <a:avLst/>
                    </a:prstGeom>
                    <a:noFill/>
                    <a:ln>
                      <a:noFill/>
                    </a:ln>
                  </pic:spPr>
                </pic:pic>
              </a:graphicData>
            </a:graphic>
          </wp:anchor>
        </w:drawing>
      </w:r>
      <w:r>
        <w:rPr>
          <w:rFonts w:hint="eastAsia" w:ascii="Times New Roman" w:hAnsi="Times New Roman" w:eastAsia="方正仿宋_GBK" w:cs="Times New Roman"/>
          <w:color w:val="auto"/>
          <w:sz w:val="32"/>
          <w:szCs w:val="32"/>
          <w:lang w:val="en-US" w:eastAsia="zh-CN"/>
        </w:rPr>
        <w:t xml:space="preserve">                        </w:t>
      </w:r>
      <w:r>
        <w:rPr>
          <w:rFonts w:ascii="Times New Roman" w:hAnsi="Times New Roman" w:eastAsia="方正仿宋_GBK" w:cs="Times New Roman"/>
          <w:color w:val="auto"/>
          <w:sz w:val="32"/>
          <w:szCs w:val="32"/>
        </w:rPr>
        <w:t>专家组组长</w:t>
      </w:r>
      <w:r>
        <w:rPr>
          <w:rFonts w:hint="eastAsia" w:ascii="Times New Roman" w:hAnsi="Times New Roman" w:eastAsia="方正仿宋_GBK" w:cs="Times New Roman"/>
          <w:color w:val="auto"/>
          <w:sz w:val="32"/>
          <w:szCs w:val="32"/>
          <w:lang w:eastAsia="zh-CN"/>
        </w:rPr>
        <w:t>：</w:t>
      </w:r>
    </w:p>
    <w:p>
      <w:pPr>
        <w:widowControl/>
        <w:spacing w:line="600" w:lineRule="exact"/>
        <w:ind w:left="1378" w:leftChars="656" w:firstLine="4160" w:firstLineChars="1300"/>
        <w:rPr>
          <w:rFonts w:hint="eastAsia"/>
          <w:color w:val="auto"/>
        </w:rPr>
        <w:sectPr>
          <w:footerReference r:id="rId3" w:type="default"/>
          <w:footerReference r:id="rId4" w:type="even"/>
          <w:pgSz w:w="11906" w:h="16838"/>
          <w:pgMar w:top="1985" w:right="1446" w:bottom="1684" w:left="1446" w:header="851" w:footer="992" w:gutter="0"/>
          <w:pgBorders>
            <w:top w:val="none" w:sz="0" w:space="0"/>
            <w:left w:val="none" w:sz="0" w:space="0"/>
            <w:bottom w:val="none" w:sz="0" w:space="0"/>
            <w:right w:val="none" w:sz="0" w:space="0"/>
          </w:pgBorders>
          <w:cols w:space="720" w:num="1"/>
          <w:docGrid w:linePitch="381" w:charSpace="0"/>
        </w:sectPr>
      </w:pPr>
      <w:r>
        <w:rPr>
          <w:rFonts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 w:eastAsia="zh-CN"/>
        </w:rPr>
        <w:t>5</w:t>
      </w:r>
      <w:r>
        <w:rPr>
          <w:rFonts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12</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9</w:t>
      </w:r>
      <w:r>
        <w:rPr>
          <w:rFonts w:ascii="Times New Roman" w:hAnsi="Times New Roman" w:eastAsia="方正仿宋_GBK" w:cs="Times New Roman"/>
          <w:color w:val="auto"/>
          <w:sz w:val="32"/>
          <w:szCs w:val="32"/>
        </w:rPr>
        <w:t>日</w:t>
      </w:r>
    </w:p>
    <w:p>
      <w:pPr>
        <w:spacing w:line="400" w:lineRule="exact"/>
        <w:rPr>
          <w:rFonts w:hint="eastAsia" w:ascii="方正黑体简体" w:hAnsi="方正黑体简体" w:eastAsia="方正黑体简体" w:cs="方正黑体简体"/>
          <w:color w:val="auto"/>
          <w:kern w:val="0"/>
          <w:sz w:val="32"/>
          <w:szCs w:val="32"/>
          <w:lang w:bidi="ar"/>
        </w:rPr>
      </w:pPr>
      <w:r>
        <w:rPr>
          <w:rFonts w:hint="eastAsia" w:ascii="方正黑体简体" w:hAnsi="方正黑体简体" w:eastAsia="方正黑体简体" w:cs="方正黑体简体"/>
          <w:color w:val="auto"/>
          <w:sz w:val="32"/>
          <w:szCs w:val="32"/>
        </w:rPr>
        <w:t>附件</w:t>
      </w:r>
    </w:p>
    <w:p>
      <w:pPr>
        <w:spacing w:line="400" w:lineRule="exact"/>
        <w:jc w:val="center"/>
        <w:rPr>
          <w:rFonts w:hint="eastAsia" w:ascii="Times New Roman" w:hAnsi="Times New Roman" w:eastAsia="方正小标宋_GBK" w:cs="Times New Roman"/>
          <w:bCs/>
          <w:color w:val="auto"/>
          <w:sz w:val="36"/>
          <w:szCs w:val="36"/>
          <w:lang w:eastAsia="zh-CN"/>
        </w:rPr>
      </w:pPr>
    </w:p>
    <w:p>
      <w:pPr>
        <w:spacing w:line="400" w:lineRule="exact"/>
        <w:jc w:val="center"/>
        <w:rPr>
          <w:rFonts w:hint="eastAsia" w:ascii="Times New Roman" w:hAnsi="Times New Roman" w:eastAsia="方正小标宋_GBK" w:cs="Times New Roman"/>
          <w:bCs/>
          <w:color w:val="auto"/>
          <w:sz w:val="36"/>
          <w:szCs w:val="36"/>
          <w:lang w:eastAsia="zh-CN"/>
        </w:rPr>
      </w:pPr>
      <w:r>
        <w:rPr>
          <w:rFonts w:hint="eastAsia" w:ascii="Times New Roman" w:hAnsi="Times New Roman" w:eastAsia="方正小标宋_GBK" w:cs="Times New Roman"/>
          <w:bCs/>
          <w:color w:val="auto"/>
          <w:sz w:val="36"/>
          <w:szCs w:val="36"/>
          <w:lang w:eastAsia="zh-CN"/>
        </w:rPr>
        <w:t>成达万高铁重庆中兴牵220千伏外部供电工程</w:t>
      </w:r>
    </w:p>
    <w:p>
      <w:pPr>
        <w:spacing w:line="400" w:lineRule="exact"/>
        <w:jc w:val="center"/>
        <w:rPr>
          <w:rFonts w:hint="default" w:ascii="Times New Roman" w:hAnsi="Times New Roman" w:eastAsia="方正小标宋_GBK" w:cs="Times New Roman"/>
          <w:bCs/>
          <w:color w:val="auto"/>
          <w:sz w:val="36"/>
          <w:szCs w:val="36"/>
        </w:rPr>
      </w:pPr>
      <w:r>
        <w:rPr>
          <w:rFonts w:hint="default" w:ascii="Times New Roman" w:hAnsi="Times New Roman" w:eastAsia="方正小标宋_GBK" w:cs="Times New Roman"/>
          <w:bCs/>
          <w:color w:val="auto"/>
          <w:sz w:val="36"/>
          <w:szCs w:val="36"/>
        </w:rPr>
        <w:t>水土保持方案投资估算审核表</w:t>
      </w:r>
    </w:p>
    <w:p>
      <w:pPr>
        <w:jc w:val="right"/>
        <w:rPr>
          <w:rFonts w:ascii="Times New Roman" w:hAnsi="Times New Roman" w:eastAsia="方正仿宋_GBK" w:cs="Times New Roman"/>
          <w:kern w:val="0"/>
          <w:sz w:val="21"/>
          <w:szCs w:val="21"/>
          <w:lang w:bidi="ar"/>
        </w:rPr>
      </w:pPr>
      <w:r>
        <w:rPr>
          <w:rFonts w:ascii="Times New Roman" w:hAnsi="Times New Roman" w:eastAsia="方正仿宋_GBK" w:cs="Times New Roman"/>
          <w:kern w:val="0"/>
          <w:sz w:val="21"/>
          <w:szCs w:val="21"/>
          <w:lang w:bidi="ar"/>
        </w:rPr>
        <w:t>单位：万元</w:t>
      </w:r>
    </w:p>
    <w:tbl>
      <w:tblPr>
        <w:tblStyle w:val="9"/>
        <w:tblW w:w="5104"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396"/>
        <w:gridCol w:w="2918"/>
        <w:gridCol w:w="1468"/>
        <w:gridCol w:w="1412"/>
        <w:gridCol w:w="1560"/>
        <w:gridCol w:w="166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vMerge w:val="restart"/>
            <w:tcBorders>
              <w:tl2br w:val="nil"/>
              <w:tr2bl w:val="nil"/>
            </w:tcBorders>
            <w:shd w:val="clear" w:color="auto" w:fill="auto"/>
            <w:noWrap w:val="0"/>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序号</w:t>
            </w:r>
          </w:p>
        </w:tc>
        <w:tc>
          <w:tcPr>
            <w:tcW w:w="1548" w:type="pct"/>
            <w:vMerge w:val="restart"/>
            <w:tcBorders>
              <w:tl2br w:val="nil"/>
              <w:tr2bl w:val="nil"/>
            </w:tcBorders>
            <w:shd w:val="clear" w:color="auto" w:fill="auto"/>
            <w:noWrap w:val="0"/>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工程或费用名称</w:t>
            </w:r>
          </w:p>
        </w:tc>
        <w:tc>
          <w:tcPr>
            <w:tcW w:w="2356" w:type="pct"/>
            <w:gridSpan w:val="3"/>
            <w:tcBorders>
              <w:tl2br w:val="nil"/>
              <w:tr2bl w:val="nil"/>
            </w:tcBorders>
            <w:noWrap w:val="0"/>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审核投资</w:t>
            </w:r>
          </w:p>
        </w:tc>
        <w:tc>
          <w:tcPr>
            <w:tcW w:w="885" w:type="pct"/>
            <w:vMerge w:val="restart"/>
            <w:tcBorders>
              <w:tl2br w:val="nil"/>
              <w:tr2bl w:val="nil"/>
            </w:tcBorders>
            <w:noWrap w:val="0"/>
            <w:vAlign w:val="center"/>
          </w:tcPr>
          <w:p>
            <w:pPr>
              <w:widowControl/>
              <w:jc w:val="center"/>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kern w:val="0"/>
                <w:sz w:val="21"/>
                <w:szCs w:val="21"/>
                <w:lang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vMerge w:val="continue"/>
            <w:tcBorders>
              <w:tl2br w:val="nil"/>
              <w:tr2bl w:val="nil"/>
            </w:tcBorders>
            <w:noWrap w:val="0"/>
            <w:vAlign w:val="center"/>
          </w:tcPr>
          <w:p>
            <w:pPr>
              <w:jc w:val="center"/>
              <w:rPr>
                <w:rFonts w:hint="eastAsia" w:asciiTheme="minorEastAsia" w:hAnsiTheme="minorEastAsia" w:eastAsiaTheme="minorEastAsia" w:cstheme="minorEastAsia"/>
                <w:color w:val="000000"/>
                <w:sz w:val="21"/>
                <w:szCs w:val="21"/>
              </w:rPr>
            </w:pPr>
          </w:p>
        </w:tc>
        <w:tc>
          <w:tcPr>
            <w:tcW w:w="1548" w:type="pct"/>
            <w:vMerge w:val="continue"/>
            <w:tcBorders>
              <w:tl2br w:val="nil"/>
              <w:tr2bl w:val="nil"/>
            </w:tcBorders>
            <w:noWrap w:val="0"/>
            <w:vAlign w:val="center"/>
          </w:tcPr>
          <w:p>
            <w:pPr>
              <w:jc w:val="center"/>
              <w:rPr>
                <w:rFonts w:hint="eastAsia" w:asciiTheme="minorEastAsia" w:hAnsiTheme="minorEastAsia" w:eastAsiaTheme="minorEastAsia" w:cstheme="minorEastAsia"/>
                <w:color w:val="000000"/>
                <w:sz w:val="21"/>
                <w:szCs w:val="21"/>
              </w:rPr>
            </w:pPr>
          </w:p>
        </w:tc>
        <w:tc>
          <w:tcPr>
            <w:tcW w:w="779" w:type="pct"/>
            <w:tcBorders>
              <w:tl2br w:val="nil"/>
              <w:tr2bl w:val="nil"/>
            </w:tcBorders>
            <w:noWrap w:val="0"/>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方案新增</w:t>
            </w:r>
          </w:p>
        </w:tc>
        <w:tc>
          <w:tcPr>
            <w:tcW w:w="749" w:type="pct"/>
            <w:tcBorders>
              <w:tl2br w:val="nil"/>
              <w:tr2bl w:val="nil"/>
            </w:tcBorders>
            <w:noWrap w:val="0"/>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主体已列</w:t>
            </w:r>
          </w:p>
        </w:tc>
        <w:tc>
          <w:tcPr>
            <w:tcW w:w="827" w:type="pct"/>
            <w:tcBorders>
              <w:tl2br w:val="nil"/>
              <w:tr2bl w:val="nil"/>
            </w:tcBorders>
            <w:noWrap w:val="0"/>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合计</w:t>
            </w:r>
          </w:p>
        </w:tc>
        <w:tc>
          <w:tcPr>
            <w:tcW w:w="885" w:type="pct"/>
            <w:vMerge w:val="continue"/>
            <w:tcBorders>
              <w:tl2br w:val="nil"/>
              <w:tr2bl w:val="nil"/>
            </w:tcBorders>
            <w:noWrap w:val="0"/>
            <w:vAlign w:val="center"/>
          </w:tcPr>
          <w:p>
            <w:pPr>
              <w:jc w:val="center"/>
              <w:rPr>
                <w:rFonts w:hint="eastAsia" w:asciiTheme="minorEastAsia" w:hAnsiTheme="minorEastAsia" w:eastAsiaTheme="minorEastAsia" w:cstheme="minorEastAsia"/>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tcBorders>
              <w:tl2br w:val="nil"/>
              <w:tr2bl w:val="nil"/>
            </w:tcBorders>
            <w:noWrap/>
            <w:vAlign w:val="center"/>
          </w:tcPr>
          <w:p>
            <w:pPr>
              <w:jc w:val="center"/>
              <w:rPr>
                <w:rFonts w:hint="eastAsia" w:asciiTheme="minorEastAsia" w:hAnsiTheme="minorEastAsia" w:eastAsiaTheme="minorEastAsia" w:cstheme="minorEastAsia"/>
                <w:b/>
                <w:bCs/>
                <w:color w:val="000000"/>
                <w:sz w:val="21"/>
                <w:szCs w:val="21"/>
              </w:rPr>
            </w:pPr>
          </w:p>
        </w:tc>
        <w:tc>
          <w:tcPr>
            <w:tcW w:w="1548" w:type="pct"/>
            <w:tcBorders>
              <w:tl2br w:val="nil"/>
              <w:tr2bl w:val="nil"/>
            </w:tcBorders>
            <w:noWrap/>
            <w:vAlign w:val="center"/>
          </w:tcPr>
          <w:p>
            <w:pPr>
              <w:widowControl/>
              <w:jc w:val="left"/>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第一部分：工程措施</w:t>
            </w:r>
          </w:p>
        </w:tc>
        <w:tc>
          <w:tcPr>
            <w:tcW w:w="779" w:type="pct"/>
            <w:tcBorders>
              <w:tl2br w:val="nil"/>
              <w:tr2bl w:val="nil"/>
            </w:tcBorders>
            <w:noWrap w:val="0"/>
            <w:vAlign w:val="center"/>
          </w:tcPr>
          <w:p>
            <w:pPr>
              <w:widowControl/>
              <w:jc w:val="center"/>
              <w:textAlignment w:val="center"/>
              <w:rPr>
                <w:rFonts w:hint="default" w:ascii="Times New Roman" w:hAnsi="Times New Roman" w:cs="Times New Roman" w:eastAsiaTheme="minorEastAsia"/>
                <w:b/>
                <w:bCs/>
                <w:color w:val="000000"/>
                <w:sz w:val="21"/>
                <w:szCs w:val="21"/>
              </w:rPr>
            </w:pPr>
            <w:r>
              <w:rPr>
                <w:rFonts w:hint="default" w:ascii="Times New Roman" w:hAnsi="Times New Roman" w:cs="Times New Roman" w:eastAsiaTheme="minorEastAsia"/>
                <w:b/>
                <w:bCs/>
                <w:color w:val="000000"/>
                <w:kern w:val="0"/>
                <w:sz w:val="21"/>
                <w:szCs w:val="21"/>
                <w:lang w:bidi="ar"/>
              </w:rPr>
              <w:t xml:space="preserve">4.06 </w:t>
            </w:r>
          </w:p>
        </w:tc>
        <w:tc>
          <w:tcPr>
            <w:tcW w:w="749" w:type="pct"/>
            <w:tcBorders>
              <w:tl2br w:val="nil"/>
              <w:tr2bl w:val="nil"/>
            </w:tcBorders>
            <w:noWrap w:val="0"/>
            <w:vAlign w:val="center"/>
          </w:tcPr>
          <w:p>
            <w:pPr>
              <w:widowControl/>
              <w:jc w:val="center"/>
              <w:textAlignment w:val="center"/>
              <w:rPr>
                <w:rFonts w:hint="default" w:ascii="Times New Roman" w:hAnsi="Times New Roman" w:cs="Times New Roman" w:eastAsiaTheme="minorEastAsia"/>
                <w:b/>
                <w:bCs/>
                <w:color w:val="000000"/>
                <w:sz w:val="21"/>
                <w:szCs w:val="21"/>
              </w:rPr>
            </w:pPr>
            <w:r>
              <w:rPr>
                <w:rFonts w:hint="default" w:ascii="Times New Roman" w:hAnsi="Times New Roman" w:cs="Times New Roman" w:eastAsiaTheme="minorEastAsia"/>
                <w:b/>
                <w:bCs/>
                <w:color w:val="000000"/>
                <w:kern w:val="0"/>
                <w:sz w:val="21"/>
                <w:szCs w:val="21"/>
                <w:lang w:bidi="ar"/>
              </w:rPr>
              <w:t xml:space="preserve">117.29 </w:t>
            </w:r>
          </w:p>
        </w:tc>
        <w:tc>
          <w:tcPr>
            <w:tcW w:w="827" w:type="pct"/>
            <w:tcBorders>
              <w:tl2br w:val="nil"/>
              <w:tr2bl w:val="nil"/>
            </w:tcBorders>
            <w:noWrap w:val="0"/>
            <w:vAlign w:val="center"/>
          </w:tcPr>
          <w:p>
            <w:pPr>
              <w:widowControl/>
              <w:jc w:val="center"/>
              <w:textAlignment w:val="center"/>
              <w:rPr>
                <w:rFonts w:hint="default" w:ascii="Times New Roman" w:hAnsi="Times New Roman" w:cs="Times New Roman" w:eastAsiaTheme="minorEastAsia"/>
                <w:b/>
                <w:bCs/>
                <w:color w:val="000000"/>
                <w:sz w:val="21"/>
                <w:szCs w:val="21"/>
              </w:rPr>
            </w:pPr>
            <w:r>
              <w:rPr>
                <w:rFonts w:hint="default" w:ascii="Times New Roman" w:hAnsi="Times New Roman" w:cs="Times New Roman" w:eastAsiaTheme="minorEastAsia"/>
                <w:b/>
                <w:bCs/>
                <w:color w:val="000000"/>
                <w:kern w:val="0"/>
                <w:sz w:val="21"/>
                <w:szCs w:val="21"/>
                <w:lang w:bidi="ar"/>
              </w:rPr>
              <w:t xml:space="preserve">121.35 </w:t>
            </w:r>
          </w:p>
        </w:tc>
        <w:tc>
          <w:tcPr>
            <w:tcW w:w="885" w:type="pct"/>
            <w:tcBorders>
              <w:tl2br w:val="nil"/>
              <w:tr2bl w:val="nil"/>
            </w:tcBorders>
            <w:noWrap/>
            <w:vAlign w:val="center"/>
          </w:tcPr>
          <w:p>
            <w:pPr>
              <w:widowControl/>
              <w:jc w:val="center"/>
              <w:textAlignment w:val="center"/>
              <w:rPr>
                <w:rFonts w:hint="default" w:ascii="Times New Roman" w:hAnsi="Times New Roman" w:cs="Times New Roman" w:eastAsiaTheme="minorEastAsia"/>
                <w:b/>
                <w:bCs/>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tcBorders>
              <w:tl2br w:val="nil"/>
              <w:tr2bl w:val="nil"/>
            </w:tcBorders>
            <w:noWrap/>
            <w:vAlign w:val="bottom"/>
          </w:tcPr>
          <w:p>
            <w:pPr>
              <w:widowControl/>
              <w:jc w:val="center"/>
              <w:textAlignment w:val="bottom"/>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1548" w:type="pct"/>
            <w:tcBorders>
              <w:tl2br w:val="nil"/>
              <w:tr2bl w:val="nil"/>
            </w:tcBorders>
            <w:noWrap/>
            <w:vAlign w:val="bottom"/>
          </w:tcPr>
          <w:p>
            <w:pPr>
              <w:widowControl/>
              <w:jc w:val="left"/>
              <w:textAlignment w:val="bottom"/>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变电站间隔扩建工程防治区</w:t>
            </w:r>
          </w:p>
        </w:tc>
        <w:tc>
          <w:tcPr>
            <w:tcW w:w="779" w:type="pct"/>
            <w:tcBorders>
              <w:tl2br w:val="nil"/>
              <w:tr2bl w:val="nil"/>
            </w:tcBorders>
            <w:noWrap/>
            <w:vAlign w:val="center"/>
          </w:tcPr>
          <w:p>
            <w:pPr>
              <w:jc w:val="center"/>
              <w:rPr>
                <w:rFonts w:hint="default" w:ascii="Times New Roman" w:hAnsi="Times New Roman" w:cs="Times New Roman" w:eastAsiaTheme="minorEastAsia"/>
                <w:color w:val="000000"/>
                <w:sz w:val="21"/>
                <w:szCs w:val="21"/>
              </w:rPr>
            </w:pPr>
          </w:p>
        </w:tc>
        <w:tc>
          <w:tcPr>
            <w:tcW w:w="749"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1.35 </w:t>
            </w:r>
          </w:p>
        </w:tc>
        <w:tc>
          <w:tcPr>
            <w:tcW w:w="827" w:type="pct"/>
            <w:tcBorders>
              <w:tl2br w:val="nil"/>
              <w:tr2bl w:val="nil"/>
            </w:tcBorders>
            <w:noWrap w:val="0"/>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1.35 </w:t>
            </w:r>
          </w:p>
        </w:tc>
        <w:tc>
          <w:tcPr>
            <w:tcW w:w="885"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tcBorders>
              <w:tl2br w:val="nil"/>
              <w:tr2bl w:val="nil"/>
            </w:tcBorders>
            <w:noWrap/>
            <w:vAlign w:val="bottom"/>
          </w:tcPr>
          <w:p>
            <w:pPr>
              <w:widowControl/>
              <w:jc w:val="center"/>
              <w:textAlignment w:val="bottom"/>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1548" w:type="pct"/>
            <w:tcBorders>
              <w:tl2br w:val="nil"/>
              <w:tr2bl w:val="nil"/>
            </w:tcBorders>
            <w:noWrap/>
            <w:vAlign w:val="bottom"/>
          </w:tcPr>
          <w:p>
            <w:pPr>
              <w:widowControl/>
              <w:jc w:val="left"/>
              <w:textAlignment w:val="bottom"/>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塔基工程防治区</w:t>
            </w:r>
          </w:p>
        </w:tc>
        <w:tc>
          <w:tcPr>
            <w:tcW w:w="779"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4.06 </w:t>
            </w:r>
          </w:p>
        </w:tc>
        <w:tc>
          <w:tcPr>
            <w:tcW w:w="749"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80.38 </w:t>
            </w:r>
          </w:p>
        </w:tc>
        <w:tc>
          <w:tcPr>
            <w:tcW w:w="827" w:type="pct"/>
            <w:tcBorders>
              <w:tl2br w:val="nil"/>
              <w:tr2bl w:val="nil"/>
            </w:tcBorders>
            <w:noWrap w:val="0"/>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84.44 </w:t>
            </w:r>
          </w:p>
        </w:tc>
        <w:tc>
          <w:tcPr>
            <w:tcW w:w="885"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tcBorders>
              <w:tl2br w:val="nil"/>
              <w:tr2bl w:val="nil"/>
            </w:tcBorders>
            <w:noWrap/>
            <w:vAlign w:val="bottom"/>
          </w:tcPr>
          <w:p>
            <w:pPr>
              <w:widowControl/>
              <w:jc w:val="center"/>
              <w:textAlignment w:val="bottom"/>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w:t>
            </w:r>
          </w:p>
        </w:tc>
        <w:tc>
          <w:tcPr>
            <w:tcW w:w="1548" w:type="pct"/>
            <w:tcBorders>
              <w:tl2br w:val="nil"/>
              <w:tr2bl w:val="nil"/>
            </w:tcBorders>
            <w:noWrap/>
            <w:vAlign w:val="bottom"/>
          </w:tcPr>
          <w:p>
            <w:pPr>
              <w:widowControl/>
              <w:jc w:val="left"/>
              <w:textAlignment w:val="bottom"/>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牵张场防治区</w:t>
            </w:r>
          </w:p>
        </w:tc>
        <w:tc>
          <w:tcPr>
            <w:tcW w:w="779" w:type="pct"/>
            <w:tcBorders>
              <w:tl2br w:val="nil"/>
              <w:tr2bl w:val="nil"/>
            </w:tcBorders>
            <w:noWrap/>
            <w:vAlign w:val="center"/>
          </w:tcPr>
          <w:p>
            <w:pPr>
              <w:jc w:val="center"/>
              <w:rPr>
                <w:rFonts w:hint="default" w:ascii="Times New Roman" w:hAnsi="Times New Roman" w:cs="Times New Roman" w:eastAsiaTheme="minorEastAsia"/>
                <w:color w:val="000000"/>
                <w:sz w:val="21"/>
                <w:szCs w:val="21"/>
              </w:rPr>
            </w:pPr>
          </w:p>
        </w:tc>
        <w:tc>
          <w:tcPr>
            <w:tcW w:w="749"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5.52 </w:t>
            </w:r>
          </w:p>
        </w:tc>
        <w:tc>
          <w:tcPr>
            <w:tcW w:w="827" w:type="pct"/>
            <w:tcBorders>
              <w:tl2br w:val="nil"/>
              <w:tr2bl w:val="nil"/>
            </w:tcBorders>
            <w:noWrap w:val="0"/>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5.52 </w:t>
            </w:r>
          </w:p>
        </w:tc>
        <w:tc>
          <w:tcPr>
            <w:tcW w:w="885"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tcBorders>
              <w:tl2br w:val="nil"/>
              <w:tr2bl w:val="nil"/>
            </w:tcBorders>
            <w:noWrap/>
            <w:vAlign w:val="bottom"/>
          </w:tcPr>
          <w:p>
            <w:pPr>
              <w:widowControl/>
              <w:jc w:val="center"/>
              <w:textAlignment w:val="bottom"/>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w:t>
            </w:r>
          </w:p>
        </w:tc>
        <w:tc>
          <w:tcPr>
            <w:tcW w:w="1548" w:type="pct"/>
            <w:tcBorders>
              <w:tl2br w:val="nil"/>
              <w:tr2bl w:val="nil"/>
            </w:tcBorders>
            <w:noWrap/>
            <w:vAlign w:val="bottom"/>
          </w:tcPr>
          <w:p>
            <w:pPr>
              <w:widowControl/>
              <w:jc w:val="left"/>
              <w:textAlignment w:val="bottom"/>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跨越施工场地防治区</w:t>
            </w:r>
          </w:p>
        </w:tc>
        <w:tc>
          <w:tcPr>
            <w:tcW w:w="779" w:type="pct"/>
            <w:tcBorders>
              <w:tl2br w:val="nil"/>
              <w:tr2bl w:val="nil"/>
            </w:tcBorders>
            <w:noWrap/>
            <w:vAlign w:val="center"/>
          </w:tcPr>
          <w:p>
            <w:pPr>
              <w:jc w:val="center"/>
              <w:rPr>
                <w:rFonts w:hint="default" w:ascii="Times New Roman" w:hAnsi="Times New Roman" w:cs="Times New Roman" w:eastAsiaTheme="minorEastAsia"/>
                <w:color w:val="000000"/>
                <w:sz w:val="21"/>
                <w:szCs w:val="21"/>
              </w:rPr>
            </w:pPr>
          </w:p>
        </w:tc>
        <w:tc>
          <w:tcPr>
            <w:tcW w:w="749"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0.10 </w:t>
            </w:r>
          </w:p>
        </w:tc>
        <w:tc>
          <w:tcPr>
            <w:tcW w:w="827" w:type="pct"/>
            <w:tcBorders>
              <w:tl2br w:val="nil"/>
              <w:tr2bl w:val="nil"/>
            </w:tcBorders>
            <w:noWrap w:val="0"/>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0.10 </w:t>
            </w:r>
          </w:p>
        </w:tc>
        <w:tc>
          <w:tcPr>
            <w:tcW w:w="885"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tcBorders>
              <w:tl2br w:val="nil"/>
              <w:tr2bl w:val="nil"/>
            </w:tcBorders>
            <w:noWrap/>
            <w:vAlign w:val="bottom"/>
          </w:tcPr>
          <w:p>
            <w:pPr>
              <w:widowControl/>
              <w:jc w:val="center"/>
              <w:textAlignment w:val="bottom"/>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w:t>
            </w:r>
          </w:p>
        </w:tc>
        <w:tc>
          <w:tcPr>
            <w:tcW w:w="1548" w:type="pct"/>
            <w:tcBorders>
              <w:tl2br w:val="nil"/>
              <w:tr2bl w:val="nil"/>
            </w:tcBorders>
            <w:noWrap/>
            <w:vAlign w:val="bottom"/>
          </w:tcPr>
          <w:p>
            <w:pPr>
              <w:widowControl/>
              <w:jc w:val="left"/>
              <w:textAlignment w:val="bottom"/>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施工道路防治区</w:t>
            </w:r>
          </w:p>
        </w:tc>
        <w:tc>
          <w:tcPr>
            <w:tcW w:w="779" w:type="pct"/>
            <w:tcBorders>
              <w:tl2br w:val="nil"/>
              <w:tr2bl w:val="nil"/>
            </w:tcBorders>
            <w:noWrap/>
            <w:vAlign w:val="center"/>
          </w:tcPr>
          <w:p>
            <w:pPr>
              <w:jc w:val="center"/>
              <w:rPr>
                <w:rFonts w:hint="default" w:ascii="Times New Roman" w:hAnsi="Times New Roman" w:cs="Times New Roman" w:eastAsiaTheme="minorEastAsia"/>
                <w:color w:val="000000"/>
                <w:sz w:val="21"/>
                <w:szCs w:val="21"/>
              </w:rPr>
            </w:pPr>
          </w:p>
        </w:tc>
        <w:tc>
          <w:tcPr>
            <w:tcW w:w="749"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29.94 </w:t>
            </w:r>
          </w:p>
        </w:tc>
        <w:tc>
          <w:tcPr>
            <w:tcW w:w="827" w:type="pct"/>
            <w:tcBorders>
              <w:tl2br w:val="nil"/>
              <w:tr2bl w:val="nil"/>
            </w:tcBorders>
            <w:noWrap w:val="0"/>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29.94 </w:t>
            </w:r>
          </w:p>
        </w:tc>
        <w:tc>
          <w:tcPr>
            <w:tcW w:w="885"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tcBorders>
              <w:tl2br w:val="nil"/>
              <w:tr2bl w:val="nil"/>
            </w:tcBorders>
            <w:noWrap/>
            <w:vAlign w:val="center"/>
          </w:tcPr>
          <w:p>
            <w:pPr>
              <w:jc w:val="center"/>
              <w:rPr>
                <w:rFonts w:hint="eastAsia" w:asciiTheme="minorEastAsia" w:hAnsiTheme="minorEastAsia" w:eastAsiaTheme="minorEastAsia" w:cstheme="minorEastAsia"/>
                <w:b/>
                <w:bCs/>
                <w:color w:val="000000"/>
                <w:sz w:val="21"/>
                <w:szCs w:val="21"/>
              </w:rPr>
            </w:pPr>
          </w:p>
        </w:tc>
        <w:tc>
          <w:tcPr>
            <w:tcW w:w="1548" w:type="pct"/>
            <w:tcBorders>
              <w:tl2br w:val="nil"/>
              <w:tr2bl w:val="nil"/>
            </w:tcBorders>
            <w:noWrap/>
            <w:vAlign w:val="center"/>
          </w:tcPr>
          <w:p>
            <w:pPr>
              <w:widowControl/>
              <w:jc w:val="left"/>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第二部分：植物措施</w:t>
            </w:r>
          </w:p>
        </w:tc>
        <w:tc>
          <w:tcPr>
            <w:tcW w:w="779" w:type="pct"/>
            <w:tcBorders>
              <w:tl2br w:val="nil"/>
              <w:tr2bl w:val="nil"/>
            </w:tcBorders>
            <w:noWrap w:val="0"/>
            <w:vAlign w:val="center"/>
          </w:tcPr>
          <w:p>
            <w:pPr>
              <w:widowControl/>
              <w:jc w:val="center"/>
              <w:textAlignment w:val="center"/>
              <w:rPr>
                <w:rFonts w:hint="default" w:ascii="Times New Roman" w:hAnsi="Times New Roman" w:cs="Times New Roman" w:eastAsiaTheme="minorEastAsia"/>
                <w:b/>
                <w:bCs/>
                <w:color w:val="000000"/>
                <w:sz w:val="21"/>
                <w:szCs w:val="21"/>
              </w:rPr>
            </w:pPr>
            <w:r>
              <w:rPr>
                <w:rFonts w:hint="default" w:ascii="Times New Roman" w:hAnsi="Times New Roman" w:cs="Times New Roman" w:eastAsiaTheme="minorEastAsia"/>
                <w:b/>
                <w:bCs/>
                <w:color w:val="000000"/>
                <w:kern w:val="0"/>
                <w:sz w:val="21"/>
                <w:szCs w:val="21"/>
                <w:lang w:bidi="ar"/>
              </w:rPr>
              <w:t xml:space="preserve">0.00 </w:t>
            </w:r>
          </w:p>
        </w:tc>
        <w:tc>
          <w:tcPr>
            <w:tcW w:w="749" w:type="pct"/>
            <w:tcBorders>
              <w:tl2br w:val="nil"/>
              <w:tr2bl w:val="nil"/>
            </w:tcBorders>
            <w:noWrap w:val="0"/>
            <w:vAlign w:val="center"/>
          </w:tcPr>
          <w:p>
            <w:pPr>
              <w:widowControl/>
              <w:jc w:val="center"/>
              <w:textAlignment w:val="center"/>
              <w:rPr>
                <w:rFonts w:hint="default" w:ascii="Times New Roman" w:hAnsi="Times New Roman" w:cs="Times New Roman" w:eastAsiaTheme="minorEastAsia"/>
                <w:b/>
                <w:bCs/>
                <w:color w:val="000000"/>
                <w:sz w:val="21"/>
                <w:szCs w:val="21"/>
              </w:rPr>
            </w:pPr>
            <w:r>
              <w:rPr>
                <w:rFonts w:hint="default" w:ascii="Times New Roman" w:hAnsi="Times New Roman" w:cs="Times New Roman" w:eastAsiaTheme="minorEastAsia"/>
                <w:b/>
                <w:bCs/>
                <w:color w:val="000000"/>
                <w:kern w:val="0"/>
                <w:sz w:val="21"/>
                <w:szCs w:val="21"/>
                <w:lang w:bidi="ar"/>
              </w:rPr>
              <w:t xml:space="preserve">33.07 </w:t>
            </w:r>
          </w:p>
        </w:tc>
        <w:tc>
          <w:tcPr>
            <w:tcW w:w="827" w:type="pct"/>
            <w:tcBorders>
              <w:tl2br w:val="nil"/>
              <w:tr2bl w:val="nil"/>
            </w:tcBorders>
            <w:noWrap/>
            <w:vAlign w:val="center"/>
          </w:tcPr>
          <w:p>
            <w:pPr>
              <w:widowControl/>
              <w:jc w:val="center"/>
              <w:textAlignment w:val="center"/>
              <w:rPr>
                <w:rFonts w:hint="default" w:ascii="Times New Roman" w:hAnsi="Times New Roman" w:cs="Times New Roman" w:eastAsiaTheme="minorEastAsia"/>
                <w:b/>
                <w:bCs/>
                <w:color w:val="000000"/>
                <w:sz w:val="21"/>
                <w:szCs w:val="21"/>
              </w:rPr>
            </w:pPr>
            <w:r>
              <w:rPr>
                <w:rFonts w:hint="default" w:ascii="Times New Roman" w:hAnsi="Times New Roman" w:cs="Times New Roman" w:eastAsiaTheme="minorEastAsia"/>
                <w:b/>
                <w:bCs/>
                <w:color w:val="000000"/>
                <w:kern w:val="0"/>
                <w:sz w:val="21"/>
                <w:szCs w:val="21"/>
                <w:lang w:bidi="ar"/>
              </w:rPr>
              <w:t xml:space="preserve">33.07 </w:t>
            </w:r>
          </w:p>
        </w:tc>
        <w:tc>
          <w:tcPr>
            <w:tcW w:w="885" w:type="pct"/>
            <w:tcBorders>
              <w:tl2br w:val="nil"/>
              <w:tr2bl w:val="nil"/>
            </w:tcBorders>
            <w:noWrap/>
            <w:vAlign w:val="center"/>
          </w:tcPr>
          <w:p>
            <w:pPr>
              <w:widowControl/>
              <w:jc w:val="center"/>
              <w:textAlignment w:val="center"/>
              <w:rPr>
                <w:rFonts w:hint="default" w:ascii="Times New Roman" w:hAnsi="Times New Roman" w:cs="Times New Roman" w:eastAsiaTheme="minorEastAsia"/>
                <w:b/>
                <w:bCs/>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tcBorders>
              <w:tl2br w:val="nil"/>
              <w:tr2bl w:val="nil"/>
            </w:tcBorders>
            <w:noWrap/>
            <w:vAlign w:val="bottom"/>
          </w:tcPr>
          <w:p>
            <w:pPr>
              <w:widowControl/>
              <w:jc w:val="center"/>
              <w:textAlignment w:val="bottom"/>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1548" w:type="pct"/>
            <w:tcBorders>
              <w:tl2br w:val="nil"/>
              <w:tr2bl w:val="nil"/>
            </w:tcBorders>
            <w:noWrap/>
            <w:vAlign w:val="bottom"/>
          </w:tcPr>
          <w:p>
            <w:pPr>
              <w:widowControl/>
              <w:jc w:val="left"/>
              <w:textAlignment w:val="bottom"/>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变电站间隔扩建工程防治区</w:t>
            </w:r>
          </w:p>
        </w:tc>
        <w:tc>
          <w:tcPr>
            <w:tcW w:w="779" w:type="pct"/>
            <w:tcBorders>
              <w:tl2br w:val="nil"/>
              <w:tr2bl w:val="nil"/>
            </w:tcBorders>
            <w:noWrap/>
            <w:vAlign w:val="center"/>
          </w:tcPr>
          <w:p>
            <w:pPr>
              <w:jc w:val="center"/>
              <w:rPr>
                <w:rFonts w:hint="default" w:ascii="Times New Roman" w:hAnsi="Times New Roman" w:cs="Times New Roman" w:eastAsiaTheme="minorEastAsia"/>
                <w:color w:val="000000"/>
                <w:sz w:val="21"/>
                <w:szCs w:val="21"/>
              </w:rPr>
            </w:pPr>
          </w:p>
        </w:tc>
        <w:tc>
          <w:tcPr>
            <w:tcW w:w="749" w:type="pct"/>
            <w:tcBorders>
              <w:tl2br w:val="nil"/>
              <w:tr2bl w:val="nil"/>
            </w:tcBorders>
            <w:noWrap/>
            <w:vAlign w:val="center"/>
          </w:tcPr>
          <w:p>
            <w:pPr>
              <w:jc w:val="center"/>
              <w:rPr>
                <w:rFonts w:hint="default" w:ascii="Times New Roman" w:hAnsi="Times New Roman" w:cs="Times New Roman" w:eastAsiaTheme="minorEastAsia"/>
                <w:color w:val="000000"/>
                <w:sz w:val="21"/>
                <w:szCs w:val="21"/>
              </w:rPr>
            </w:pPr>
          </w:p>
        </w:tc>
        <w:tc>
          <w:tcPr>
            <w:tcW w:w="827"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0.00 </w:t>
            </w:r>
          </w:p>
        </w:tc>
        <w:tc>
          <w:tcPr>
            <w:tcW w:w="885"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tcBorders>
              <w:tl2br w:val="nil"/>
              <w:tr2bl w:val="nil"/>
            </w:tcBorders>
            <w:noWrap/>
            <w:vAlign w:val="bottom"/>
          </w:tcPr>
          <w:p>
            <w:pPr>
              <w:widowControl/>
              <w:jc w:val="center"/>
              <w:textAlignment w:val="bottom"/>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1548" w:type="pct"/>
            <w:tcBorders>
              <w:tl2br w:val="nil"/>
              <w:tr2bl w:val="nil"/>
            </w:tcBorders>
            <w:noWrap/>
            <w:vAlign w:val="bottom"/>
          </w:tcPr>
          <w:p>
            <w:pPr>
              <w:widowControl/>
              <w:jc w:val="left"/>
              <w:textAlignment w:val="bottom"/>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塔基工程防治区</w:t>
            </w:r>
          </w:p>
        </w:tc>
        <w:tc>
          <w:tcPr>
            <w:tcW w:w="779" w:type="pct"/>
            <w:tcBorders>
              <w:tl2br w:val="nil"/>
              <w:tr2bl w:val="nil"/>
            </w:tcBorders>
            <w:noWrap/>
            <w:vAlign w:val="center"/>
          </w:tcPr>
          <w:p>
            <w:pPr>
              <w:jc w:val="center"/>
              <w:rPr>
                <w:rFonts w:hint="default" w:ascii="Times New Roman" w:hAnsi="Times New Roman" w:cs="Times New Roman" w:eastAsiaTheme="minorEastAsia"/>
                <w:color w:val="000000"/>
                <w:sz w:val="21"/>
                <w:szCs w:val="21"/>
              </w:rPr>
            </w:pPr>
          </w:p>
        </w:tc>
        <w:tc>
          <w:tcPr>
            <w:tcW w:w="749"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22.66 </w:t>
            </w:r>
          </w:p>
        </w:tc>
        <w:tc>
          <w:tcPr>
            <w:tcW w:w="827"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22.66 </w:t>
            </w:r>
          </w:p>
        </w:tc>
        <w:tc>
          <w:tcPr>
            <w:tcW w:w="885"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tcBorders>
              <w:tl2br w:val="nil"/>
              <w:tr2bl w:val="nil"/>
            </w:tcBorders>
            <w:noWrap/>
            <w:vAlign w:val="bottom"/>
          </w:tcPr>
          <w:p>
            <w:pPr>
              <w:widowControl/>
              <w:jc w:val="center"/>
              <w:textAlignment w:val="bottom"/>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w:t>
            </w:r>
          </w:p>
        </w:tc>
        <w:tc>
          <w:tcPr>
            <w:tcW w:w="1548" w:type="pct"/>
            <w:tcBorders>
              <w:tl2br w:val="nil"/>
              <w:tr2bl w:val="nil"/>
            </w:tcBorders>
            <w:noWrap/>
            <w:vAlign w:val="bottom"/>
          </w:tcPr>
          <w:p>
            <w:pPr>
              <w:widowControl/>
              <w:jc w:val="left"/>
              <w:textAlignment w:val="bottom"/>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牵张场防治区</w:t>
            </w:r>
          </w:p>
        </w:tc>
        <w:tc>
          <w:tcPr>
            <w:tcW w:w="779" w:type="pct"/>
            <w:tcBorders>
              <w:tl2br w:val="nil"/>
              <w:tr2bl w:val="nil"/>
            </w:tcBorders>
            <w:noWrap/>
            <w:vAlign w:val="center"/>
          </w:tcPr>
          <w:p>
            <w:pPr>
              <w:jc w:val="center"/>
              <w:rPr>
                <w:rFonts w:hint="default" w:ascii="Times New Roman" w:hAnsi="Times New Roman" w:cs="Times New Roman" w:eastAsiaTheme="minorEastAsia"/>
                <w:color w:val="000000"/>
                <w:sz w:val="21"/>
                <w:szCs w:val="21"/>
              </w:rPr>
            </w:pPr>
          </w:p>
        </w:tc>
        <w:tc>
          <w:tcPr>
            <w:tcW w:w="749"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0.18 </w:t>
            </w:r>
          </w:p>
        </w:tc>
        <w:tc>
          <w:tcPr>
            <w:tcW w:w="827"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0.18 </w:t>
            </w:r>
          </w:p>
        </w:tc>
        <w:tc>
          <w:tcPr>
            <w:tcW w:w="885"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tcBorders>
              <w:tl2br w:val="nil"/>
              <w:tr2bl w:val="nil"/>
            </w:tcBorders>
            <w:noWrap/>
            <w:vAlign w:val="bottom"/>
          </w:tcPr>
          <w:p>
            <w:pPr>
              <w:widowControl/>
              <w:jc w:val="center"/>
              <w:textAlignment w:val="bottom"/>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w:t>
            </w:r>
          </w:p>
        </w:tc>
        <w:tc>
          <w:tcPr>
            <w:tcW w:w="1548" w:type="pct"/>
            <w:tcBorders>
              <w:tl2br w:val="nil"/>
              <w:tr2bl w:val="nil"/>
            </w:tcBorders>
            <w:noWrap/>
            <w:vAlign w:val="bottom"/>
          </w:tcPr>
          <w:p>
            <w:pPr>
              <w:widowControl/>
              <w:jc w:val="left"/>
              <w:textAlignment w:val="bottom"/>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跨越施工场地防治区</w:t>
            </w:r>
          </w:p>
        </w:tc>
        <w:tc>
          <w:tcPr>
            <w:tcW w:w="779" w:type="pct"/>
            <w:tcBorders>
              <w:tl2br w:val="nil"/>
              <w:tr2bl w:val="nil"/>
            </w:tcBorders>
            <w:noWrap/>
            <w:vAlign w:val="center"/>
          </w:tcPr>
          <w:p>
            <w:pPr>
              <w:jc w:val="center"/>
              <w:rPr>
                <w:rFonts w:hint="default" w:ascii="Times New Roman" w:hAnsi="Times New Roman" w:cs="Times New Roman" w:eastAsiaTheme="minorEastAsia"/>
                <w:color w:val="000000"/>
                <w:sz w:val="21"/>
                <w:szCs w:val="21"/>
              </w:rPr>
            </w:pPr>
          </w:p>
        </w:tc>
        <w:tc>
          <w:tcPr>
            <w:tcW w:w="749" w:type="pct"/>
            <w:tcBorders>
              <w:tl2br w:val="nil"/>
              <w:tr2bl w:val="nil"/>
            </w:tcBorders>
            <w:noWrap/>
            <w:vAlign w:val="center"/>
          </w:tcPr>
          <w:p>
            <w:pPr>
              <w:jc w:val="center"/>
              <w:rPr>
                <w:rFonts w:hint="default" w:ascii="Times New Roman" w:hAnsi="Times New Roman" w:cs="Times New Roman" w:eastAsiaTheme="minorEastAsia"/>
                <w:color w:val="000000"/>
                <w:sz w:val="21"/>
                <w:szCs w:val="21"/>
              </w:rPr>
            </w:pPr>
          </w:p>
        </w:tc>
        <w:tc>
          <w:tcPr>
            <w:tcW w:w="827"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0.00 </w:t>
            </w:r>
          </w:p>
        </w:tc>
        <w:tc>
          <w:tcPr>
            <w:tcW w:w="885"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tcBorders>
              <w:tl2br w:val="nil"/>
              <w:tr2bl w:val="nil"/>
            </w:tcBorders>
            <w:noWrap/>
            <w:vAlign w:val="bottom"/>
          </w:tcPr>
          <w:p>
            <w:pPr>
              <w:widowControl/>
              <w:jc w:val="center"/>
              <w:textAlignment w:val="bottom"/>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w:t>
            </w:r>
          </w:p>
        </w:tc>
        <w:tc>
          <w:tcPr>
            <w:tcW w:w="1548" w:type="pct"/>
            <w:tcBorders>
              <w:tl2br w:val="nil"/>
              <w:tr2bl w:val="nil"/>
            </w:tcBorders>
            <w:noWrap/>
            <w:vAlign w:val="bottom"/>
          </w:tcPr>
          <w:p>
            <w:pPr>
              <w:widowControl/>
              <w:jc w:val="left"/>
              <w:textAlignment w:val="bottom"/>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施工道路防治区</w:t>
            </w:r>
          </w:p>
        </w:tc>
        <w:tc>
          <w:tcPr>
            <w:tcW w:w="779" w:type="pct"/>
            <w:tcBorders>
              <w:tl2br w:val="nil"/>
              <w:tr2bl w:val="nil"/>
            </w:tcBorders>
            <w:noWrap/>
            <w:vAlign w:val="center"/>
          </w:tcPr>
          <w:p>
            <w:pPr>
              <w:jc w:val="center"/>
              <w:rPr>
                <w:rFonts w:hint="default" w:ascii="Times New Roman" w:hAnsi="Times New Roman" w:cs="Times New Roman" w:eastAsiaTheme="minorEastAsia"/>
                <w:color w:val="000000"/>
                <w:sz w:val="21"/>
                <w:szCs w:val="21"/>
              </w:rPr>
            </w:pPr>
          </w:p>
        </w:tc>
        <w:tc>
          <w:tcPr>
            <w:tcW w:w="749"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10.23 </w:t>
            </w:r>
          </w:p>
        </w:tc>
        <w:tc>
          <w:tcPr>
            <w:tcW w:w="827"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10.23 </w:t>
            </w:r>
          </w:p>
        </w:tc>
        <w:tc>
          <w:tcPr>
            <w:tcW w:w="885"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tcBorders>
              <w:tl2br w:val="nil"/>
              <w:tr2bl w:val="nil"/>
            </w:tcBorders>
            <w:noWrap/>
            <w:vAlign w:val="center"/>
          </w:tcPr>
          <w:p>
            <w:pPr>
              <w:jc w:val="center"/>
              <w:rPr>
                <w:rFonts w:hint="eastAsia" w:asciiTheme="minorEastAsia" w:hAnsiTheme="minorEastAsia" w:eastAsiaTheme="minorEastAsia" w:cstheme="minorEastAsia"/>
                <w:b/>
                <w:bCs/>
                <w:color w:val="000000"/>
                <w:sz w:val="21"/>
                <w:szCs w:val="21"/>
              </w:rPr>
            </w:pPr>
          </w:p>
        </w:tc>
        <w:tc>
          <w:tcPr>
            <w:tcW w:w="1548" w:type="pct"/>
            <w:tcBorders>
              <w:tl2br w:val="nil"/>
              <w:tr2bl w:val="nil"/>
            </w:tcBorders>
            <w:noWrap/>
            <w:vAlign w:val="center"/>
          </w:tcPr>
          <w:p>
            <w:pPr>
              <w:widowControl/>
              <w:jc w:val="left"/>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第三部分：监测措施</w:t>
            </w:r>
          </w:p>
        </w:tc>
        <w:tc>
          <w:tcPr>
            <w:tcW w:w="779" w:type="pct"/>
            <w:tcBorders>
              <w:tl2br w:val="nil"/>
              <w:tr2bl w:val="nil"/>
            </w:tcBorders>
            <w:noWrap/>
            <w:vAlign w:val="center"/>
          </w:tcPr>
          <w:p>
            <w:pPr>
              <w:widowControl/>
              <w:jc w:val="center"/>
              <w:textAlignment w:val="center"/>
              <w:rPr>
                <w:rFonts w:hint="default" w:ascii="Times New Roman" w:hAnsi="Times New Roman" w:cs="Times New Roman" w:eastAsiaTheme="minorEastAsia"/>
                <w:b/>
                <w:bCs/>
                <w:color w:val="000000"/>
                <w:sz w:val="21"/>
                <w:szCs w:val="21"/>
              </w:rPr>
            </w:pPr>
            <w:r>
              <w:rPr>
                <w:rFonts w:hint="default" w:ascii="Times New Roman" w:hAnsi="Times New Roman" w:cs="Times New Roman" w:eastAsiaTheme="minorEastAsia"/>
                <w:b/>
                <w:bCs/>
                <w:color w:val="000000"/>
                <w:kern w:val="0"/>
                <w:sz w:val="21"/>
                <w:szCs w:val="21"/>
                <w:lang w:bidi="ar"/>
              </w:rPr>
              <w:t xml:space="preserve">22.88 </w:t>
            </w:r>
          </w:p>
        </w:tc>
        <w:tc>
          <w:tcPr>
            <w:tcW w:w="749" w:type="pct"/>
            <w:tcBorders>
              <w:tl2br w:val="nil"/>
              <w:tr2bl w:val="nil"/>
            </w:tcBorders>
            <w:noWrap/>
            <w:vAlign w:val="center"/>
          </w:tcPr>
          <w:p>
            <w:pPr>
              <w:jc w:val="center"/>
              <w:rPr>
                <w:rFonts w:hint="default" w:ascii="Times New Roman" w:hAnsi="Times New Roman" w:cs="Times New Roman" w:eastAsiaTheme="minorEastAsia"/>
                <w:b/>
                <w:bCs/>
                <w:color w:val="000000"/>
                <w:sz w:val="21"/>
                <w:szCs w:val="21"/>
              </w:rPr>
            </w:pPr>
          </w:p>
        </w:tc>
        <w:tc>
          <w:tcPr>
            <w:tcW w:w="827" w:type="pct"/>
            <w:tcBorders>
              <w:tl2br w:val="nil"/>
              <w:tr2bl w:val="nil"/>
            </w:tcBorders>
            <w:noWrap/>
            <w:vAlign w:val="center"/>
          </w:tcPr>
          <w:p>
            <w:pPr>
              <w:widowControl/>
              <w:jc w:val="center"/>
              <w:textAlignment w:val="center"/>
              <w:rPr>
                <w:rFonts w:hint="default" w:ascii="Times New Roman" w:hAnsi="Times New Roman" w:cs="Times New Roman" w:eastAsiaTheme="minorEastAsia"/>
                <w:b/>
                <w:bCs/>
                <w:color w:val="000000"/>
                <w:sz w:val="21"/>
                <w:szCs w:val="21"/>
              </w:rPr>
            </w:pPr>
            <w:r>
              <w:rPr>
                <w:rFonts w:hint="default" w:ascii="Times New Roman" w:hAnsi="Times New Roman" w:cs="Times New Roman" w:eastAsiaTheme="minorEastAsia"/>
                <w:b/>
                <w:bCs/>
                <w:color w:val="000000"/>
                <w:kern w:val="0"/>
                <w:sz w:val="21"/>
                <w:szCs w:val="21"/>
                <w:lang w:bidi="ar"/>
              </w:rPr>
              <w:t xml:space="preserve">22.88 </w:t>
            </w:r>
          </w:p>
        </w:tc>
        <w:tc>
          <w:tcPr>
            <w:tcW w:w="885" w:type="pct"/>
            <w:tcBorders>
              <w:tl2br w:val="nil"/>
              <w:tr2bl w:val="nil"/>
            </w:tcBorders>
            <w:noWrap/>
            <w:vAlign w:val="center"/>
          </w:tcPr>
          <w:p>
            <w:pPr>
              <w:widowControl/>
              <w:jc w:val="center"/>
              <w:textAlignment w:val="center"/>
              <w:rPr>
                <w:rFonts w:hint="default" w:ascii="Times New Roman" w:hAnsi="Times New Roman" w:cs="Times New Roman" w:eastAsiaTheme="minorEastAsia"/>
                <w:b/>
                <w:bCs/>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tcBorders>
              <w:tl2br w:val="nil"/>
              <w:tr2bl w:val="nil"/>
            </w:tcBorders>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1548" w:type="pct"/>
            <w:tcBorders>
              <w:tl2br w:val="nil"/>
              <w:tr2bl w:val="nil"/>
            </w:tcBorders>
            <w:noWrap/>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土建设施</w:t>
            </w:r>
          </w:p>
        </w:tc>
        <w:tc>
          <w:tcPr>
            <w:tcW w:w="779" w:type="pct"/>
            <w:tcBorders>
              <w:tl2br w:val="nil"/>
              <w:tr2bl w:val="nil"/>
            </w:tcBorders>
            <w:noWrap/>
            <w:vAlign w:val="center"/>
          </w:tcPr>
          <w:p>
            <w:pPr>
              <w:jc w:val="center"/>
              <w:rPr>
                <w:rFonts w:hint="default" w:ascii="Times New Roman" w:hAnsi="Times New Roman" w:cs="Times New Roman" w:eastAsiaTheme="minorEastAsia"/>
                <w:color w:val="000000"/>
                <w:sz w:val="21"/>
                <w:szCs w:val="21"/>
              </w:rPr>
            </w:pPr>
          </w:p>
        </w:tc>
        <w:tc>
          <w:tcPr>
            <w:tcW w:w="749" w:type="pct"/>
            <w:tcBorders>
              <w:tl2br w:val="nil"/>
              <w:tr2bl w:val="nil"/>
            </w:tcBorders>
            <w:noWrap/>
            <w:vAlign w:val="center"/>
          </w:tcPr>
          <w:p>
            <w:pPr>
              <w:jc w:val="center"/>
              <w:rPr>
                <w:rFonts w:hint="default" w:ascii="Times New Roman" w:hAnsi="Times New Roman" w:cs="Times New Roman" w:eastAsiaTheme="minorEastAsia"/>
                <w:color w:val="000000"/>
                <w:sz w:val="21"/>
                <w:szCs w:val="21"/>
              </w:rPr>
            </w:pPr>
          </w:p>
        </w:tc>
        <w:tc>
          <w:tcPr>
            <w:tcW w:w="827"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0.00 </w:t>
            </w:r>
          </w:p>
        </w:tc>
        <w:tc>
          <w:tcPr>
            <w:tcW w:w="885"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tcBorders>
              <w:tl2br w:val="nil"/>
              <w:tr2bl w:val="nil"/>
            </w:tcBorders>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1548" w:type="pct"/>
            <w:tcBorders>
              <w:tl2br w:val="nil"/>
              <w:tr2bl w:val="nil"/>
            </w:tcBorders>
            <w:noWrap/>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设备及安装工程</w:t>
            </w:r>
          </w:p>
        </w:tc>
        <w:tc>
          <w:tcPr>
            <w:tcW w:w="779"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0.84 </w:t>
            </w:r>
          </w:p>
        </w:tc>
        <w:tc>
          <w:tcPr>
            <w:tcW w:w="749" w:type="pct"/>
            <w:tcBorders>
              <w:tl2br w:val="nil"/>
              <w:tr2bl w:val="nil"/>
            </w:tcBorders>
            <w:noWrap/>
            <w:vAlign w:val="center"/>
          </w:tcPr>
          <w:p>
            <w:pPr>
              <w:jc w:val="center"/>
              <w:rPr>
                <w:rFonts w:hint="default" w:ascii="Times New Roman" w:hAnsi="Times New Roman" w:cs="Times New Roman" w:eastAsiaTheme="minorEastAsia"/>
                <w:color w:val="000000"/>
                <w:sz w:val="21"/>
                <w:szCs w:val="21"/>
              </w:rPr>
            </w:pPr>
          </w:p>
        </w:tc>
        <w:tc>
          <w:tcPr>
            <w:tcW w:w="827"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0.84 </w:t>
            </w:r>
          </w:p>
        </w:tc>
        <w:tc>
          <w:tcPr>
            <w:tcW w:w="885"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tcBorders>
              <w:tl2br w:val="nil"/>
              <w:tr2bl w:val="nil"/>
            </w:tcBorders>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w:t>
            </w:r>
          </w:p>
        </w:tc>
        <w:tc>
          <w:tcPr>
            <w:tcW w:w="1548" w:type="pct"/>
            <w:tcBorders>
              <w:tl2br w:val="nil"/>
              <w:tr2bl w:val="nil"/>
            </w:tcBorders>
            <w:noWrap/>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观测运行费</w:t>
            </w:r>
          </w:p>
        </w:tc>
        <w:tc>
          <w:tcPr>
            <w:tcW w:w="779"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22.04 </w:t>
            </w:r>
          </w:p>
        </w:tc>
        <w:tc>
          <w:tcPr>
            <w:tcW w:w="749" w:type="pct"/>
            <w:tcBorders>
              <w:tl2br w:val="nil"/>
              <w:tr2bl w:val="nil"/>
            </w:tcBorders>
            <w:noWrap/>
            <w:vAlign w:val="center"/>
          </w:tcPr>
          <w:p>
            <w:pPr>
              <w:jc w:val="center"/>
              <w:rPr>
                <w:rFonts w:hint="default" w:ascii="Times New Roman" w:hAnsi="Times New Roman" w:cs="Times New Roman" w:eastAsiaTheme="minorEastAsia"/>
                <w:color w:val="000000"/>
                <w:sz w:val="21"/>
                <w:szCs w:val="21"/>
              </w:rPr>
            </w:pPr>
          </w:p>
        </w:tc>
        <w:tc>
          <w:tcPr>
            <w:tcW w:w="827"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22.04 </w:t>
            </w:r>
          </w:p>
        </w:tc>
        <w:tc>
          <w:tcPr>
            <w:tcW w:w="885"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tcBorders>
              <w:tl2br w:val="nil"/>
              <w:tr2bl w:val="nil"/>
            </w:tcBorders>
            <w:noWrap/>
            <w:vAlign w:val="center"/>
          </w:tcPr>
          <w:p>
            <w:pPr>
              <w:jc w:val="center"/>
              <w:rPr>
                <w:rFonts w:hint="eastAsia" w:asciiTheme="minorEastAsia" w:hAnsiTheme="minorEastAsia" w:eastAsiaTheme="minorEastAsia" w:cstheme="minorEastAsia"/>
                <w:b/>
                <w:bCs/>
                <w:color w:val="000000"/>
                <w:sz w:val="21"/>
                <w:szCs w:val="21"/>
              </w:rPr>
            </w:pPr>
          </w:p>
        </w:tc>
        <w:tc>
          <w:tcPr>
            <w:tcW w:w="1548" w:type="pct"/>
            <w:tcBorders>
              <w:tl2br w:val="nil"/>
              <w:tr2bl w:val="nil"/>
            </w:tcBorders>
            <w:noWrap/>
            <w:vAlign w:val="center"/>
          </w:tcPr>
          <w:p>
            <w:pPr>
              <w:widowControl/>
              <w:jc w:val="left"/>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第四部分：施工临时措施</w:t>
            </w:r>
          </w:p>
        </w:tc>
        <w:tc>
          <w:tcPr>
            <w:tcW w:w="779" w:type="pct"/>
            <w:tcBorders>
              <w:tl2br w:val="nil"/>
              <w:tr2bl w:val="nil"/>
            </w:tcBorders>
            <w:noWrap/>
            <w:vAlign w:val="center"/>
          </w:tcPr>
          <w:p>
            <w:pPr>
              <w:widowControl/>
              <w:jc w:val="center"/>
              <w:textAlignment w:val="center"/>
              <w:rPr>
                <w:rFonts w:hint="default" w:ascii="Times New Roman" w:hAnsi="Times New Roman" w:cs="Times New Roman" w:eastAsiaTheme="minorEastAsia"/>
                <w:b/>
                <w:bCs/>
                <w:color w:val="000000"/>
                <w:sz w:val="21"/>
                <w:szCs w:val="21"/>
              </w:rPr>
            </w:pPr>
            <w:r>
              <w:rPr>
                <w:rFonts w:hint="default" w:ascii="Times New Roman" w:hAnsi="Times New Roman" w:cs="Times New Roman" w:eastAsiaTheme="minorEastAsia"/>
                <w:b/>
                <w:bCs/>
                <w:color w:val="000000"/>
                <w:kern w:val="0"/>
                <w:sz w:val="21"/>
                <w:szCs w:val="21"/>
                <w:lang w:bidi="ar"/>
              </w:rPr>
              <w:t xml:space="preserve">154.75 </w:t>
            </w:r>
          </w:p>
        </w:tc>
        <w:tc>
          <w:tcPr>
            <w:tcW w:w="749" w:type="pct"/>
            <w:tcBorders>
              <w:tl2br w:val="nil"/>
              <w:tr2bl w:val="nil"/>
            </w:tcBorders>
            <w:noWrap/>
            <w:vAlign w:val="center"/>
          </w:tcPr>
          <w:p>
            <w:pPr>
              <w:widowControl/>
              <w:jc w:val="center"/>
              <w:textAlignment w:val="center"/>
              <w:rPr>
                <w:rFonts w:hint="default" w:ascii="Times New Roman" w:hAnsi="Times New Roman" w:cs="Times New Roman" w:eastAsiaTheme="minorEastAsia"/>
                <w:b/>
                <w:bCs/>
                <w:color w:val="000000"/>
                <w:sz w:val="21"/>
                <w:szCs w:val="21"/>
              </w:rPr>
            </w:pPr>
            <w:r>
              <w:rPr>
                <w:rFonts w:hint="default" w:ascii="Times New Roman" w:hAnsi="Times New Roman" w:cs="Times New Roman" w:eastAsiaTheme="minorEastAsia"/>
                <w:b/>
                <w:bCs/>
                <w:color w:val="000000"/>
                <w:kern w:val="0"/>
                <w:sz w:val="21"/>
                <w:szCs w:val="21"/>
                <w:lang w:bidi="ar"/>
              </w:rPr>
              <w:t xml:space="preserve">0.44 </w:t>
            </w:r>
          </w:p>
        </w:tc>
        <w:tc>
          <w:tcPr>
            <w:tcW w:w="827" w:type="pct"/>
            <w:tcBorders>
              <w:tl2br w:val="nil"/>
              <w:tr2bl w:val="nil"/>
            </w:tcBorders>
            <w:noWrap/>
            <w:vAlign w:val="center"/>
          </w:tcPr>
          <w:p>
            <w:pPr>
              <w:widowControl/>
              <w:jc w:val="center"/>
              <w:textAlignment w:val="center"/>
              <w:rPr>
                <w:rFonts w:hint="default" w:ascii="Times New Roman" w:hAnsi="Times New Roman" w:cs="Times New Roman" w:eastAsiaTheme="minorEastAsia"/>
                <w:b/>
                <w:bCs/>
                <w:color w:val="000000"/>
                <w:sz w:val="21"/>
                <w:szCs w:val="21"/>
              </w:rPr>
            </w:pPr>
            <w:r>
              <w:rPr>
                <w:rFonts w:hint="default" w:ascii="Times New Roman" w:hAnsi="Times New Roman" w:cs="Times New Roman" w:eastAsiaTheme="minorEastAsia"/>
                <w:b/>
                <w:bCs/>
                <w:color w:val="000000"/>
                <w:kern w:val="0"/>
                <w:sz w:val="21"/>
                <w:szCs w:val="21"/>
                <w:lang w:bidi="ar"/>
              </w:rPr>
              <w:t xml:space="preserve">155.19 </w:t>
            </w:r>
          </w:p>
        </w:tc>
        <w:tc>
          <w:tcPr>
            <w:tcW w:w="885" w:type="pct"/>
            <w:tcBorders>
              <w:tl2br w:val="nil"/>
              <w:tr2bl w:val="nil"/>
            </w:tcBorders>
            <w:noWrap/>
            <w:vAlign w:val="center"/>
          </w:tcPr>
          <w:p>
            <w:pPr>
              <w:widowControl/>
              <w:jc w:val="center"/>
              <w:textAlignment w:val="center"/>
              <w:rPr>
                <w:rFonts w:hint="default" w:ascii="Times New Roman" w:hAnsi="Times New Roman" w:cs="Times New Roman" w:eastAsiaTheme="minorEastAsia"/>
                <w:b/>
                <w:bCs/>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tcBorders>
              <w:tl2br w:val="nil"/>
              <w:tr2bl w:val="nil"/>
            </w:tcBorders>
            <w:noWrap/>
            <w:vAlign w:val="bottom"/>
          </w:tcPr>
          <w:p>
            <w:pPr>
              <w:widowControl/>
              <w:jc w:val="center"/>
              <w:textAlignment w:val="bottom"/>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1548" w:type="pct"/>
            <w:tcBorders>
              <w:tl2br w:val="nil"/>
              <w:tr2bl w:val="nil"/>
            </w:tcBorders>
            <w:noWrap/>
            <w:vAlign w:val="bottom"/>
          </w:tcPr>
          <w:p>
            <w:pPr>
              <w:widowControl/>
              <w:jc w:val="left"/>
              <w:textAlignment w:val="bottom"/>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变电站间隔扩建工程防治区</w:t>
            </w:r>
          </w:p>
        </w:tc>
        <w:tc>
          <w:tcPr>
            <w:tcW w:w="779"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0.06 </w:t>
            </w:r>
          </w:p>
        </w:tc>
        <w:tc>
          <w:tcPr>
            <w:tcW w:w="749" w:type="pct"/>
            <w:tcBorders>
              <w:tl2br w:val="nil"/>
              <w:tr2bl w:val="nil"/>
            </w:tcBorders>
            <w:noWrap/>
            <w:vAlign w:val="center"/>
          </w:tcPr>
          <w:p>
            <w:pPr>
              <w:jc w:val="center"/>
              <w:rPr>
                <w:rFonts w:hint="default" w:ascii="Times New Roman" w:hAnsi="Times New Roman" w:cs="Times New Roman" w:eastAsiaTheme="minorEastAsia"/>
                <w:color w:val="000000"/>
                <w:sz w:val="21"/>
                <w:szCs w:val="21"/>
              </w:rPr>
            </w:pPr>
          </w:p>
        </w:tc>
        <w:tc>
          <w:tcPr>
            <w:tcW w:w="827"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0.06 </w:t>
            </w:r>
          </w:p>
        </w:tc>
        <w:tc>
          <w:tcPr>
            <w:tcW w:w="885"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tcBorders>
              <w:tl2br w:val="nil"/>
              <w:tr2bl w:val="nil"/>
            </w:tcBorders>
            <w:noWrap/>
            <w:vAlign w:val="bottom"/>
          </w:tcPr>
          <w:p>
            <w:pPr>
              <w:widowControl/>
              <w:jc w:val="center"/>
              <w:textAlignment w:val="bottom"/>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1548" w:type="pct"/>
            <w:tcBorders>
              <w:tl2br w:val="nil"/>
              <w:tr2bl w:val="nil"/>
            </w:tcBorders>
            <w:noWrap/>
            <w:vAlign w:val="bottom"/>
          </w:tcPr>
          <w:p>
            <w:pPr>
              <w:widowControl/>
              <w:jc w:val="left"/>
              <w:textAlignment w:val="bottom"/>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塔基工程防治区</w:t>
            </w:r>
          </w:p>
        </w:tc>
        <w:tc>
          <w:tcPr>
            <w:tcW w:w="779"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107.58 </w:t>
            </w:r>
          </w:p>
        </w:tc>
        <w:tc>
          <w:tcPr>
            <w:tcW w:w="749"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0.44 </w:t>
            </w:r>
          </w:p>
        </w:tc>
        <w:tc>
          <w:tcPr>
            <w:tcW w:w="827"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108.02 </w:t>
            </w:r>
          </w:p>
        </w:tc>
        <w:tc>
          <w:tcPr>
            <w:tcW w:w="885"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tcBorders>
              <w:tl2br w:val="nil"/>
              <w:tr2bl w:val="nil"/>
            </w:tcBorders>
            <w:noWrap/>
            <w:vAlign w:val="bottom"/>
          </w:tcPr>
          <w:p>
            <w:pPr>
              <w:widowControl/>
              <w:jc w:val="center"/>
              <w:textAlignment w:val="bottom"/>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w:t>
            </w:r>
          </w:p>
        </w:tc>
        <w:tc>
          <w:tcPr>
            <w:tcW w:w="1548" w:type="pct"/>
            <w:tcBorders>
              <w:tl2br w:val="nil"/>
              <w:tr2bl w:val="nil"/>
            </w:tcBorders>
            <w:noWrap/>
            <w:vAlign w:val="bottom"/>
          </w:tcPr>
          <w:p>
            <w:pPr>
              <w:widowControl/>
              <w:jc w:val="left"/>
              <w:textAlignment w:val="bottom"/>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牵张场防治区</w:t>
            </w:r>
          </w:p>
        </w:tc>
        <w:tc>
          <w:tcPr>
            <w:tcW w:w="779"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0.86 </w:t>
            </w:r>
          </w:p>
        </w:tc>
        <w:tc>
          <w:tcPr>
            <w:tcW w:w="749" w:type="pct"/>
            <w:tcBorders>
              <w:tl2br w:val="nil"/>
              <w:tr2bl w:val="nil"/>
            </w:tcBorders>
            <w:noWrap/>
            <w:vAlign w:val="center"/>
          </w:tcPr>
          <w:p>
            <w:pPr>
              <w:jc w:val="center"/>
              <w:rPr>
                <w:rFonts w:hint="default" w:ascii="Times New Roman" w:hAnsi="Times New Roman" w:cs="Times New Roman" w:eastAsiaTheme="minorEastAsia"/>
                <w:color w:val="000000"/>
                <w:sz w:val="21"/>
                <w:szCs w:val="21"/>
              </w:rPr>
            </w:pPr>
          </w:p>
        </w:tc>
        <w:tc>
          <w:tcPr>
            <w:tcW w:w="827"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0.86 </w:t>
            </w:r>
          </w:p>
        </w:tc>
        <w:tc>
          <w:tcPr>
            <w:tcW w:w="885"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tcBorders>
              <w:tl2br w:val="nil"/>
              <w:tr2bl w:val="nil"/>
            </w:tcBorders>
            <w:noWrap/>
            <w:vAlign w:val="bottom"/>
          </w:tcPr>
          <w:p>
            <w:pPr>
              <w:widowControl/>
              <w:jc w:val="center"/>
              <w:textAlignment w:val="bottom"/>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w:t>
            </w:r>
          </w:p>
        </w:tc>
        <w:tc>
          <w:tcPr>
            <w:tcW w:w="1548" w:type="pct"/>
            <w:tcBorders>
              <w:tl2br w:val="nil"/>
              <w:tr2bl w:val="nil"/>
            </w:tcBorders>
            <w:noWrap/>
            <w:vAlign w:val="bottom"/>
          </w:tcPr>
          <w:p>
            <w:pPr>
              <w:widowControl/>
              <w:jc w:val="left"/>
              <w:textAlignment w:val="bottom"/>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跨越施工场地防治区</w:t>
            </w:r>
          </w:p>
        </w:tc>
        <w:tc>
          <w:tcPr>
            <w:tcW w:w="779"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0.27 </w:t>
            </w:r>
          </w:p>
        </w:tc>
        <w:tc>
          <w:tcPr>
            <w:tcW w:w="749" w:type="pct"/>
            <w:tcBorders>
              <w:tl2br w:val="nil"/>
              <w:tr2bl w:val="nil"/>
            </w:tcBorders>
            <w:noWrap/>
            <w:vAlign w:val="center"/>
          </w:tcPr>
          <w:p>
            <w:pPr>
              <w:jc w:val="center"/>
              <w:rPr>
                <w:rFonts w:hint="default" w:ascii="Times New Roman" w:hAnsi="Times New Roman" w:cs="Times New Roman" w:eastAsiaTheme="minorEastAsia"/>
                <w:color w:val="000000"/>
                <w:sz w:val="21"/>
                <w:szCs w:val="21"/>
              </w:rPr>
            </w:pPr>
          </w:p>
        </w:tc>
        <w:tc>
          <w:tcPr>
            <w:tcW w:w="827"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0.27 </w:t>
            </w:r>
          </w:p>
        </w:tc>
        <w:tc>
          <w:tcPr>
            <w:tcW w:w="885"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tcBorders>
              <w:tl2br w:val="nil"/>
              <w:tr2bl w:val="nil"/>
            </w:tcBorders>
            <w:noWrap/>
            <w:vAlign w:val="bottom"/>
          </w:tcPr>
          <w:p>
            <w:pPr>
              <w:widowControl/>
              <w:jc w:val="center"/>
              <w:textAlignment w:val="bottom"/>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w:t>
            </w:r>
          </w:p>
        </w:tc>
        <w:tc>
          <w:tcPr>
            <w:tcW w:w="1548" w:type="pct"/>
            <w:tcBorders>
              <w:tl2br w:val="nil"/>
              <w:tr2bl w:val="nil"/>
            </w:tcBorders>
            <w:noWrap/>
            <w:vAlign w:val="bottom"/>
          </w:tcPr>
          <w:p>
            <w:pPr>
              <w:widowControl/>
              <w:jc w:val="left"/>
              <w:textAlignment w:val="bottom"/>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施工道路防治区</w:t>
            </w:r>
          </w:p>
        </w:tc>
        <w:tc>
          <w:tcPr>
            <w:tcW w:w="779"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45.90 </w:t>
            </w:r>
          </w:p>
        </w:tc>
        <w:tc>
          <w:tcPr>
            <w:tcW w:w="749" w:type="pct"/>
            <w:tcBorders>
              <w:tl2br w:val="nil"/>
              <w:tr2bl w:val="nil"/>
            </w:tcBorders>
            <w:noWrap/>
            <w:vAlign w:val="center"/>
          </w:tcPr>
          <w:p>
            <w:pPr>
              <w:jc w:val="center"/>
              <w:rPr>
                <w:rFonts w:hint="default" w:ascii="Times New Roman" w:hAnsi="Times New Roman" w:cs="Times New Roman" w:eastAsiaTheme="minorEastAsia"/>
                <w:color w:val="000000"/>
                <w:sz w:val="21"/>
                <w:szCs w:val="21"/>
              </w:rPr>
            </w:pPr>
          </w:p>
        </w:tc>
        <w:tc>
          <w:tcPr>
            <w:tcW w:w="827"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45.90 </w:t>
            </w:r>
          </w:p>
        </w:tc>
        <w:tc>
          <w:tcPr>
            <w:tcW w:w="885"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w:t>
            </w:r>
          </w:p>
        </w:tc>
        <w:tc>
          <w:tcPr>
            <w:tcW w:w="1548" w:type="pct"/>
            <w:tcBorders>
              <w:tl2br w:val="nil"/>
              <w:tr2bl w:val="nil"/>
            </w:tcBorders>
            <w:shd w:val="clear" w:color="auto" w:fill="auto"/>
            <w:noWrap/>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其他临时工程</w:t>
            </w:r>
          </w:p>
        </w:tc>
        <w:tc>
          <w:tcPr>
            <w:tcW w:w="779" w:type="pct"/>
            <w:tcBorders>
              <w:tl2br w:val="nil"/>
              <w:tr2bl w:val="nil"/>
            </w:tcBorders>
            <w:shd w:val="clear" w:color="auto" w:fill="FFFFFF"/>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0.08 </w:t>
            </w:r>
          </w:p>
        </w:tc>
        <w:tc>
          <w:tcPr>
            <w:tcW w:w="749" w:type="pct"/>
            <w:tcBorders>
              <w:tl2br w:val="nil"/>
              <w:tr2bl w:val="nil"/>
            </w:tcBorders>
            <w:noWrap/>
            <w:vAlign w:val="center"/>
          </w:tcPr>
          <w:p>
            <w:pPr>
              <w:jc w:val="center"/>
              <w:rPr>
                <w:rFonts w:hint="default" w:ascii="Times New Roman" w:hAnsi="Times New Roman" w:cs="Times New Roman" w:eastAsiaTheme="minorEastAsia"/>
                <w:color w:val="000000"/>
                <w:sz w:val="21"/>
                <w:szCs w:val="21"/>
              </w:rPr>
            </w:pPr>
          </w:p>
        </w:tc>
        <w:tc>
          <w:tcPr>
            <w:tcW w:w="827"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0.08 </w:t>
            </w:r>
          </w:p>
        </w:tc>
        <w:tc>
          <w:tcPr>
            <w:tcW w:w="885"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tcBorders>
              <w:tl2br w:val="nil"/>
              <w:tr2bl w:val="nil"/>
            </w:tcBorders>
            <w:noWrap/>
            <w:vAlign w:val="center"/>
          </w:tcPr>
          <w:p>
            <w:pPr>
              <w:jc w:val="center"/>
              <w:rPr>
                <w:rFonts w:hint="eastAsia" w:asciiTheme="minorEastAsia" w:hAnsiTheme="minorEastAsia" w:eastAsiaTheme="minorEastAsia" w:cstheme="minorEastAsia"/>
                <w:b/>
                <w:bCs/>
                <w:color w:val="000000"/>
                <w:sz w:val="21"/>
                <w:szCs w:val="21"/>
              </w:rPr>
            </w:pPr>
          </w:p>
        </w:tc>
        <w:tc>
          <w:tcPr>
            <w:tcW w:w="1548" w:type="pct"/>
            <w:tcBorders>
              <w:tl2br w:val="nil"/>
              <w:tr2bl w:val="nil"/>
            </w:tcBorders>
            <w:noWrap/>
            <w:vAlign w:val="center"/>
          </w:tcPr>
          <w:p>
            <w:pPr>
              <w:widowControl/>
              <w:jc w:val="left"/>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第五部分：独立费用</w:t>
            </w:r>
          </w:p>
        </w:tc>
        <w:tc>
          <w:tcPr>
            <w:tcW w:w="779" w:type="pct"/>
            <w:tcBorders>
              <w:tl2br w:val="nil"/>
              <w:tr2bl w:val="nil"/>
            </w:tcBorders>
            <w:noWrap w:val="0"/>
            <w:vAlign w:val="center"/>
          </w:tcPr>
          <w:p>
            <w:pPr>
              <w:widowControl/>
              <w:jc w:val="center"/>
              <w:textAlignment w:val="center"/>
              <w:rPr>
                <w:rFonts w:hint="default" w:ascii="Times New Roman" w:hAnsi="Times New Roman" w:cs="Times New Roman" w:eastAsiaTheme="minorEastAsia"/>
                <w:b/>
                <w:bCs/>
                <w:color w:val="000000"/>
                <w:sz w:val="21"/>
                <w:szCs w:val="21"/>
              </w:rPr>
            </w:pPr>
            <w:r>
              <w:rPr>
                <w:rFonts w:hint="default" w:ascii="Times New Roman" w:hAnsi="Times New Roman" w:cs="Times New Roman" w:eastAsiaTheme="minorEastAsia"/>
                <w:b/>
                <w:bCs/>
                <w:color w:val="000000"/>
                <w:kern w:val="0"/>
                <w:sz w:val="21"/>
                <w:szCs w:val="21"/>
                <w:lang w:bidi="ar"/>
              </w:rPr>
              <w:t xml:space="preserve">47.48 </w:t>
            </w:r>
          </w:p>
        </w:tc>
        <w:tc>
          <w:tcPr>
            <w:tcW w:w="749" w:type="pct"/>
            <w:tcBorders>
              <w:tl2br w:val="nil"/>
              <w:tr2bl w:val="nil"/>
            </w:tcBorders>
            <w:noWrap/>
            <w:vAlign w:val="center"/>
          </w:tcPr>
          <w:p>
            <w:pPr>
              <w:jc w:val="center"/>
              <w:rPr>
                <w:rFonts w:hint="default" w:ascii="Times New Roman" w:hAnsi="Times New Roman" w:cs="Times New Roman" w:eastAsiaTheme="minorEastAsia"/>
                <w:b/>
                <w:bCs/>
                <w:color w:val="000000"/>
                <w:sz w:val="21"/>
                <w:szCs w:val="21"/>
              </w:rPr>
            </w:pPr>
          </w:p>
        </w:tc>
        <w:tc>
          <w:tcPr>
            <w:tcW w:w="827" w:type="pct"/>
            <w:tcBorders>
              <w:tl2br w:val="nil"/>
              <w:tr2bl w:val="nil"/>
            </w:tcBorders>
            <w:noWrap/>
            <w:vAlign w:val="center"/>
          </w:tcPr>
          <w:p>
            <w:pPr>
              <w:widowControl/>
              <w:jc w:val="center"/>
              <w:textAlignment w:val="center"/>
              <w:rPr>
                <w:rFonts w:hint="default" w:ascii="Times New Roman" w:hAnsi="Times New Roman" w:cs="Times New Roman" w:eastAsiaTheme="minorEastAsia"/>
                <w:b/>
                <w:bCs/>
                <w:color w:val="000000"/>
                <w:sz w:val="21"/>
                <w:szCs w:val="21"/>
              </w:rPr>
            </w:pPr>
            <w:r>
              <w:rPr>
                <w:rFonts w:hint="default" w:ascii="Times New Roman" w:hAnsi="Times New Roman" w:cs="Times New Roman" w:eastAsiaTheme="minorEastAsia"/>
                <w:b/>
                <w:bCs/>
                <w:color w:val="000000"/>
                <w:kern w:val="0"/>
                <w:sz w:val="21"/>
                <w:szCs w:val="21"/>
                <w:lang w:bidi="ar"/>
              </w:rPr>
              <w:t xml:space="preserve">47.48 </w:t>
            </w:r>
          </w:p>
        </w:tc>
        <w:tc>
          <w:tcPr>
            <w:tcW w:w="885" w:type="pct"/>
            <w:tcBorders>
              <w:tl2br w:val="nil"/>
              <w:tr2bl w:val="nil"/>
            </w:tcBorders>
            <w:noWrap/>
            <w:vAlign w:val="center"/>
          </w:tcPr>
          <w:p>
            <w:pPr>
              <w:widowControl/>
              <w:jc w:val="center"/>
              <w:textAlignment w:val="center"/>
              <w:rPr>
                <w:rFonts w:hint="default" w:ascii="Times New Roman" w:hAnsi="Times New Roman" w:cs="Times New Roman" w:eastAsiaTheme="minorEastAsia"/>
                <w:b/>
                <w:bCs/>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tcBorders>
              <w:tl2br w:val="nil"/>
              <w:tr2bl w:val="nil"/>
            </w:tcBorders>
            <w:noWrap/>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一</w:t>
            </w:r>
          </w:p>
        </w:tc>
        <w:tc>
          <w:tcPr>
            <w:tcW w:w="1548" w:type="pct"/>
            <w:tcBorders>
              <w:tl2br w:val="nil"/>
              <w:tr2bl w:val="nil"/>
            </w:tcBorders>
            <w:noWrap/>
            <w:vAlign w:val="center"/>
          </w:tcPr>
          <w:p>
            <w:pPr>
              <w:widowControl/>
              <w:jc w:val="left"/>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 xml:space="preserve">技术咨询费 </w:t>
            </w:r>
          </w:p>
        </w:tc>
        <w:tc>
          <w:tcPr>
            <w:tcW w:w="779" w:type="pct"/>
            <w:tcBorders>
              <w:tl2br w:val="nil"/>
              <w:tr2bl w:val="nil"/>
            </w:tcBorders>
            <w:noWrap/>
            <w:vAlign w:val="center"/>
          </w:tcPr>
          <w:p>
            <w:pPr>
              <w:widowControl/>
              <w:jc w:val="center"/>
              <w:textAlignment w:val="center"/>
              <w:rPr>
                <w:rFonts w:hint="default" w:ascii="Times New Roman" w:hAnsi="Times New Roman" w:cs="Times New Roman" w:eastAsiaTheme="minorEastAsia"/>
                <w:b/>
                <w:bCs/>
                <w:color w:val="000000"/>
                <w:sz w:val="21"/>
                <w:szCs w:val="21"/>
              </w:rPr>
            </w:pPr>
            <w:r>
              <w:rPr>
                <w:rFonts w:hint="default" w:ascii="Times New Roman" w:hAnsi="Times New Roman" w:cs="Times New Roman" w:eastAsiaTheme="minorEastAsia"/>
                <w:b/>
                <w:bCs/>
                <w:color w:val="000000"/>
                <w:kern w:val="0"/>
                <w:sz w:val="21"/>
                <w:szCs w:val="21"/>
                <w:lang w:bidi="ar"/>
              </w:rPr>
              <w:t xml:space="preserve">37.01 </w:t>
            </w:r>
          </w:p>
        </w:tc>
        <w:tc>
          <w:tcPr>
            <w:tcW w:w="749" w:type="pct"/>
            <w:tcBorders>
              <w:tl2br w:val="nil"/>
              <w:tr2bl w:val="nil"/>
            </w:tcBorders>
            <w:noWrap/>
            <w:vAlign w:val="center"/>
          </w:tcPr>
          <w:p>
            <w:pPr>
              <w:jc w:val="center"/>
              <w:rPr>
                <w:rFonts w:hint="default" w:ascii="Times New Roman" w:hAnsi="Times New Roman" w:cs="Times New Roman" w:eastAsiaTheme="minorEastAsia"/>
                <w:b/>
                <w:bCs/>
                <w:color w:val="000000"/>
                <w:sz w:val="21"/>
                <w:szCs w:val="21"/>
              </w:rPr>
            </w:pPr>
          </w:p>
        </w:tc>
        <w:tc>
          <w:tcPr>
            <w:tcW w:w="827" w:type="pct"/>
            <w:tcBorders>
              <w:tl2br w:val="nil"/>
              <w:tr2bl w:val="nil"/>
            </w:tcBorders>
            <w:noWrap/>
            <w:vAlign w:val="center"/>
          </w:tcPr>
          <w:p>
            <w:pPr>
              <w:widowControl/>
              <w:jc w:val="center"/>
              <w:textAlignment w:val="center"/>
              <w:rPr>
                <w:rFonts w:hint="default" w:ascii="Times New Roman" w:hAnsi="Times New Roman" w:cs="Times New Roman" w:eastAsiaTheme="minorEastAsia"/>
                <w:b/>
                <w:bCs/>
                <w:color w:val="000000"/>
                <w:sz w:val="21"/>
                <w:szCs w:val="21"/>
              </w:rPr>
            </w:pPr>
            <w:r>
              <w:rPr>
                <w:rFonts w:hint="default" w:ascii="Times New Roman" w:hAnsi="Times New Roman" w:cs="Times New Roman" w:eastAsiaTheme="minorEastAsia"/>
                <w:b/>
                <w:bCs/>
                <w:color w:val="000000"/>
                <w:kern w:val="0"/>
                <w:sz w:val="21"/>
                <w:szCs w:val="21"/>
                <w:lang w:bidi="ar"/>
              </w:rPr>
              <w:t xml:space="preserve">37.01 </w:t>
            </w:r>
          </w:p>
        </w:tc>
        <w:tc>
          <w:tcPr>
            <w:tcW w:w="885" w:type="pct"/>
            <w:tcBorders>
              <w:tl2br w:val="nil"/>
              <w:tr2bl w:val="nil"/>
            </w:tcBorders>
            <w:noWrap/>
            <w:vAlign w:val="center"/>
          </w:tcPr>
          <w:p>
            <w:pPr>
              <w:widowControl/>
              <w:jc w:val="center"/>
              <w:textAlignment w:val="center"/>
              <w:rPr>
                <w:rFonts w:hint="default" w:ascii="Times New Roman" w:hAnsi="Times New Roman" w:cs="Times New Roman" w:eastAsiaTheme="minorEastAsia"/>
                <w:b/>
                <w:bCs/>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tcBorders>
              <w:tl2br w:val="nil"/>
              <w:tr2bl w:val="nil"/>
            </w:tcBorders>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1548" w:type="pct"/>
            <w:tcBorders>
              <w:tl2br w:val="nil"/>
              <w:tr2bl w:val="nil"/>
            </w:tcBorders>
            <w:noWrap/>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水土保持方案编制费</w:t>
            </w:r>
          </w:p>
        </w:tc>
        <w:tc>
          <w:tcPr>
            <w:tcW w:w="779"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15.37 </w:t>
            </w:r>
          </w:p>
        </w:tc>
        <w:tc>
          <w:tcPr>
            <w:tcW w:w="749" w:type="pct"/>
            <w:tcBorders>
              <w:tl2br w:val="nil"/>
              <w:tr2bl w:val="nil"/>
            </w:tcBorders>
            <w:noWrap/>
            <w:vAlign w:val="center"/>
          </w:tcPr>
          <w:p>
            <w:pPr>
              <w:jc w:val="center"/>
              <w:rPr>
                <w:rFonts w:hint="default" w:ascii="Times New Roman" w:hAnsi="Times New Roman" w:cs="Times New Roman" w:eastAsiaTheme="minorEastAsia"/>
                <w:color w:val="000000"/>
                <w:sz w:val="21"/>
                <w:szCs w:val="21"/>
              </w:rPr>
            </w:pPr>
          </w:p>
        </w:tc>
        <w:tc>
          <w:tcPr>
            <w:tcW w:w="827"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15.37 </w:t>
            </w:r>
          </w:p>
        </w:tc>
        <w:tc>
          <w:tcPr>
            <w:tcW w:w="885"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tcBorders>
              <w:tl2br w:val="nil"/>
              <w:tr2bl w:val="nil"/>
            </w:tcBorders>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1548" w:type="pct"/>
            <w:tcBorders>
              <w:tl2br w:val="nil"/>
              <w:tr2bl w:val="nil"/>
            </w:tcBorders>
            <w:noWrap/>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科研勘测设计费</w:t>
            </w:r>
          </w:p>
        </w:tc>
        <w:tc>
          <w:tcPr>
            <w:tcW w:w="779"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10.35 </w:t>
            </w:r>
          </w:p>
        </w:tc>
        <w:tc>
          <w:tcPr>
            <w:tcW w:w="749" w:type="pct"/>
            <w:tcBorders>
              <w:tl2br w:val="nil"/>
              <w:tr2bl w:val="nil"/>
            </w:tcBorders>
            <w:noWrap/>
            <w:vAlign w:val="center"/>
          </w:tcPr>
          <w:p>
            <w:pPr>
              <w:jc w:val="center"/>
              <w:rPr>
                <w:rFonts w:hint="default" w:ascii="Times New Roman" w:hAnsi="Times New Roman" w:cs="Times New Roman" w:eastAsiaTheme="minorEastAsia"/>
                <w:color w:val="000000"/>
                <w:sz w:val="21"/>
                <w:szCs w:val="21"/>
              </w:rPr>
            </w:pPr>
          </w:p>
        </w:tc>
        <w:tc>
          <w:tcPr>
            <w:tcW w:w="827"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10.35 </w:t>
            </w:r>
          </w:p>
        </w:tc>
        <w:tc>
          <w:tcPr>
            <w:tcW w:w="885"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tcBorders>
              <w:tl2br w:val="nil"/>
              <w:tr2bl w:val="nil"/>
            </w:tcBorders>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w:t>
            </w:r>
          </w:p>
        </w:tc>
        <w:tc>
          <w:tcPr>
            <w:tcW w:w="1548" w:type="pct"/>
            <w:tcBorders>
              <w:tl2br w:val="nil"/>
              <w:tr2bl w:val="nil"/>
            </w:tcBorders>
            <w:noWrap/>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水土保持设施竣工验收技术评估费</w:t>
            </w:r>
          </w:p>
        </w:tc>
        <w:tc>
          <w:tcPr>
            <w:tcW w:w="779"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11.29 </w:t>
            </w:r>
          </w:p>
        </w:tc>
        <w:tc>
          <w:tcPr>
            <w:tcW w:w="749" w:type="pct"/>
            <w:tcBorders>
              <w:tl2br w:val="nil"/>
              <w:tr2bl w:val="nil"/>
            </w:tcBorders>
            <w:noWrap/>
            <w:vAlign w:val="center"/>
          </w:tcPr>
          <w:p>
            <w:pPr>
              <w:jc w:val="center"/>
              <w:rPr>
                <w:rFonts w:hint="default" w:ascii="Times New Roman" w:hAnsi="Times New Roman" w:cs="Times New Roman" w:eastAsiaTheme="minorEastAsia"/>
                <w:color w:val="000000"/>
                <w:sz w:val="21"/>
                <w:szCs w:val="21"/>
              </w:rPr>
            </w:pPr>
          </w:p>
        </w:tc>
        <w:tc>
          <w:tcPr>
            <w:tcW w:w="827"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11.29 </w:t>
            </w:r>
          </w:p>
        </w:tc>
        <w:tc>
          <w:tcPr>
            <w:tcW w:w="885"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tcBorders>
              <w:tl2br w:val="nil"/>
              <w:tr2bl w:val="nil"/>
            </w:tcBorders>
            <w:noWrap/>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二</w:t>
            </w:r>
          </w:p>
        </w:tc>
        <w:tc>
          <w:tcPr>
            <w:tcW w:w="1548" w:type="pct"/>
            <w:tcBorders>
              <w:tl2br w:val="nil"/>
              <w:tr2bl w:val="nil"/>
            </w:tcBorders>
            <w:noWrap/>
            <w:vAlign w:val="center"/>
          </w:tcPr>
          <w:p>
            <w:pPr>
              <w:widowControl/>
              <w:jc w:val="left"/>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工程管理费</w:t>
            </w:r>
          </w:p>
        </w:tc>
        <w:tc>
          <w:tcPr>
            <w:tcW w:w="779" w:type="pct"/>
            <w:tcBorders>
              <w:tl2br w:val="nil"/>
              <w:tr2bl w:val="nil"/>
            </w:tcBorders>
            <w:noWrap w:val="0"/>
            <w:vAlign w:val="center"/>
          </w:tcPr>
          <w:p>
            <w:pPr>
              <w:widowControl/>
              <w:jc w:val="center"/>
              <w:textAlignment w:val="center"/>
              <w:rPr>
                <w:rFonts w:hint="default" w:ascii="Times New Roman" w:hAnsi="Times New Roman" w:cs="Times New Roman" w:eastAsiaTheme="minorEastAsia"/>
                <w:b/>
                <w:bCs/>
                <w:color w:val="000000"/>
                <w:sz w:val="21"/>
                <w:szCs w:val="21"/>
              </w:rPr>
            </w:pPr>
            <w:r>
              <w:rPr>
                <w:rFonts w:hint="default" w:ascii="Times New Roman" w:hAnsi="Times New Roman" w:cs="Times New Roman" w:eastAsiaTheme="minorEastAsia"/>
                <w:b/>
                <w:bCs/>
                <w:color w:val="000000"/>
                <w:kern w:val="0"/>
                <w:sz w:val="21"/>
                <w:szCs w:val="21"/>
                <w:lang w:bidi="ar"/>
              </w:rPr>
              <w:t xml:space="preserve">10.47 </w:t>
            </w:r>
          </w:p>
        </w:tc>
        <w:tc>
          <w:tcPr>
            <w:tcW w:w="749" w:type="pct"/>
            <w:tcBorders>
              <w:tl2br w:val="nil"/>
              <w:tr2bl w:val="nil"/>
            </w:tcBorders>
            <w:noWrap/>
            <w:vAlign w:val="center"/>
          </w:tcPr>
          <w:p>
            <w:pPr>
              <w:jc w:val="center"/>
              <w:rPr>
                <w:rFonts w:hint="default" w:ascii="Times New Roman" w:hAnsi="Times New Roman" w:cs="Times New Roman" w:eastAsiaTheme="minorEastAsia"/>
                <w:b/>
                <w:bCs/>
                <w:color w:val="000000"/>
                <w:sz w:val="21"/>
                <w:szCs w:val="21"/>
              </w:rPr>
            </w:pPr>
          </w:p>
        </w:tc>
        <w:tc>
          <w:tcPr>
            <w:tcW w:w="827" w:type="pct"/>
            <w:tcBorders>
              <w:tl2br w:val="nil"/>
              <w:tr2bl w:val="nil"/>
            </w:tcBorders>
            <w:noWrap/>
            <w:vAlign w:val="center"/>
          </w:tcPr>
          <w:p>
            <w:pPr>
              <w:widowControl/>
              <w:jc w:val="center"/>
              <w:textAlignment w:val="center"/>
              <w:rPr>
                <w:rFonts w:hint="default" w:ascii="Times New Roman" w:hAnsi="Times New Roman" w:cs="Times New Roman" w:eastAsiaTheme="minorEastAsia"/>
                <w:b/>
                <w:bCs/>
                <w:color w:val="000000"/>
                <w:sz w:val="21"/>
                <w:szCs w:val="21"/>
              </w:rPr>
            </w:pPr>
            <w:r>
              <w:rPr>
                <w:rFonts w:hint="default" w:ascii="Times New Roman" w:hAnsi="Times New Roman" w:cs="Times New Roman" w:eastAsiaTheme="minorEastAsia"/>
                <w:b/>
                <w:bCs/>
                <w:color w:val="000000"/>
                <w:kern w:val="0"/>
                <w:sz w:val="21"/>
                <w:szCs w:val="21"/>
                <w:lang w:bidi="ar"/>
              </w:rPr>
              <w:t xml:space="preserve">10.47 </w:t>
            </w:r>
          </w:p>
        </w:tc>
        <w:tc>
          <w:tcPr>
            <w:tcW w:w="885" w:type="pct"/>
            <w:tcBorders>
              <w:tl2br w:val="nil"/>
              <w:tr2bl w:val="nil"/>
            </w:tcBorders>
            <w:noWrap/>
            <w:vAlign w:val="center"/>
          </w:tcPr>
          <w:p>
            <w:pPr>
              <w:widowControl/>
              <w:jc w:val="center"/>
              <w:textAlignment w:val="center"/>
              <w:rPr>
                <w:rFonts w:hint="default" w:ascii="Times New Roman" w:hAnsi="Times New Roman" w:cs="Times New Roman" w:eastAsiaTheme="minorEastAsia"/>
                <w:b/>
                <w:bCs/>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tcBorders>
              <w:tl2br w:val="nil"/>
              <w:tr2bl w:val="nil"/>
            </w:tcBorders>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1548" w:type="pct"/>
            <w:tcBorders>
              <w:tl2br w:val="nil"/>
              <w:tr2bl w:val="nil"/>
            </w:tcBorders>
            <w:noWrap/>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建设管理费</w:t>
            </w:r>
          </w:p>
        </w:tc>
        <w:tc>
          <w:tcPr>
            <w:tcW w:w="779"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3.63 </w:t>
            </w:r>
          </w:p>
        </w:tc>
        <w:tc>
          <w:tcPr>
            <w:tcW w:w="749" w:type="pct"/>
            <w:tcBorders>
              <w:tl2br w:val="nil"/>
              <w:tr2bl w:val="nil"/>
            </w:tcBorders>
            <w:noWrap/>
            <w:vAlign w:val="center"/>
          </w:tcPr>
          <w:p>
            <w:pPr>
              <w:jc w:val="center"/>
              <w:rPr>
                <w:rFonts w:hint="default" w:ascii="Times New Roman" w:hAnsi="Times New Roman" w:cs="Times New Roman" w:eastAsiaTheme="minorEastAsia"/>
                <w:color w:val="000000"/>
                <w:sz w:val="21"/>
                <w:szCs w:val="21"/>
              </w:rPr>
            </w:pPr>
          </w:p>
        </w:tc>
        <w:tc>
          <w:tcPr>
            <w:tcW w:w="827"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3.63 </w:t>
            </w:r>
          </w:p>
        </w:tc>
        <w:tc>
          <w:tcPr>
            <w:tcW w:w="885"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tcBorders>
              <w:tl2br w:val="nil"/>
              <w:tr2bl w:val="nil"/>
            </w:tcBorders>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1548" w:type="pct"/>
            <w:tcBorders>
              <w:tl2br w:val="nil"/>
              <w:tr2bl w:val="nil"/>
            </w:tcBorders>
            <w:noWrap/>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工程建设监理费</w:t>
            </w:r>
          </w:p>
        </w:tc>
        <w:tc>
          <w:tcPr>
            <w:tcW w:w="779"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5.27 </w:t>
            </w:r>
          </w:p>
        </w:tc>
        <w:tc>
          <w:tcPr>
            <w:tcW w:w="749" w:type="pct"/>
            <w:tcBorders>
              <w:tl2br w:val="nil"/>
              <w:tr2bl w:val="nil"/>
            </w:tcBorders>
            <w:noWrap/>
            <w:vAlign w:val="center"/>
          </w:tcPr>
          <w:p>
            <w:pPr>
              <w:jc w:val="center"/>
              <w:rPr>
                <w:rFonts w:hint="default" w:ascii="Times New Roman" w:hAnsi="Times New Roman" w:cs="Times New Roman" w:eastAsiaTheme="minorEastAsia"/>
                <w:color w:val="000000"/>
                <w:sz w:val="21"/>
                <w:szCs w:val="21"/>
              </w:rPr>
            </w:pPr>
          </w:p>
        </w:tc>
        <w:tc>
          <w:tcPr>
            <w:tcW w:w="827"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5.27 </w:t>
            </w:r>
          </w:p>
        </w:tc>
        <w:tc>
          <w:tcPr>
            <w:tcW w:w="885"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tcBorders>
              <w:tl2br w:val="nil"/>
              <w:tr2bl w:val="nil"/>
            </w:tcBorders>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w:t>
            </w:r>
          </w:p>
        </w:tc>
        <w:tc>
          <w:tcPr>
            <w:tcW w:w="1548" w:type="pct"/>
            <w:tcBorders>
              <w:tl2br w:val="nil"/>
              <w:tr2bl w:val="nil"/>
            </w:tcBorders>
            <w:noWrap/>
            <w:vAlign w:val="center"/>
          </w:tcPr>
          <w:p>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招标代理服务费</w:t>
            </w:r>
          </w:p>
        </w:tc>
        <w:tc>
          <w:tcPr>
            <w:tcW w:w="779"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1.57 </w:t>
            </w:r>
          </w:p>
        </w:tc>
        <w:tc>
          <w:tcPr>
            <w:tcW w:w="749" w:type="pct"/>
            <w:tcBorders>
              <w:tl2br w:val="nil"/>
              <w:tr2bl w:val="nil"/>
            </w:tcBorders>
            <w:noWrap/>
            <w:vAlign w:val="center"/>
          </w:tcPr>
          <w:p>
            <w:pPr>
              <w:jc w:val="center"/>
              <w:rPr>
                <w:rFonts w:hint="default" w:ascii="Times New Roman" w:hAnsi="Times New Roman" w:cs="Times New Roman" w:eastAsiaTheme="minorEastAsia"/>
                <w:color w:val="000000"/>
                <w:sz w:val="21"/>
                <w:szCs w:val="21"/>
              </w:rPr>
            </w:pPr>
          </w:p>
        </w:tc>
        <w:tc>
          <w:tcPr>
            <w:tcW w:w="827"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kern w:val="0"/>
                <w:sz w:val="21"/>
                <w:szCs w:val="21"/>
                <w:lang w:bidi="ar"/>
              </w:rPr>
              <w:t xml:space="preserve">1.57 </w:t>
            </w:r>
          </w:p>
        </w:tc>
        <w:tc>
          <w:tcPr>
            <w:tcW w:w="885"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tcBorders>
              <w:tl2br w:val="nil"/>
              <w:tr2bl w:val="nil"/>
            </w:tcBorders>
            <w:noWrap/>
            <w:vAlign w:val="center"/>
          </w:tcPr>
          <w:p>
            <w:pPr>
              <w:jc w:val="center"/>
              <w:rPr>
                <w:rFonts w:hint="eastAsia" w:asciiTheme="minorEastAsia" w:hAnsiTheme="minorEastAsia" w:eastAsiaTheme="minorEastAsia" w:cstheme="minorEastAsia"/>
                <w:b/>
                <w:bCs/>
                <w:color w:val="000000"/>
                <w:sz w:val="21"/>
                <w:szCs w:val="21"/>
              </w:rPr>
            </w:pPr>
          </w:p>
        </w:tc>
        <w:tc>
          <w:tcPr>
            <w:tcW w:w="1548" w:type="pct"/>
            <w:tcBorders>
              <w:tl2br w:val="nil"/>
              <w:tr2bl w:val="nil"/>
            </w:tcBorders>
            <w:noWrap/>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一至五部分合计</w:t>
            </w:r>
          </w:p>
        </w:tc>
        <w:tc>
          <w:tcPr>
            <w:tcW w:w="779" w:type="pct"/>
            <w:tcBorders>
              <w:tl2br w:val="nil"/>
              <w:tr2bl w:val="nil"/>
            </w:tcBorders>
            <w:noWrap/>
            <w:vAlign w:val="center"/>
          </w:tcPr>
          <w:p>
            <w:pPr>
              <w:widowControl/>
              <w:jc w:val="center"/>
              <w:textAlignment w:val="center"/>
              <w:rPr>
                <w:rFonts w:hint="default" w:ascii="Times New Roman" w:hAnsi="Times New Roman" w:cs="Times New Roman" w:eastAsiaTheme="minorEastAsia"/>
                <w:b/>
                <w:bCs/>
                <w:color w:val="000000"/>
                <w:sz w:val="21"/>
                <w:szCs w:val="21"/>
              </w:rPr>
            </w:pPr>
            <w:r>
              <w:rPr>
                <w:rFonts w:hint="default" w:ascii="Times New Roman" w:hAnsi="Times New Roman" w:cs="Times New Roman" w:eastAsiaTheme="minorEastAsia"/>
                <w:b/>
                <w:bCs/>
                <w:color w:val="000000"/>
                <w:kern w:val="0"/>
                <w:sz w:val="21"/>
                <w:szCs w:val="21"/>
                <w:lang w:bidi="ar"/>
              </w:rPr>
              <w:t xml:space="preserve">229.17 </w:t>
            </w:r>
          </w:p>
        </w:tc>
        <w:tc>
          <w:tcPr>
            <w:tcW w:w="749" w:type="pct"/>
            <w:tcBorders>
              <w:tl2br w:val="nil"/>
              <w:tr2bl w:val="nil"/>
            </w:tcBorders>
            <w:noWrap/>
            <w:vAlign w:val="center"/>
          </w:tcPr>
          <w:p>
            <w:pPr>
              <w:widowControl/>
              <w:jc w:val="center"/>
              <w:textAlignment w:val="center"/>
              <w:rPr>
                <w:rFonts w:hint="default" w:ascii="Times New Roman" w:hAnsi="Times New Roman" w:cs="Times New Roman" w:eastAsiaTheme="minorEastAsia"/>
                <w:b/>
                <w:bCs/>
                <w:color w:val="000000"/>
                <w:sz w:val="21"/>
                <w:szCs w:val="21"/>
              </w:rPr>
            </w:pPr>
            <w:r>
              <w:rPr>
                <w:rFonts w:hint="default" w:ascii="Times New Roman" w:hAnsi="Times New Roman" w:cs="Times New Roman" w:eastAsiaTheme="minorEastAsia"/>
                <w:b/>
                <w:bCs/>
                <w:color w:val="000000"/>
                <w:kern w:val="0"/>
                <w:sz w:val="21"/>
                <w:szCs w:val="21"/>
                <w:lang w:bidi="ar"/>
              </w:rPr>
              <w:t xml:space="preserve">150.80 </w:t>
            </w:r>
          </w:p>
        </w:tc>
        <w:tc>
          <w:tcPr>
            <w:tcW w:w="827" w:type="pct"/>
            <w:tcBorders>
              <w:tl2br w:val="nil"/>
              <w:tr2bl w:val="nil"/>
            </w:tcBorders>
            <w:noWrap/>
            <w:vAlign w:val="center"/>
          </w:tcPr>
          <w:p>
            <w:pPr>
              <w:widowControl/>
              <w:jc w:val="center"/>
              <w:textAlignment w:val="center"/>
              <w:rPr>
                <w:rFonts w:hint="default" w:ascii="Times New Roman" w:hAnsi="Times New Roman" w:cs="Times New Roman" w:eastAsiaTheme="minorEastAsia"/>
                <w:b/>
                <w:bCs/>
                <w:color w:val="000000"/>
                <w:sz w:val="21"/>
                <w:szCs w:val="21"/>
              </w:rPr>
            </w:pPr>
            <w:r>
              <w:rPr>
                <w:rFonts w:hint="default" w:ascii="Times New Roman" w:hAnsi="Times New Roman" w:cs="Times New Roman" w:eastAsiaTheme="minorEastAsia"/>
                <w:b/>
                <w:bCs/>
                <w:color w:val="000000"/>
                <w:kern w:val="0"/>
                <w:sz w:val="21"/>
                <w:szCs w:val="21"/>
                <w:lang w:bidi="ar"/>
              </w:rPr>
              <w:t xml:space="preserve">379.97 </w:t>
            </w:r>
          </w:p>
        </w:tc>
        <w:tc>
          <w:tcPr>
            <w:tcW w:w="885" w:type="pct"/>
            <w:tcBorders>
              <w:tl2br w:val="nil"/>
              <w:tr2bl w:val="nil"/>
            </w:tcBorders>
            <w:noWrap/>
            <w:vAlign w:val="center"/>
          </w:tcPr>
          <w:p>
            <w:pPr>
              <w:widowControl/>
              <w:jc w:val="center"/>
              <w:textAlignment w:val="center"/>
              <w:rPr>
                <w:rFonts w:hint="default" w:ascii="Times New Roman" w:hAnsi="Times New Roman" w:cs="Times New Roman" w:eastAsiaTheme="minorEastAsia"/>
                <w:b/>
                <w:bCs/>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tcBorders>
              <w:tl2br w:val="nil"/>
              <w:tr2bl w:val="nil"/>
            </w:tcBorders>
            <w:noWrap/>
            <w:vAlign w:val="center"/>
          </w:tcPr>
          <w:p>
            <w:pPr>
              <w:jc w:val="center"/>
              <w:rPr>
                <w:rFonts w:hint="eastAsia" w:asciiTheme="minorEastAsia" w:hAnsiTheme="minorEastAsia" w:eastAsiaTheme="minorEastAsia" w:cstheme="minorEastAsia"/>
                <w:color w:val="000000"/>
                <w:sz w:val="21"/>
                <w:szCs w:val="21"/>
              </w:rPr>
            </w:pPr>
          </w:p>
        </w:tc>
        <w:tc>
          <w:tcPr>
            <w:tcW w:w="1548" w:type="pct"/>
            <w:tcBorders>
              <w:tl2br w:val="nil"/>
              <w:tr2bl w:val="nil"/>
            </w:tcBorders>
            <w:noWrap/>
            <w:vAlign w:val="center"/>
          </w:tcPr>
          <w:p>
            <w:pPr>
              <w:widowControl/>
              <w:jc w:val="left"/>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基本预备费</w:t>
            </w:r>
          </w:p>
        </w:tc>
        <w:tc>
          <w:tcPr>
            <w:tcW w:w="779" w:type="pct"/>
            <w:tcBorders>
              <w:tl2br w:val="nil"/>
              <w:tr2bl w:val="nil"/>
            </w:tcBorders>
            <w:noWrap/>
            <w:vAlign w:val="center"/>
          </w:tcPr>
          <w:p>
            <w:pPr>
              <w:widowControl/>
              <w:jc w:val="center"/>
              <w:textAlignment w:val="center"/>
              <w:rPr>
                <w:rFonts w:hint="default" w:ascii="Times New Roman" w:hAnsi="Times New Roman" w:cs="Times New Roman" w:eastAsiaTheme="minorEastAsia"/>
                <w:b/>
                <w:bCs/>
                <w:color w:val="000000"/>
                <w:sz w:val="21"/>
                <w:szCs w:val="21"/>
              </w:rPr>
            </w:pPr>
            <w:r>
              <w:rPr>
                <w:rFonts w:hint="default" w:ascii="Times New Roman" w:hAnsi="Times New Roman" w:cs="Times New Roman" w:eastAsiaTheme="minorEastAsia"/>
                <w:b/>
                <w:bCs/>
                <w:color w:val="000000"/>
                <w:kern w:val="0"/>
                <w:sz w:val="21"/>
                <w:szCs w:val="21"/>
                <w:lang w:bidi="ar"/>
              </w:rPr>
              <w:t xml:space="preserve">13.75 </w:t>
            </w:r>
          </w:p>
        </w:tc>
        <w:tc>
          <w:tcPr>
            <w:tcW w:w="749" w:type="pct"/>
            <w:tcBorders>
              <w:tl2br w:val="nil"/>
              <w:tr2bl w:val="nil"/>
            </w:tcBorders>
            <w:noWrap/>
            <w:vAlign w:val="center"/>
          </w:tcPr>
          <w:p>
            <w:pPr>
              <w:jc w:val="center"/>
              <w:rPr>
                <w:rFonts w:hint="default" w:ascii="Times New Roman" w:hAnsi="Times New Roman" w:cs="Times New Roman" w:eastAsiaTheme="minorEastAsia"/>
                <w:b/>
                <w:bCs/>
                <w:color w:val="000000"/>
                <w:sz w:val="21"/>
                <w:szCs w:val="21"/>
              </w:rPr>
            </w:pPr>
          </w:p>
        </w:tc>
        <w:tc>
          <w:tcPr>
            <w:tcW w:w="827" w:type="pct"/>
            <w:tcBorders>
              <w:tl2br w:val="nil"/>
              <w:tr2bl w:val="nil"/>
            </w:tcBorders>
            <w:noWrap/>
            <w:vAlign w:val="center"/>
          </w:tcPr>
          <w:p>
            <w:pPr>
              <w:widowControl/>
              <w:jc w:val="center"/>
              <w:textAlignment w:val="center"/>
              <w:rPr>
                <w:rFonts w:hint="default" w:ascii="Times New Roman" w:hAnsi="Times New Roman" w:cs="Times New Roman" w:eastAsiaTheme="minorEastAsia"/>
                <w:b/>
                <w:bCs/>
                <w:color w:val="000000"/>
                <w:sz w:val="21"/>
                <w:szCs w:val="21"/>
              </w:rPr>
            </w:pPr>
            <w:r>
              <w:rPr>
                <w:rFonts w:hint="default" w:ascii="Times New Roman" w:hAnsi="Times New Roman" w:cs="Times New Roman" w:eastAsiaTheme="minorEastAsia"/>
                <w:b/>
                <w:bCs/>
                <w:color w:val="000000"/>
                <w:kern w:val="0"/>
                <w:sz w:val="21"/>
                <w:szCs w:val="21"/>
                <w:lang w:bidi="ar"/>
              </w:rPr>
              <w:t xml:space="preserve">13.75 </w:t>
            </w:r>
          </w:p>
        </w:tc>
        <w:tc>
          <w:tcPr>
            <w:tcW w:w="885"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tcBorders>
              <w:tl2br w:val="nil"/>
              <w:tr2bl w:val="nil"/>
            </w:tcBorders>
            <w:noWrap/>
            <w:vAlign w:val="center"/>
          </w:tcPr>
          <w:p>
            <w:pPr>
              <w:jc w:val="center"/>
              <w:rPr>
                <w:rFonts w:hint="eastAsia" w:asciiTheme="minorEastAsia" w:hAnsiTheme="minorEastAsia" w:eastAsiaTheme="minorEastAsia" w:cstheme="minorEastAsia"/>
                <w:color w:val="000000"/>
                <w:sz w:val="21"/>
                <w:szCs w:val="21"/>
              </w:rPr>
            </w:pPr>
          </w:p>
        </w:tc>
        <w:tc>
          <w:tcPr>
            <w:tcW w:w="1548" w:type="pct"/>
            <w:tcBorders>
              <w:tl2br w:val="nil"/>
              <w:tr2bl w:val="nil"/>
            </w:tcBorders>
            <w:noWrap/>
            <w:vAlign w:val="center"/>
          </w:tcPr>
          <w:p>
            <w:pPr>
              <w:widowControl/>
              <w:jc w:val="left"/>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水土保持补偿费</w:t>
            </w:r>
          </w:p>
        </w:tc>
        <w:tc>
          <w:tcPr>
            <w:tcW w:w="779" w:type="pct"/>
            <w:tcBorders>
              <w:tl2br w:val="nil"/>
              <w:tr2bl w:val="nil"/>
            </w:tcBorders>
            <w:noWrap/>
            <w:vAlign w:val="center"/>
          </w:tcPr>
          <w:p>
            <w:pPr>
              <w:widowControl/>
              <w:jc w:val="center"/>
              <w:textAlignment w:val="center"/>
              <w:rPr>
                <w:rFonts w:hint="default" w:ascii="Times New Roman" w:hAnsi="Times New Roman" w:cs="Times New Roman" w:eastAsiaTheme="minorEastAsia"/>
                <w:b/>
                <w:bCs/>
                <w:color w:val="000000"/>
                <w:sz w:val="21"/>
                <w:szCs w:val="21"/>
              </w:rPr>
            </w:pPr>
            <w:r>
              <w:rPr>
                <w:rFonts w:hint="default" w:ascii="Times New Roman" w:hAnsi="Times New Roman" w:cs="Times New Roman" w:eastAsiaTheme="minorEastAsia"/>
                <w:b/>
                <w:bCs/>
                <w:color w:val="000000"/>
                <w:kern w:val="0"/>
                <w:sz w:val="21"/>
                <w:szCs w:val="21"/>
                <w:lang w:bidi="ar"/>
              </w:rPr>
              <w:t xml:space="preserve">22.442 </w:t>
            </w:r>
          </w:p>
        </w:tc>
        <w:tc>
          <w:tcPr>
            <w:tcW w:w="749" w:type="pct"/>
            <w:tcBorders>
              <w:tl2br w:val="nil"/>
              <w:tr2bl w:val="nil"/>
            </w:tcBorders>
            <w:noWrap/>
            <w:vAlign w:val="center"/>
          </w:tcPr>
          <w:p>
            <w:pPr>
              <w:jc w:val="center"/>
              <w:rPr>
                <w:rFonts w:hint="default" w:ascii="Times New Roman" w:hAnsi="Times New Roman" w:cs="Times New Roman" w:eastAsiaTheme="minorEastAsia"/>
                <w:b/>
                <w:bCs/>
                <w:color w:val="000000"/>
                <w:sz w:val="21"/>
                <w:szCs w:val="21"/>
              </w:rPr>
            </w:pPr>
          </w:p>
        </w:tc>
        <w:tc>
          <w:tcPr>
            <w:tcW w:w="827" w:type="pct"/>
            <w:tcBorders>
              <w:tl2br w:val="nil"/>
              <w:tr2bl w:val="nil"/>
            </w:tcBorders>
            <w:noWrap/>
            <w:vAlign w:val="center"/>
          </w:tcPr>
          <w:p>
            <w:pPr>
              <w:widowControl/>
              <w:jc w:val="center"/>
              <w:textAlignment w:val="center"/>
              <w:rPr>
                <w:rFonts w:hint="default" w:ascii="Times New Roman" w:hAnsi="Times New Roman" w:cs="Times New Roman" w:eastAsiaTheme="minorEastAsia"/>
                <w:b/>
                <w:bCs/>
                <w:color w:val="000000"/>
                <w:sz w:val="21"/>
                <w:szCs w:val="21"/>
              </w:rPr>
            </w:pPr>
            <w:r>
              <w:rPr>
                <w:rFonts w:hint="default" w:ascii="Times New Roman" w:hAnsi="Times New Roman" w:cs="Times New Roman" w:eastAsiaTheme="minorEastAsia"/>
                <w:b/>
                <w:bCs/>
                <w:color w:val="000000"/>
                <w:kern w:val="0"/>
                <w:sz w:val="21"/>
                <w:szCs w:val="21"/>
                <w:lang w:bidi="ar"/>
              </w:rPr>
              <w:t xml:space="preserve">22.442 </w:t>
            </w:r>
          </w:p>
        </w:tc>
        <w:tc>
          <w:tcPr>
            <w:tcW w:w="885" w:type="pct"/>
            <w:tcBorders>
              <w:tl2br w:val="nil"/>
              <w:tr2bl w:val="nil"/>
            </w:tcBorders>
            <w:noWrap/>
            <w:vAlign w:val="center"/>
          </w:tcPr>
          <w:p>
            <w:pPr>
              <w:widowControl/>
              <w:jc w:val="center"/>
              <w:textAlignment w:val="center"/>
              <w:rPr>
                <w:rFonts w:hint="default" w:ascii="Times New Roman" w:hAnsi="Times New Roman" w:cs="Times New Roman" w:eastAsiaTheme="minorEastAsia"/>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210" w:type="pct"/>
            <w:tcBorders>
              <w:tl2br w:val="nil"/>
              <w:tr2bl w:val="nil"/>
            </w:tcBorders>
            <w:noWrap/>
            <w:vAlign w:val="center"/>
          </w:tcPr>
          <w:p>
            <w:pPr>
              <w:jc w:val="center"/>
              <w:rPr>
                <w:rFonts w:hint="eastAsia" w:asciiTheme="minorEastAsia" w:hAnsiTheme="minorEastAsia" w:eastAsiaTheme="minorEastAsia" w:cstheme="minorEastAsia"/>
                <w:b/>
                <w:bCs/>
                <w:color w:val="000000"/>
                <w:sz w:val="21"/>
                <w:szCs w:val="21"/>
              </w:rPr>
            </w:pPr>
          </w:p>
        </w:tc>
        <w:tc>
          <w:tcPr>
            <w:tcW w:w="1548" w:type="pct"/>
            <w:tcBorders>
              <w:tl2br w:val="nil"/>
              <w:tr2bl w:val="nil"/>
            </w:tcBorders>
            <w:noWrap/>
            <w:vAlign w:val="center"/>
          </w:tcPr>
          <w:p>
            <w:pPr>
              <w:widowControl/>
              <w:jc w:val="left"/>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水土保持方案静态总投资</w:t>
            </w:r>
          </w:p>
        </w:tc>
        <w:tc>
          <w:tcPr>
            <w:tcW w:w="779" w:type="pct"/>
            <w:tcBorders>
              <w:tl2br w:val="nil"/>
              <w:tr2bl w:val="nil"/>
            </w:tcBorders>
            <w:noWrap/>
            <w:vAlign w:val="center"/>
          </w:tcPr>
          <w:p>
            <w:pPr>
              <w:widowControl/>
              <w:jc w:val="center"/>
              <w:textAlignment w:val="center"/>
              <w:rPr>
                <w:rFonts w:hint="default" w:ascii="Times New Roman" w:hAnsi="Times New Roman" w:cs="Times New Roman" w:eastAsiaTheme="minorEastAsia"/>
                <w:b/>
                <w:bCs/>
                <w:color w:val="000000"/>
                <w:sz w:val="21"/>
                <w:szCs w:val="21"/>
              </w:rPr>
            </w:pPr>
            <w:r>
              <w:rPr>
                <w:rFonts w:hint="default" w:ascii="Times New Roman" w:hAnsi="Times New Roman" w:cs="Times New Roman" w:eastAsiaTheme="minorEastAsia"/>
                <w:b/>
                <w:bCs/>
                <w:color w:val="000000"/>
                <w:kern w:val="0"/>
                <w:sz w:val="21"/>
                <w:szCs w:val="21"/>
                <w:lang w:bidi="ar"/>
              </w:rPr>
              <w:t xml:space="preserve">265.36 </w:t>
            </w:r>
          </w:p>
        </w:tc>
        <w:tc>
          <w:tcPr>
            <w:tcW w:w="749" w:type="pct"/>
            <w:tcBorders>
              <w:tl2br w:val="nil"/>
              <w:tr2bl w:val="nil"/>
            </w:tcBorders>
            <w:noWrap/>
            <w:vAlign w:val="center"/>
          </w:tcPr>
          <w:p>
            <w:pPr>
              <w:widowControl/>
              <w:jc w:val="center"/>
              <w:textAlignment w:val="center"/>
              <w:rPr>
                <w:rFonts w:hint="default" w:ascii="Times New Roman" w:hAnsi="Times New Roman" w:cs="Times New Roman" w:eastAsiaTheme="minorEastAsia"/>
                <w:b/>
                <w:bCs/>
                <w:color w:val="000000"/>
                <w:sz w:val="21"/>
                <w:szCs w:val="21"/>
              </w:rPr>
            </w:pPr>
            <w:r>
              <w:rPr>
                <w:rFonts w:hint="default" w:ascii="Times New Roman" w:hAnsi="Times New Roman" w:cs="Times New Roman" w:eastAsiaTheme="minorEastAsia"/>
                <w:b/>
                <w:bCs/>
                <w:color w:val="000000"/>
                <w:kern w:val="0"/>
                <w:sz w:val="21"/>
                <w:szCs w:val="21"/>
                <w:lang w:bidi="ar"/>
              </w:rPr>
              <w:t xml:space="preserve">150.80 </w:t>
            </w:r>
          </w:p>
        </w:tc>
        <w:tc>
          <w:tcPr>
            <w:tcW w:w="827" w:type="pct"/>
            <w:tcBorders>
              <w:tl2br w:val="nil"/>
              <w:tr2bl w:val="nil"/>
            </w:tcBorders>
            <w:noWrap/>
            <w:vAlign w:val="center"/>
          </w:tcPr>
          <w:p>
            <w:pPr>
              <w:widowControl/>
              <w:jc w:val="center"/>
              <w:textAlignment w:val="center"/>
              <w:rPr>
                <w:rFonts w:hint="default" w:ascii="Times New Roman" w:hAnsi="Times New Roman" w:cs="Times New Roman" w:eastAsiaTheme="minorEastAsia"/>
                <w:b/>
                <w:bCs/>
                <w:color w:val="000000"/>
                <w:sz w:val="21"/>
                <w:szCs w:val="21"/>
              </w:rPr>
            </w:pPr>
            <w:r>
              <w:rPr>
                <w:rFonts w:hint="default" w:ascii="Times New Roman" w:hAnsi="Times New Roman" w:cs="Times New Roman" w:eastAsiaTheme="minorEastAsia"/>
                <w:b/>
                <w:bCs/>
                <w:color w:val="000000"/>
                <w:kern w:val="0"/>
                <w:sz w:val="21"/>
                <w:szCs w:val="21"/>
                <w:lang w:bidi="ar"/>
              </w:rPr>
              <w:t xml:space="preserve">416.16 </w:t>
            </w:r>
          </w:p>
        </w:tc>
        <w:tc>
          <w:tcPr>
            <w:tcW w:w="885" w:type="pct"/>
            <w:tcBorders>
              <w:tl2br w:val="nil"/>
              <w:tr2bl w:val="nil"/>
            </w:tcBorders>
            <w:noWrap/>
            <w:vAlign w:val="center"/>
          </w:tcPr>
          <w:p>
            <w:pPr>
              <w:widowControl/>
              <w:jc w:val="center"/>
              <w:textAlignment w:val="center"/>
              <w:rPr>
                <w:rFonts w:hint="default" w:ascii="Times New Roman" w:hAnsi="Times New Roman" w:cs="Times New Roman" w:eastAsiaTheme="minorEastAsia"/>
                <w:b/>
                <w:bCs/>
                <w:color w:val="000000"/>
                <w:sz w:val="21"/>
                <w:szCs w:val="21"/>
              </w:rPr>
            </w:pPr>
          </w:p>
        </w:tc>
      </w:tr>
    </w:tbl>
    <w:p>
      <w:pPr>
        <w:spacing w:line="594" w:lineRule="exact"/>
        <w:jc w:val="both"/>
        <w:rPr>
          <w:rFonts w:hint="eastAsia" w:ascii="Times New Roman" w:hAnsi="Times New Roman" w:eastAsia="方正小标宋_GBK"/>
          <w:color w:val="FF0000"/>
          <w:sz w:val="18"/>
          <w:szCs w:val="18"/>
        </w:rPr>
      </w:pPr>
    </w:p>
    <w:sectPr>
      <w:footerReference r:id="rId5" w:type="default"/>
      <w:footerReference r:id="rId6" w:type="even"/>
      <w:pgSz w:w="11906" w:h="16838"/>
      <w:pgMar w:top="1985" w:right="1446" w:bottom="1684" w:left="1446" w:header="851" w:footer="992" w:gutter="0"/>
      <w:pgBorders>
        <w:top w:val="none" w:sz="0" w:space="0"/>
        <w:left w:val="none" w:sz="0" w:space="0"/>
        <w:bottom w:val="none" w:sz="0" w:space="0"/>
        <w:right w:val="none" w:sz="0" w:space="0"/>
      </w:pgBorders>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2"/>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2"/>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Style w:val="12"/>
        <w:rFonts w:ascii="Times New Roman" w:hAnsi="Times New Roman" w:eastAsia="宋体" w:cs="Times New Roman"/>
        <w:kern w:val="2"/>
        <w:sz w:val="18"/>
        <w:szCs w:val="18"/>
        <w:lang w:val="en-US" w:eastAsia="zh-CN" w:bidi="ar-SA"/>
      </w:rPr>
      <w:t>10</w:t>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hint="eastAsia"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2"/>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2"/>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15</w:t>
    </w:r>
    <w:r>
      <w:fldChar w:fldCharType="end"/>
    </w:r>
  </w:p>
  <w:p>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trackedChanges" w:enforcement="0"/>
  <w:defaultTabStop w:val="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62"/>
    <w:rsid w:val="00000605"/>
    <w:rsid w:val="00012BAC"/>
    <w:rsid w:val="000649C7"/>
    <w:rsid w:val="00071D96"/>
    <w:rsid w:val="00074C37"/>
    <w:rsid w:val="00096CEE"/>
    <w:rsid w:val="000B0CF9"/>
    <w:rsid w:val="000B68B0"/>
    <w:rsid w:val="000D0BAC"/>
    <w:rsid w:val="000E314B"/>
    <w:rsid w:val="000E69AF"/>
    <w:rsid w:val="00125B15"/>
    <w:rsid w:val="00130049"/>
    <w:rsid w:val="00155C8D"/>
    <w:rsid w:val="0016268E"/>
    <w:rsid w:val="00175A60"/>
    <w:rsid w:val="0019513F"/>
    <w:rsid w:val="001A6F25"/>
    <w:rsid w:val="0024053E"/>
    <w:rsid w:val="00241BDF"/>
    <w:rsid w:val="00245C1E"/>
    <w:rsid w:val="0027302C"/>
    <w:rsid w:val="00286F5A"/>
    <w:rsid w:val="00290759"/>
    <w:rsid w:val="00297E9B"/>
    <w:rsid w:val="002F5F39"/>
    <w:rsid w:val="002F7AEB"/>
    <w:rsid w:val="0032254C"/>
    <w:rsid w:val="00345138"/>
    <w:rsid w:val="003661C7"/>
    <w:rsid w:val="003718D7"/>
    <w:rsid w:val="003863F5"/>
    <w:rsid w:val="003D5855"/>
    <w:rsid w:val="003F6C1C"/>
    <w:rsid w:val="00415008"/>
    <w:rsid w:val="00416BE9"/>
    <w:rsid w:val="0042712E"/>
    <w:rsid w:val="004306F2"/>
    <w:rsid w:val="00443C83"/>
    <w:rsid w:val="00450581"/>
    <w:rsid w:val="00483A2E"/>
    <w:rsid w:val="004A1C1D"/>
    <w:rsid w:val="004B0790"/>
    <w:rsid w:val="004D61F5"/>
    <w:rsid w:val="004E3A6D"/>
    <w:rsid w:val="0050533E"/>
    <w:rsid w:val="00510FA8"/>
    <w:rsid w:val="0051166D"/>
    <w:rsid w:val="00546E7E"/>
    <w:rsid w:val="00546EC0"/>
    <w:rsid w:val="00551A12"/>
    <w:rsid w:val="00577F49"/>
    <w:rsid w:val="00594935"/>
    <w:rsid w:val="005C51EF"/>
    <w:rsid w:val="005E19DE"/>
    <w:rsid w:val="005E4F0A"/>
    <w:rsid w:val="005F4CCF"/>
    <w:rsid w:val="00635445"/>
    <w:rsid w:val="00680FF8"/>
    <w:rsid w:val="006D3E9A"/>
    <w:rsid w:val="006E3662"/>
    <w:rsid w:val="006F4EA4"/>
    <w:rsid w:val="00701D12"/>
    <w:rsid w:val="00723C87"/>
    <w:rsid w:val="00731579"/>
    <w:rsid w:val="00735283"/>
    <w:rsid w:val="00753676"/>
    <w:rsid w:val="00754A00"/>
    <w:rsid w:val="00762D93"/>
    <w:rsid w:val="007B22E8"/>
    <w:rsid w:val="007D3693"/>
    <w:rsid w:val="007D5A0D"/>
    <w:rsid w:val="00881B53"/>
    <w:rsid w:val="0089659E"/>
    <w:rsid w:val="008A16A3"/>
    <w:rsid w:val="008B38E0"/>
    <w:rsid w:val="008F12C8"/>
    <w:rsid w:val="008F417A"/>
    <w:rsid w:val="009543F7"/>
    <w:rsid w:val="009559AF"/>
    <w:rsid w:val="00971841"/>
    <w:rsid w:val="00976E94"/>
    <w:rsid w:val="00993A6B"/>
    <w:rsid w:val="009A4F89"/>
    <w:rsid w:val="009B6F90"/>
    <w:rsid w:val="009C6F88"/>
    <w:rsid w:val="009E0ABA"/>
    <w:rsid w:val="009E10A6"/>
    <w:rsid w:val="009F130B"/>
    <w:rsid w:val="00A43487"/>
    <w:rsid w:val="00A43587"/>
    <w:rsid w:val="00A45B4C"/>
    <w:rsid w:val="00A45E80"/>
    <w:rsid w:val="00A45E96"/>
    <w:rsid w:val="00A7428E"/>
    <w:rsid w:val="00AA29C2"/>
    <w:rsid w:val="00AA44E4"/>
    <w:rsid w:val="00B13220"/>
    <w:rsid w:val="00B331C7"/>
    <w:rsid w:val="00B35F0F"/>
    <w:rsid w:val="00B475EF"/>
    <w:rsid w:val="00B52857"/>
    <w:rsid w:val="00B654A6"/>
    <w:rsid w:val="00B76AC7"/>
    <w:rsid w:val="00B77542"/>
    <w:rsid w:val="00B92EF2"/>
    <w:rsid w:val="00BA6DE2"/>
    <w:rsid w:val="00BC4768"/>
    <w:rsid w:val="00BF5C20"/>
    <w:rsid w:val="00C141D8"/>
    <w:rsid w:val="00C15DB7"/>
    <w:rsid w:val="00C16FCF"/>
    <w:rsid w:val="00C2433B"/>
    <w:rsid w:val="00C261D2"/>
    <w:rsid w:val="00C32856"/>
    <w:rsid w:val="00C47D7C"/>
    <w:rsid w:val="00CA7B96"/>
    <w:rsid w:val="00CC005B"/>
    <w:rsid w:val="00CC09DB"/>
    <w:rsid w:val="00CC1700"/>
    <w:rsid w:val="00CD4B52"/>
    <w:rsid w:val="00D15928"/>
    <w:rsid w:val="00D214BE"/>
    <w:rsid w:val="00D3164C"/>
    <w:rsid w:val="00D716DF"/>
    <w:rsid w:val="00D735B9"/>
    <w:rsid w:val="00D8100B"/>
    <w:rsid w:val="00D81059"/>
    <w:rsid w:val="00D83A6F"/>
    <w:rsid w:val="00D96A7F"/>
    <w:rsid w:val="00DA55C4"/>
    <w:rsid w:val="00DA647F"/>
    <w:rsid w:val="00DC0C94"/>
    <w:rsid w:val="00DD1780"/>
    <w:rsid w:val="00DF7B16"/>
    <w:rsid w:val="00E00378"/>
    <w:rsid w:val="00E31C30"/>
    <w:rsid w:val="00E52538"/>
    <w:rsid w:val="00E7136A"/>
    <w:rsid w:val="00EC61A9"/>
    <w:rsid w:val="00EF7973"/>
    <w:rsid w:val="00F1599A"/>
    <w:rsid w:val="00F46C9A"/>
    <w:rsid w:val="00F536B4"/>
    <w:rsid w:val="00F575D5"/>
    <w:rsid w:val="00F60FAA"/>
    <w:rsid w:val="00FA2DC0"/>
    <w:rsid w:val="00FC3AA0"/>
    <w:rsid w:val="00FD23D1"/>
    <w:rsid w:val="00FF630C"/>
    <w:rsid w:val="1BD6CF5C"/>
    <w:rsid w:val="1EBD3525"/>
    <w:rsid w:val="1F9FA41B"/>
    <w:rsid w:val="25AE27CD"/>
    <w:rsid w:val="26239CEA"/>
    <w:rsid w:val="2DFB35DB"/>
    <w:rsid w:val="37976650"/>
    <w:rsid w:val="3B6DE0EA"/>
    <w:rsid w:val="3D5B9BA8"/>
    <w:rsid w:val="3F1FC717"/>
    <w:rsid w:val="3FF717B1"/>
    <w:rsid w:val="3FFD4868"/>
    <w:rsid w:val="41BD3F9A"/>
    <w:rsid w:val="457FD4F0"/>
    <w:rsid w:val="55B78635"/>
    <w:rsid w:val="5BFC98DF"/>
    <w:rsid w:val="5DB75B96"/>
    <w:rsid w:val="5DE6A532"/>
    <w:rsid w:val="5E531CE0"/>
    <w:rsid w:val="674BA78F"/>
    <w:rsid w:val="6BCF8021"/>
    <w:rsid w:val="6BFE9542"/>
    <w:rsid w:val="6D7BE9D6"/>
    <w:rsid w:val="6FDF1A4C"/>
    <w:rsid w:val="71EE10CD"/>
    <w:rsid w:val="77D77542"/>
    <w:rsid w:val="79FF5FE9"/>
    <w:rsid w:val="7CF5B894"/>
    <w:rsid w:val="7DDFF8A4"/>
    <w:rsid w:val="7DF37FA8"/>
    <w:rsid w:val="7F7BD41E"/>
    <w:rsid w:val="7FAFDDDE"/>
    <w:rsid w:val="7FBD3A47"/>
    <w:rsid w:val="7FFF738C"/>
    <w:rsid w:val="83FF2E68"/>
    <w:rsid w:val="8F5F710F"/>
    <w:rsid w:val="9D9E4D05"/>
    <w:rsid w:val="9EFCA69E"/>
    <w:rsid w:val="9F5EB005"/>
    <w:rsid w:val="AFBD777C"/>
    <w:rsid w:val="B7C628FB"/>
    <w:rsid w:val="BDEF2281"/>
    <w:rsid w:val="BED790B1"/>
    <w:rsid w:val="BEFE32AD"/>
    <w:rsid w:val="BFF7F52E"/>
    <w:rsid w:val="C59FAD71"/>
    <w:rsid w:val="C7D72F06"/>
    <w:rsid w:val="CB6BB40B"/>
    <w:rsid w:val="CF5DB090"/>
    <w:rsid w:val="D056FF74"/>
    <w:rsid w:val="DCDD1115"/>
    <w:rsid w:val="DED782E6"/>
    <w:rsid w:val="DF7F9546"/>
    <w:rsid w:val="E7DB5BFA"/>
    <w:rsid w:val="E8FEF8BE"/>
    <w:rsid w:val="EBFF0AC8"/>
    <w:rsid w:val="EE9F0CA9"/>
    <w:rsid w:val="EEC8D5EC"/>
    <w:rsid w:val="EFFBF710"/>
    <w:rsid w:val="EFFF50DA"/>
    <w:rsid w:val="F28B2029"/>
    <w:rsid w:val="F2FD507C"/>
    <w:rsid w:val="F2FE282B"/>
    <w:rsid w:val="F3FC3ED1"/>
    <w:rsid w:val="F3FED0B4"/>
    <w:rsid w:val="F67D0689"/>
    <w:rsid w:val="F9FD29CF"/>
    <w:rsid w:val="FA5FF2F9"/>
    <w:rsid w:val="FBAABC5C"/>
    <w:rsid w:val="FDE419AA"/>
    <w:rsid w:val="FDFA7FF6"/>
    <w:rsid w:val="FDFF1AA6"/>
    <w:rsid w:val="FE5ED254"/>
    <w:rsid w:val="FEBF5266"/>
    <w:rsid w:val="FEF9126C"/>
    <w:rsid w:val="FEFA9522"/>
    <w:rsid w:val="FEFF0266"/>
    <w:rsid w:val="FF5A0E0B"/>
    <w:rsid w:val="FF7E7199"/>
    <w:rsid w:val="FFE3AF94"/>
    <w:rsid w:val="FFFBB379"/>
    <w:rsid w:val="FFFF052D"/>
    <w:rsid w:val="FFFF51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3"/>
    <w:next w:val="1"/>
    <w:qFormat/>
    <w:uiPriority w:val="0"/>
    <w:pPr>
      <w:keepNext/>
      <w:keepLines/>
      <w:widowControl/>
      <w:adjustRightInd w:val="0"/>
      <w:snapToGrid w:val="0"/>
      <w:spacing w:before="120" w:beforeLines="0" w:after="120" w:afterLines="0" w:line="460" w:lineRule="atLeast"/>
      <w:jc w:val="left"/>
      <w:outlineLvl w:val="2"/>
    </w:pPr>
    <w:rPr>
      <w:rFonts w:ascii="宋体" w:hAnsi="宋体" w:eastAsia="宋体" w:cs="Times New Roman"/>
      <w:b/>
      <w:kern w:val="2"/>
      <w:sz w:val="24"/>
      <w:szCs w:val="20"/>
      <w:lang w:val="en-US" w:eastAsia="zh-CN" w:bidi="ar-SA"/>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widowControl w:val="0"/>
      <w:spacing w:after="120" w:line="460" w:lineRule="exact"/>
      <w:ind w:firstLine="200" w:firstLineChars="200"/>
      <w:jc w:val="both"/>
    </w:pPr>
    <w:rPr>
      <w:rFonts w:ascii="Times New Roman" w:hAnsi="Times New Roman" w:eastAsia="仿宋_GB2312" w:cs="Times New Roman"/>
      <w:sz w:val="24"/>
      <w:szCs w:val="21"/>
      <w:lang w:val="en-US" w:eastAsia="zh-CN" w:bidi="ar-SA"/>
    </w:rPr>
  </w:style>
  <w:style w:type="paragraph" w:styleId="4">
    <w:name w:val="Normal Indent"/>
    <w:qFormat/>
    <w:uiPriority w:val="0"/>
    <w:pPr>
      <w:widowControl w:val="0"/>
      <w:ind w:firstLine="420"/>
      <w:jc w:val="both"/>
    </w:pPr>
    <w:rPr>
      <w:rFonts w:ascii="宋体" w:hAnsi="Times New Roman" w:eastAsia="宋体" w:cs="Times New Roman"/>
      <w:kern w:val="2"/>
      <w:sz w:val="28"/>
      <w:szCs w:val="20"/>
      <w:lang w:val="en-US" w:eastAsia="zh-CN" w:bidi="ar-SA"/>
    </w:rPr>
  </w:style>
  <w:style w:type="paragraph" w:styleId="5">
    <w:name w:val="Body Text Indent"/>
    <w:basedOn w:val="1"/>
    <w:link w:val="18"/>
    <w:semiHidden/>
    <w:unhideWhenUsed/>
    <w:qFormat/>
    <w:uiPriority w:val="99"/>
    <w:pPr>
      <w:spacing w:after="120"/>
      <w:ind w:left="420" w:leftChars="200"/>
    </w:p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qFormat/>
    <w:uiPriority w:val="0"/>
    <w:pPr>
      <w:widowControl w:val="0"/>
      <w:spacing w:after="120" w:line="360" w:lineRule="auto"/>
      <w:ind w:firstLine="420" w:firstLineChars="100"/>
      <w:jc w:val="both"/>
    </w:pPr>
    <w:rPr>
      <w:rFonts w:ascii="Times New Roman" w:hAnsi="Times New Roman" w:eastAsia="仿宋_GB2312" w:cs="Times New Roman"/>
      <w:kern w:val="2"/>
      <w:sz w:val="24"/>
      <w:szCs w:val="24"/>
      <w:lang w:val="en-US" w:eastAsia="zh-CN" w:bidi="ar-SA"/>
    </w:rPr>
  </w:style>
  <w:style w:type="table" w:styleId="10">
    <w:name w:val="Table Grid"/>
    <w:qFormat/>
    <w:uiPriority w:val="59"/>
    <w:pPr>
      <w:widowControl w:val="0"/>
      <w:jc w:val="center"/>
    </w:pPr>
    <w:rPr>
      <w:rFonts w:eastAsia="仿宋_GB2312"/>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style>
  <w:style w:type="character" w:styleId="12">
    <w:name w:val="page number"/>
    <w:basedOn w:val="11"/>
    <w:qFormat/>
    <w:uiPriority w:val="0"/>
  </w:style>
  <w:style w:type="paragraph" w:customStyle="1" w:styleId="13">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字符"/>
    <w:link w:val="7"/>
    <w:qFormat/>
    <w:uiPriority w:val="99"/>
    <w:rPr>
      <w:sz w:val="18"/>
      <w:szCs w:val="18"/>
    </w:rPr>
  </w:style>
  <w:style w:type="character" w:customStyle="1" w:styleId="16">
    <w:name w:val="页脚 字符"/>
    <w:link w:val="6"/>
    <w:qFormat/>
    <w:uiPriority w:val="99"/>
    <w:rPr>
      <w:sz w:val="18"/>
      <w:szCs w:val="18"/>
    </w:rPr>
  </w:style>
  <w:style w:type="paragraph" w:customStyle="1" w:styleId="17">
    <w:name w:val="0正文"/>
    <w:basedOn w:val="5"/>
    <w:qFormat/>
    <w:uiPriority w:val="99"/>
    <w:pPr>
      <w:spacing w:after="0" w:line="300" w:lineRule="auto"/>
      <w:ind w:left="0" w:leftChars="0" w:firstLine="200" w:firstLineChars="200"/>
    </w:pPr>
    <w:rPr>
      <w:rFonts w:ascii="Times New Roman" w:hAnsi="Times New Roman" w:eastAsia="宋体" w:cs="宋体"/>
      <w:kern w:val="0"/>
      <w:sz w:val="28"/>
      <w:szCs w:val="20"/>
    </w:rPr>
  </w:style>
  <w:style w:type="character" w:customStyle="1" w:styleId="18">
    <w:name w:val="正文文本缩进 字符"/>
    <w:basedOn w:val="11"/>
    <w:link w:val="5"/>
    <w:semiHidden/>
    <w:qFormat/>
    <w:uiPriority w:val="99"/>
  </w:style>
  <w:style w:type="character" w:customStyle="1" w:styleId="19">
    <w:name w:val="正文啊 Char"/>
    <w:link w:val="20"/>
    <w:qFormat/>
    <w:uiPriority w:val="0"/>
    <w:rPr>
      <w:rFonts w:ascii="仿宋_GB2312" w:hAnsi="Times New Roman" w:eastAsia="仿宋_GB2312" w:cs="Times New Roman"/>
      <w:kern w:val="0"/>
      <w:sz w:val="28"/>
      <w:szCs w:val="22"/>
      <w:lang w:val="en-US" w:eastAsia="zh-CN" w:bidi="ar-SA"/>
    </w:rPr>
  </w:style>
  <w:style w:type="paragraph" w:customStyle="1" w:styleId="20">
    <w:name w:val="正文啊"/>
    <w:link w:val="19"/>
    <w:qFormat/>
    <w:uiPriority w:val="0"/>
    <w:pPr>
      <w:widowControl w:val="0"/>
      <w:spacing w:line="560" w:lineRule="exact"/>
      <w:ind w:firstLine="560" w:firstLineChars="200"/>
      <w:jc w:val="both"/>
    </w:pPr>
    <w:rPr>
      <w:rFonts w:ascii="仿宋_GB2312" w:hAnsi="Times New Roman" w:eastAsia="仿宋_GB2312" w:cs="Times New Roman"/>
      <w:kern w:val="0"/>
      <w:sz w:val="28"/>
      <w:szCs w:val="22"/>
      <w:lang w:val="en-US" w:eastAsia="zh-CN" w:bidi="ar-SA"/>
    </w:rPr>
  </w:style>
  <w:style w:type="character" w:customStyle="1" w:styleId="21">
    <w:name w:val="font31"/>
    <w:qFormat/>
    <w:uiPriority w:val="0"/>
    <w:rPr>
      <w:rFonts w:hint="default" w:ascii="Times New Roman" w:hAnsi="Times New Roman" w:cs="Times New Roman"/>
      <w:color w:val="000000"/>
      <w:sz w:val="16"/>
      <w:szCs w:val="16"/>
      <w:u w:val="none"/>
    </w:rPr>
  </w:style>
  <w:style w:type="character" w:customStyle="1" w:styleId="22">
    <w:name w:val="font21"/>
    <w:qFormat/>
    <w:uiPriority w:val="0"/>
    <w:rPr>
      <w:rFonts w:hint="default" w:ascii="仿宋_GB2312" w:eastAsia="仿宋_GB2312" w:cs="仿宋_GB2312"/>
      <w:b/>
      <w:bCs/>
      <w:color w:val="000000"/>
      <w:sz w:val="18"/>
      <w:szCs w:val="18"/>
      <w:u w:val="none"/>
    </w:rPr>
  </w:style>
  <w:style w:type="character" w:customStyle="1" w:styleId="23">
    <w:name w:val="font11"/>
    <w:qFormat/>
    <w:uiPriority w:val="0"/>
    <w:rPr>
      <w:rFonts w:hint="default" w:ascii="楷体_GB2312" w:eastAsia="楷体_GB2312" w:cs="楷体_GB2312"/>
      <w:b/>
      <w:bCs/>
      <w:color w:val="000000"/>
      <w:sz w:val="18"/>
      <w:szCs w:val="18"/>
      <w:u w:val="none"/>
    </w:rPr>
  </w:style>
  <w:style w:type="character" w:customStyle="1" w:styleId="24">
    <w:name w:val="font61"/>
    <w:qFormat/>
    <w:uiPriority w:val="0"/>
    <w:rPr>
      <w:rFonts w:ascii="黑体" w:hAnsi="宋体" w:eastAsia="黑体" w:cs="黑体"/>
      <w:color w:val="000000"/>
      <w:sz w:val="28"/>
      <w:szCs w:val="28"/>
      <w:u w:val="none"/>
    </w:rPr>
  </w:style>
  <w:style w:type="character" w:customStyle="1" w:styleId="25">
    <w:name w:val="font71"/>
    <w:qFormat/>
    <w:uiPriority w:val="0"/>
    <w:rPr>
      <w:rFonts w:hint="default" w:ascii="Times New Roman" w:hAnsi="Times New Roman" w:cs="Times New Roman"/>
      <w:color w:val="000000"/>
      <w:sz w:val="20"/>
      <w:szCs w:val="20"/>
      <w:u w:val="none"/>
    </w:rPr>
  </w:style>
  <w:style w:type="paragraph" w:customStyle="1" w:styleId="26">
    <w:name w:val="表格内容"/>
    <w:next w:val="1"/>
    <w:qFormat/>
    <w:uiPriority w:val="0"/>
    <w:pPr>
      <w:widowControl w:val="0"/>
      <w:adjustRightInd w:val="0"/>
      <w:spacing w:line="0" w:lineRule="atLeast"/>
      <w:ind w:firstLine="0" w:firstLineChars="0"/>
      <w:jc w:val="center"/>
      <w:textAlignment w:val="center"/>
    </w:pPr>
    <w:rPr>
      <w:rFonts w:ascii="Times New Roman" w:hAnsi="Times New Roman" w:eastAsia="仿宋_GB2312" w:cs="Times New Roman"/>
      <w:kern w:val="0"/>
      <w:sz w:val="21"/>
      <w:szCs w:val="24"/>
      <w:lang w:val="en-US" w:eastAsia="zh-CN" w:bidi="ar-SA"/>
    </w:rPr>
  </w:style>
  <w:style w:type="paragraph" w:customStyle="1" w:styleId="27">
    <w:name w:val="表格内居中文字"/>
    <w:qFormat/>
    <w:uiPriority w:val="0"/>
    <w:pPr>
      <w:widowControl w:val="0"/>
      <w:jc w:val="center"/>
    </w:pPr>
    <w:rPr>
      <w:rFonts w:ascii="Times New Roman" w:hAnsi="Times New Roman" w:eastAsia="仿宋_GB2312" w:cs="Times New Roman"/>
      <w:kern w:val="24"/>
      <w:sz w:val="21"/>
      <w:szCs w:val="24"/>
      <w:lang w:val="en-US" w:eastAsia="zh-CN" w:bidi="ar-SA"/>
    </w:rPr>
  </w:style>
  <w:style w:type="paragraph" w:customStyle="1" w:styleId="28">
    <w:name w:val="图表内容"/>
    <w:qFormat/>
    <w:uiPriority w:val="99"/>
    <w:pPr>
      <w:widowControl w:val="0"/>
      <w:spacing w:line="240" w:lineRule="auto"/>
      <w:ind w:firstLine="0" w:firstLineChars="0"/>
      <w:jc w:val="center"/>
    </w:pPr>
    <w:rPr>
      <w:rFonts w:ascii="Times New Roman" w:hAnsi="Times New Roman" w:eastAsia="仿宋_GB2312" w:cs="Times New Roman"/>
      <w:kern w:val="2"/>
      <w:sz w:val="21"/>
      <w:szCs w:val="21"/>
      <w:lang w:val="en-US" w:eastAsia="zh-CN" w:bidi="ar-SA"/>
    </w:rPr>
  </w:style>
  <w:style w:type="paragraph" w:customStyle="1" w:styleId="29">
    <w:name w:val="xl63"/>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460" w:lineRule="exact"/>
      <w:jc w:val="center"/>
      <w:textAlignment w:val="center"/>
    </w:pPr>
    <w:rPr>
      <w:rFonts w:ascii="Times New Roman" w:hAnsi="Times New Roman" w:eastAsia="宋体" w:cs="Times New Roman"/>
      <w:sz w:val="24"/>
      <w:szCs w:val="24"/>
      <w:lang w:val="en-US" w:eastAsia="zh-CN" w:bidi="ar-SA"/>
    </w:rPr>
  </w:style>
  <w:style w:type="paragraph" w:customStyle="1" w:styleId="30">
    <w:name w:val="Table Text"/>
    <w:semiHidden/>
    <w:qFormat/>
    <w:uiPriority w:val="0"/>
    <w:pPr>
      <w:widowControl w:val="0"/>
      <w:spacing w:line="360" w:lineRule="auto"/>
      <w:ind w:firstLine="1121" w:firstLineChars="200"/>
      <w:jc w:val="both"/>
    </w:pPr>
    <w:rPr>
      <w:rFonts w:ascii="FangSong_GB2312" w:hAnsi="FangSong_GB2312" w:eastAsia="FangSong_GB2312" w:cs="FangSong_GB2312"/>
      <w:kern w:val="2"/>
      <w:sz w:val="24"/>
      <w:szCs w:val="24"/>
      <w:lang w:val="en-US" w:eastAsia="en-US" w:bidi="ar-SA"/>
    </w:rPr>
  </w:style>
  <w:style w:type="paragraph" w:customStyle="1" w:styleId="31">
    <w:name w:val="HW表文"/>
    <w:next w:val="1"/>
    <w:qFormat/>
    <w:uiPriority w:val="0"/>
    <w:pPr>
      <w:widowControl w:val="0"/>
      <w:topLinePunct/>
      <w:spacing w:line="240" w:lineRule="auto"/>
      <w:ind w:firstLine="0" w:firstLineChars="0"/>
      <w:jc w:val="center"/>
    </w:pPr>
    <w:rPr>
      <w:rFonts w:ascii="Times New Roman" w:hAnsi="Times New Roman" w:eastAsia="仿宋_GB2312" w:cs="仿宋_GB2312"/>
      <w:color w:val="000000" w:themeColor="text1"/>
      <w:spacing w:val="-2"/>
      <w:sz w:val="21"/>
      <w:szCs w:val="24"/>
      <w:lang w:val="en-US" w:eastAsia="zh-CN" w:bidi="ar-SA"/>
      <w14:textFill>
        <w14:solidFill>
          <w14:schemeClr w14:val="tx1"/>
        </w14:solidFill>
      </w14:textFill>
    </w:rPr>
  </w:style>
  <w:style w:type="paragraph" w:customStyle="1" w:styleId="32">
    <w:name w:val="HW正文"/>
    <w:qFormat/>
    <w:uiPriority w:val="0"/>
    <w:pPr>
      <w:widowControl w:val="0"/>
      <w:topLinePunct/>
      <w:spacing w:line="360" w:lineRule="auto"/>
      <w:ind w:firstLine="560" w:firstLineChars="200"/>
      <w:jc w:val="both"/>
    </w:pPr>
    <w:rPr>
      <w:rFonts w:ascii="Times New Roman" w:hAnsi="Times New Roman" w:eastAsia="仿宋_GB2312" w:cs="仿宋_GB2312"/>
      <w:color w:val="000000" w:themeColor="text1"/>
      <w:spacing w:val="-2"/>
      <w:sz w:val="24"/>
      <w:szCs w:val="24"/>
      <w:lang w:val="en-US" w:eastAsia="zh-CN" w:bidi="ar-SA"/>
      <w14:textFill>
        <w14:solidFill>
          <w14:schemeClr w14:val="tx1"/>
        </w14:solidFill>
      </w14:textFill>
    </w:rPr>
  </w:style>
  <w:style w:type="table" w:customStyle="1" w:styleId="3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1275</Words>
  <Characters>7272</Characters>
  <Lines>60</Lines>
  <Paragraphs>17</Paragraphs>
  <TotalTime>18</TotalTime>
  <ScaleCrop>false</ScaleCrop>
  <LinksUpToDate>false</LinksUpToDate>
  <CharactersWithSpaces>8530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2020-11-01T15:08:00Z</dcterms:created>
  <dc:creator>张艺馨</dc:creator>
  <cp:lastModifiedBy>Administrator</cp:lastModifiedBy>
  <dcterms:modified xsi:type="dcterms:W3CDTF">2025-12-15T06:18:52Z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CE17ACA2AF6DEEAE326C3A69196CB345_43</vt:lpwstr>
  </property>
</Properties>
</file>