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成渝中线高铁谭家堰牵220千伏外部供电工程</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国网重庆市电力公司永川供电分公司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你司提交的成渝中线高铁谭家堰牵220千伏外部供电工程水土保持方案审批申请（项目代码：</w:t>
      </w:r>
      <w:r>
        <w:rPr>
          <w:rFonts w:hint="eastAsia" w:ascii="Times New Roman" w:hAnsi="Times New Roman" w:eastAsia="方正仿宋_GBK"/>
          <w:sz w:val="32"/>
          <w:szCs w:val="32"/>
          <w:lang w:val="en-US" w:eastAsia="zh-CN"/>
        </w:rPr>
        <w:t>2502-500111-04-01-826792</w:t>
      </w:r>
      <w:r>
        <w:rPr>
          <w:rFonts w:hint="eastAsia" w:ascii="Times New Roman" w:hAnsi="Times New Roman" w:eastAsia="方正仿宋_GBK"/>
          <w:sz w:val="32"/>
          <w:szCs w:val="32"/>
          <w:lang w:eastAsia="zh-CN"/>
        </w:rPr>
        <w:t>）和《成渝中线高铁谭家堰牵220千伏外部供电工程水土保持方案报告书》收悉。经审查，该申请符合法定条件，根据《中华人民共和国行政许可法》第三十八条第一款、《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cs="Times New Roman"/>
          <w:sz w:val="32"/>
          <w:szCs w:val="32"/>
          <w:lang w:val="en-US" w:eastAsia="zh-CN"/>
        </w:rPr>
        <w:t>12.08</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default" w:ascii="Times New Roman" w:hAnsi="Times New Roman" w:eastAsia="方正仿宋_GB2312" w:cs="Times New Roman"/>
          <w:color w:val="auto"/>
          <w:sz w:val="32"/>
          <w:szCs w:val="32"/>
        </w:rPr>
        <w:t>，其中：大足区6.50</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铜梁区5.58</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446.53万元，其中：主体已列5.67万元，方案新增440.86万元（其中：工程措施118.60万元，植物措施139.75万元，监测措施11.88万元，施工临时措施66.59万元，独立费用63.13万元，基本预备费24.00万元，水土保持补偿费16.912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hint="eastAsia"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（十）本行政许可决定有效期为</w:t>
      </w:r>
      <w:r>
        <w:rPr>
          <w:rFonts w:hint="eastAsia" w:ascii="Times New Roman" w:hAnsi="Times New Roman" w:eastAsia="方正仿宋_GBK"/>
          <w:snapToGrid w:val="0"/>
          <w:kern w:val="0"/>
          <w:sz w:val="32"/>
          <w:szCs w:val="32"/>
          <w:lang w:val="en-US" w:eastAsia="zh-CN"/>
        </w:rPr>
        <w:t>3</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.成渝中线高铁谭家堰牵 220 千伏外部供电工程</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eastAsia" w:ascii="方正仿宋_GBK" w:eastAsia="方正仿宋_GBK"/>
          <w:bCs/>
          <w:sz w:val="32"/>
          <w:szCs w:val="32"/>
        </w:rPr>
        <w:t>成渝中线高铁谭家堰牵</w:t>
      </w:r>
      <w:r>
        <w:rPr>
          <w:rFonts w:hint="default" w:ascii="Times New Roman" w:hAnsi="Times New Roman" w:eastAsia="方正仿宋_GBK" w:cs="Times New Roman"/>
          <w:bCs/>
          <w:sz w:val="32"/>
          <w:szCs w:val="32"/>
        </w:rPr>
        <w:t xml:space="preserve"> 220 千伏</w:t>
      </w:r>
      <w:r>
        <w:rPr>
          <w:rFonts w:hint="eastAsia" w:ascii="方正仿宋_GBK" w:eastAsia="方正仿宋_GBK"/>
          <w:bCs/>
          <w:sz w:val="32"/>
          <w:szCs w:val="32"/>
        </w:rPr>
        <w:t>外部供电工程水土保持</w:t>
      </w:r>
      <w:r>
        <w:rPr>
          <w:rFonts w:ascii="方正仿宋_GBK" w:eastAsia="方正仿宋_GBK"/>
          <w:bCs/>
          <w:sz w:val="32"/>
          <w:szCs w:val="32"/>
        </w:rPr>
        <w:t>方案</w:t>
      </w:r>
      <w:r>
        <w:rPr>
          <w:rFonts w:ascii="Times New Roman" w:hAnsi="Times New Roman" w:eastAsia="方正仿宋_GBK"/>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11</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13</w:t>
      </w:r>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adjustRightInd w:val="0"/>
        <w:snapToGrid w:val="0"/>
        <w:spacing w:line="600" w:lineRule="exact"/>
        <w:rPr>
          <w:rFonts w:ascii="Times New Roman" w:hAnsi="Times New Roman" w:eastAsia="方正仿宋_GBK"/>
          <w:snapToGrid w:val="0"/>
          <w:kern w:val="0"/>
          <w:sz w:val="32"/>
          <w:szCs w:val="32"/>
        </w:rPr>
      </w:pPr>
    </w:p>
    <w:p>
      <w:pPr>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br w:type="page"/>
      </w: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0"/>
          <w:szCs w:val="30"/>
        </w:rPr>
      </w:pP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6"/>
          <w:szCs w:val="36"/>
        </w:rPr>
      </w:pPr>
      <w:r>
        <w:rPr>
          <w:rFonts w:hint="default" w:ascii="Times New Roman" w:hAnsi="Times New Roman" w:eastAsia="方正小标宋_GBK" w:cs="Times New Roman"/>
          <w:b w:val="0"/>
          <w:bCs/>
          <w:color w:val="auto"/>
          <w:sz w:val="36"/>
          <w:szCs w:val="36"/>
        </w:rPr>
        <w:t>成渝中线高铁谭家堰牵 220 千伏外部供电工程</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6"/>
          <w:szCs w:val="36"/>
        </w:rPr>
      </w:pPr>
      <w:r>
        <w:rPr>
          <w:rFonts w:hint="default" w:ascii="Times New Roman" w:hAnsi="Times New Roman" w:eastAsia="方正小标宋_GBK" w:cs="Times New Roman"/>
          <w:b w:val="0"/>
          <w:bCs/>
          <w:color w:val="auto"/>
          <w:sz w:val="36"/>
          <w:szCs w:val="36"/>
        </w:rPr>
        <w:t>水土保持方案特性表</w:t>
      </w:r>
    </w:p>
    <w:tbl>
      <w:tblPr>
        <w:tblStyle w:val="9"/>
        <w:tblW w:w="9414"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8"/>
        <w:gridCol w:w="949"/>
        <w:gridCol w:w="468"/>
        <w:gridCol w:w="857"/>
        <w:gridCol w:w="1083"/>
        <w:gridCol w:w="997"/>
        <w:gridCol w:w="533"/>
        <w:gridCol w:w="525"/>
        <w:gridCol w:w="97"/>
        <w:gridCol w:w="563"/>
        <w:gridCol w:w="457"/>
        <w:gridCol w:w="578"/>
        <w:gridCol w:w="381"/>
        <w:gridCol w:w="511"/>
        <w:gridCol w:w="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7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项目名称</w:t>
            </w:r>
          </w:p>
        </w:tc>
        <w:tc>
          <w:tcPr>
            <w:tcW w:w="3405" w:type="dxa"/>
            <w:gridSpan w:val="4"/>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成渝中线高铁谭家堰牵220千伏外部供电工程</w:t>
            </w:r>
          </w:p>
        </w:tc>
        <w:tc>
          <w:tcPr>
            <w:tcW w:w="2753"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流域管理机构</w:t>
            </w:r>
          </w:p>
        </w:tc>
        <w:tc>
          <w:tcPr>
            <w:tcW w:w="1679"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7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涉及省（市、区）</w:t>
            </w:r>
          </w:p>
        </w:tc>
        <w:tc>
          <w:tcPr>
            <w:tcW w:w="1325"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重庆市</w:t>
            </w:r>
          </w:p>
        </w:tc>
        <w:tc>
          <w:tcPr>
            <w:tcW w:w="208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涉及地市或个数</w:t>
            </w:r>
          </w:p>
        </w:tc>
        <w:tc>
          <w:tcPr>
            <w:tcW w:w="105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w:t>
            </w:r>
          </w:p>
        </w:tc>
        <w:tc>
          <w:tcPr>
            <w:tcW w:w="1695"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涉及县</w:t>
            </w:r>
          </w:p>
        </w:tc>
        <w:tc>
          <w:tcPr>
            <w:tcW w:w="1679" w:type="dxa"/>
            <w:gridSpan w:val="3"/>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大足区</w:t>
            </w:r>
            <w:r>
              <w:rPr>
                <w:rFonts w:hint="eastAsia" w:ascii="Times New Roman" w:hAnsi="Times New Roman" w:eastAsia="仿宋_GB2312" w:cs="Times New Roman"/>
                <w:color w:val="auto"/>
                <w:kern w:val="0"/>
                <w:sz w:val="21"/>
                <w:szCs w:val="21"/>
              </w:rPr>
              <w:t>、</w:t>
            </w:r>
            <w:r>
              <w:rPr>
                <w:rFonts w:hint="eastAsia" w:ascii="Times New Roman" w:hAnsi="Times New Roman" w:eastAsia="仿宋_GB2312" w:cs="Times New Roman"/>
                <w:color w:val="auto"/>
                <w:kern w:val="0"/>
                <w:sz w:val="21"/>
                <w:szCs w:val="21"/>
                <w:lang w:eastAsia="zh-CN"/>
              </w:rPr>
              <w:t>铜梁区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7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项目规模</w:t>
            </w:r>
          </w:p>
        </w:tc>
        <w:tc>
          <w:tcPr>
            <w:tcW w:w="3405" w:type="dxa"/>
            <w:gridSpan w:val="4"/>
            <w:tcBorders>
              <w:tl2br w:val="nil"/>
              <w:tr2bl w:val="nil"/>
            </w:tcBorders>
            <w:vAlign w:val="center"/>
          </w:tcPr>
          <w:p>
            <w:pPr>
              <w:spacing w:line="240" w:lineRule="auto"/>
              <w:ind w:firstLine="210" w:firstLineChars="100"/>
              <w:jc w:val="both"/>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eastAsia="zh-CN"/>
              </w:rPr>
              <w:t>扩建智凤、文曲变电站220kV间隔</w:t>
            </w:r>
            <w:r>
              <w:rPr>
                <w:rFonts w:hint="eastAsia" w:ascii="Times New Roman" w:hAnsi="Times New Roman" w:eastAsia="仿宋_GB2312" w:cs="Times New Roman"/>
                <w:color w:val="auto"/>
                <w:kern w:val="0"/>
                <w:sz w:val="21"/>
                <w:szCs w:val="21"/>
              </w:rPr>
              <w:t>各一个；新建同塔双回通道单边架设</w:t>
            </w:r>
            <w:r>
              <w:rPr>
                <w:rFonts w:hint="eastAsia" w:ascii="Times New Roman" w:hAnsi="Times New Roman" w:eastAsia="仿宋_GB2312" w:cs="Times New Roman"/>
                <w:color w:val="auto"/>
                <w:kern w:val="0"/>
                <w:sz w:val="21"/>
                <w:szCs w:val="21"/>
                <w:lang w:eastAsia="zh-CN"/>
              </w:rPr>
              <w:t>智凤-谭家堰牵220kV</w:t>
            </w:r>
            <w:r>
              <w:rPr>
                <w:rFonts w:hint="eastAsia" w:ascii="Times New Roman" w:hAnsi="Times New Roman" w:eastAsia="仿宋_GB2312" w:cs="Times New Roman"/>
                <w:color w:val="auto"/>
                <w:kern w:val="0"/>
                <w:sz w:val="21"/>
                <w:szCs w:val="21"/>
              </w:rPr>
              <w:t>架空线路长</w:t>
            </w:r>
            <w:r>
              <w:rPr>
                <w:rFonts w:hint="eastAsia" w:ascii="Times New Roman" w:hAnsi="Times New Roman" w:eastAsia="仿宋_GB2312" w:cs="Times New Roman"/>
                <w:color w:val="auto"/>
                <w:kern w:val="0"/>
                <w:sz w:val="21"/>
                <w:szCs w:val="21"/>
                <w:lang w:eastAsia="zh-CN"/>
              </w:rPr>
              <w:t>11.495</w:t>
            </w:r>
            <w:r>
              <w:rPr>
                <w:rFonts w:hint="eastAsia" w:ascii="Times New Roman" w:hAnsi="Times New Roman" w:eastAsia="仿宋_GB2312" w:cs="Times New Roman"/>
                <w:color w:val="auto"/>
                <w:kern w:val="0"/>
                <w:sz w:val="21"/>
                <w:szCs w:val="21"/>
              </w:rPr>
              <w:t>km，电缆敷设长</w:t>
            </w:r>
            <w:r>
              <w:rPr>
                <w:rFonts w:hint="eastAsia" w:ascii="Times New Roman" w:hAnsi="Times New Roman" w:eastAsia="仿宋_GB2312" w:cs="Times New Roman"/>
                <w:color w:val="auto"/>
                <w:kern w:val="0"/>
                <w:sz w:val="21"/>
                <w:szCs w:val="21"/>
                <w:lang w:eastAsia="zh-CN"/>
              </w:rPr>
              <w:t>46.2</w:t>
            </w:r>
            <w:r>
              <w:rPr>
                <w:rFonts w:hint="eastAsia" w:ascii="Times New Roman" w:hAnsi="Times New Roman" w:eastAsia="仿宋_GB2312" w:cs="Times New Roman"/>
                <w:color w:val="auto"/>
                <w:kern w:val="0"/>
                <w:sz w:val="21"/>
                <w:szCs w:val="21"/>
                <w:lang w:val="en-US" w:eastAsia="zh-CN"/>
              </w:rPr>
              <w:t>8</w:t>
            </w:r>
            <w:r>
              <w:rPr>
                <w:rFonts w:hint="eastAsia" w:ascii="Times New Roman" w:hAnsi="Times New Roman" w:eastAsia="仿宋_GB2312" w:cs="Times New Roman"/>
                <w:color w:val="auto"/>
                <w:kern w:val="0"/>
                <w:sz w:val="21"/>
                <w:szCs w:val="21"/>
              </w:rPr>
              <w:t>m；新建同塔双回通道单边架设</w:t>
            </w:r>
            <w:r>
              <w:rPr>
                <w:rFonts w:hint="eastAsia" w:ascii="Times New Roman" w:hAnsi="Times New Roman" w:eastAsia="仿宋_GB2312" w:cs="Times New Roman"/>
                <w:color w:val="auto"/>
                <w:kern w:val="0"/>
                <w:sz w:val="21"/>
                <w:szCs w:val="21"/>
                <w:lang w:eastAsia="zh-CN"/>
              </w:rPr>
              <w:t>文曲-谭家堰牵220kV</w:t>
            </w:r>
            <w:r>
              <w:rPr>
                <w:rFonts w:hint="eastAsia" w:ascii="Times New Roman" w:hAnsi="Times New Roman" w:eastAsia="仿宋_GB2312" w:cs="Times New Roman"/>
                <w:color w:val="auto"/>
                <w:kern w:val="0"/>
                <w:sz w:val="21"/>
                <w:szCs w:val="21"/>
              </w:rPr>
              <w:t>架空线路长</w:t>
            </w:r>
            <w:r>
              <w:rPr>
                <w:rFonts w:hint="eastAsia" w:ascii="Times New Roman" w:hAnsi="Times New Roman" w:eastAsia="仿宋_GB2312" w:cs="Times New Roman"/>
                <w:color w:val="auto"/>
                <w:kern w:val="0"/>
                <w:sz w:val="21"/>
                <w:szCs w:val="21"/>
                <w:lang w:eastAsia="zh-CN"/>
              </w:rPr>
              <w:t>21.003</w:t>
            </w:r>
            <w:r>
              <w:rPr>
                <w:rFonts w:hint="eastAsia" w:ascii="Times New Roman" w:hAnsi="Times New Roman" w:eastAsia="仿宋_GB2312" w:cs="Times New Roman"/>
                <w:color w:val="auto"/>
                <w:kern w:val="0"/>
                <w:sz w:val="21"/>
                <w:szCs w:val="21"/>
              </w:rPr>
              <w:t>km，电缆敷设长</w:t>
            </w:r>
            <w:r>
              <w:rPr>
                <w:rFonts w:hint="eastAsia" w:ascii="Times New Roman" w:hAnsi="Times New Roman" w:eastAsia="仿宋_GB2312" w:cs="Times New Roman"/>
                <w:color w:val="auto"/>
                <w:kern w:val="0"/>
                <w:sz w:val="21"/>
                <w:szCs w:val="21"/>
                <w:lang w:eastAsia="zh-CN"/>
              </w:rPr>
              <w:t>102.2</w:t>
            </w:r>
            <w:r>
              <w:rPr>
                <w:rFonts w:hint="eastAsia" w:ascii="Times New Roman" w:hAnsi="Times New Roman" w:eastAsia="仿宋_GB2312" w:cs="Times New Roman"/>
                <w:color w:val="auto"/>
                <w:kern w:val="0"/>
                <w:sz w:val="21"/>
                <w:szCs w:val="21"/>
                <w:lang w:val="en-US" w:eastAsia="zh-CN"/>
              </w:rPr>
              <w:t>6</w:t>
            </w:r>
            <w:r>
              <w:rPr>
                <w:rFonts w:hint="eastAsia" w:ascii="Times New Roman" w:hAnsi="Times New Roman" w:eastAsia="仿宋_GB2312" w:cs="Times New Roman"/>
                <w:color w:val="auto"/>
                <w:kern w:val="0"/>
                <w:sz w:val="21"/>
                <w:szCs w:val="21"/>
              </w:rPr>
              <w:t>m；改造线路4处。</w:t>
            </w:r>
          </w:p>
        </w:tc>
        <w:tc>
          <w:tcPr>
            <w:tcW w:w="105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总投资</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（万元）</w:t>
            </w:r>
          </w:p>
        </w:tc>
        <w:tc>
          <w:tcPr>
            <w:tcW w:w="1117" w:type="dxa"/>
            <w:gridSpan w:val="3"/>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8804</w:t>
            </w:r>
          </w:p>
        </w:tc>
        <w:tc>
          <w:tcPr>
            <w:tcW w:w="959"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土建投资</w:t>
            </w:r>
            <w:r>
              <w:rPr>
                <w:rFonts w:ascii="Times New Roman" w:hAnsi="Times New Roman" w:eastAsia="仿宋_GB2312" w:cs="Times New Roman"/>
                <w:color w:val="auto"/>
                <w:kern w:val="0"/>
                <w:sz w:val="21"/>
                <w:szCs w:val="21"/>
              </w:rPr>
              <w:t>(</w:t>
            </w:r>
            <w:r>
              <w:rPr>
                <w:rFonts w:hint="eastAsia" w:ascii="Times New Roman" w:hAnsi="Times New Roman" w:eastAsia="仿宋_GB2312" w:cs="Times New Roman"/>
                <w:color w:val="auto"/>
                <w:kern w:val="0"/>
                <w:sz w:val="21"/>
                <w:szCs w:val="21"/>
              </w:rPr>
              <w:t>万元</w:t>
            </w:r>
            <w:r>
              <w:rPr>
                <w:rFonts w:ascii="Times New Roman" w:hAnsi="Times New Roman" w:eastAsia="仿宋_GB2312" w:cs="Times New Roman"/>
                <w:color w:val="auto"/>
                <w:kern w:val="0"/>
                <w:sz w:val="21"/>
                <w:szCs w:val="21"/>
              </w:rPr>
              <w:t>)</w:t>
            </w:r>
          </w:p>
        </w:tc>
        <w:tc>
          <w:tcPr>
            <w:tcW w:w="1298" w:type="dxa"/>
            <w:gridSpan w:val="2"/>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5661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7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动工时间</w:t>
            </w:r>
          </w:p>
        </w:tc>
        <w:tc>
          <w:tcPr>
            <w:tcW w:w="2408" w:type="dxa"/>
            <w:gridSpan w:val="3"/>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2025年11月</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完工时间</w:t>
            </w:r>
          </w:p>
        </w:tc>
        <w:tc>
          <w:tcPr>
            <w:tcW w:w="1185" w:type="dxa"/>
            <w:gridSpan w:val="3"/>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2026年7月</w:t>
            </w:r>
          </w:p>
        </w:tc>
        <w:tc>
          <w:tcPr>
            <w:tcW w:w="1416"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设计水平年</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2026</w:t>
            </w:r>
            <w:r>
              <w:rPr>
                <w:rFonts w:hint="eastAsia" w:ascii="Times New Roman" w:hAnsi="Times New Roman" w:eastAsia="仿宋_GB2312" w:cs="Times New Roman"/>
                <w:color w:val="auto"/>
                <w:kern w:val="0"/>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7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工程占地（</w:t>
            </w:r>
            <w:r>
              <w:rPr>
                <w:rFonts w:ascii="Times New Roman" w:hAnsi="Times New Roman" w:eastAsia="仿宋_GB2312" w:cs="Times New Roman"/>
                <w:color w:val="auto"/>
                <w:kern w:val="0"/>
                <w:sz w:val="21"/>
                <w:szCs w:val="21"/>
              </w:rPr>
              <w:t>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w:t>
            </w:r>
          </w:p>
        </w:tc>
        <w:tc>
          <w:tcPr>
            <w:tcW w:w="2408" w:type="dxa"/>
            <w:gridSpan w:val="3"/>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12.08</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永久占地（</w:t>
            </w:r>
            <w:r>
              <w:rPr>
                <w:rFonts w:ascii="Times New Roman" w:hAnsi="Times New Roman" w:eastAsia="仿宋_GB2312" w:cs="Times New Roman"/>
                <w:color w:val="auto"/>
                <w:kern w:val="0"/>
                <w:sz w:val="21"/>
                <w:szCs w:val="21"/>
              </w:rPr>
              <w:t>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w:t>
            </w:r>
          </w:p>
        </w:tc>
        <w:tc>
          <w:tcPr>
            <w:tcW w:w="1185" w:type="dxa"/>
            <w:gridSpan w:val="3"/>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1.50</w:t>
            </w:r>
          </w:p>
        </w:tc>
        <w:tc>
          <w:tcPr>
            <w:tcW w:w="1416"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临时占地（</w:t>
            </w:r>
            <w:r>
              <w:rPr>
                <w:rFonts w:ascii="Times New Roman" w:hAnsi="Times New Roman" w:eastAsia="仿宋_GB2312" w:cs="Times New Roman"/>
                <w:color w:val="auto"/>
                <w:kern w:val="0"/>
                <w:sz w:val="21"/>
                <w:szCs w:val="21"/>
              </w:rPr>
              <w:t>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w:t>
            </w:r>
          </w:p>
        </w:tc>
        <w:tc>
          <w:tcPr>
            <w:tcW w:w="1298" w:type="dxa"/>
            <w:gridSpan w:val="2"/>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vMerge w:val="restart"/>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土石方量（万m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挖方</w:t>
            </w:r>
          </w:p>
        </w:tc>
        <w:tc>
          <w:tcPr>
            <w:tcW w:w="118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填方</w:t>
            </w:r>
          </w:p>
        </w:tc>
        <w:tc>
          <w:tcPr>
            <w:tcW w:w="1416"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借方</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余（弃）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1530" w:type="dxa"/>
            <w:gridSpan w:val="2"/>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6.17</w:t>
            </w:r>
          </w:p>
        </w:tc>
        <w:tc>
          <w:tcPr>
            <w:tcW w:w="1185" w:type="dxa"/>
            <w:gridSpan w:val="3"/>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6.17</w:t>
            </w:r>
          </w:p>
        </w:tc>
        <w:tc>
          <w:tcPr>
            <w:tcW w:w="1416"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重点防治区名称</w:t>
            </w:r>
          </w:p>
        </w:tc>
        <w:tc>
          <w:tcPr>
            <w:tcW w:w="5429" w:type="dxa"/>
            <w:gridSpan w:val="10"/>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重庆市水土流失重点预防区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地貌类型</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丘陵地貌</w:t>
            </w:r>
          </w:p>
        </w:tc>
        <w:tc>
          <w:tcPr>
            <w:tcW w:w="2601"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水土保持区划</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土壤侵蚀类型</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水力侵蚀</w:t>
            </w:r>
          </w:p>
        </w:tc>
        <w:tc>
          <w:tcPr>
            <w:tcW w:w="2601"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土壤侵蚀强度</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防治责任范围面积（</w:t>
            </w:r>
            <w:r>
              <w:rPr>
                <w:rFonts w:ascii="Times New Roman" w:hAnsi="Times New Roman" w:eastAsia="仿宋_GB2312" w:cs="Times New Roman"/>
                <w:color w:val="auto"/>
                <w:kern w:val="0"/>
                <w:sz w:val="21"/>
                <w:szCs w:val="21"/>
              </w:rPr>
              <w:t>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w:t>
            </w:r>
          </w:p>
        </w:tc>
        <w:tc>
          <w:tcPr>
            <w:tcW w:w="1530" w:type="dxa"/>
            <w:gridSpan w:val="2"/>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12.08</w:t>
            </w:r>
          </w:p>
        </w:tc>
        <w:tc>
          <w:tcPr>
            <w:tcW w:w="2601"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容许土壤流失量</w:t>
            </w:r>
          </w:p>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[t/</w:t>
            </w:r>
            <w:r>
              <w:rPr>
                <w:rFonts w:hint="eastAsia" w:ascii="Times New Roman" w:hAnsi="Times New Roman" w:eastAsia="仿宋_GB2312" w:cs="Times New Roman"/>
                <w:color w:val="auto"/>
                <w:kern w:val="0"/>
                <w:sz w:val="21"/>
                <w:szCs w:val="21"/>
              </w:rPr>
              <w:t>（</w:t>
            </w:r>
            <w:r>
              <w:rPr>
                <w:rFonts w:ascii="Times New Roman" w:hAnsi="Times New Roman" w:eastAsia="仿宋_GB2312" w:cs="Times New Roman"/>
                <w:color w:val="auto"/>
                <w:kern w:val="0"/>
                <w:sz w:val="21"/>
                <w:szCs w:val="21"/>
              </w:rPr>
              <w:t>k</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w:t>
            </w:r>
            <w:r>
              <w:rPr>
                <w:rFonts w:ascii="Times New Roman" w:hAnsi="Times New Roman" w:eastAsia="仿宋_GB2312" w:cs="Times New Roman"/>
                <w:color w:val="auto"/>
                <w:kern w:val="0"/>
                <w:sz w:val="21"/>
                <w:szCs w:val="21"/>
              </w:rPr>
              <w:t>a</w:t>
            </w:r>
            <w:r>
              <w:rPr>
                <w:rFonts w:hint="eastAsia" w:ascii="Times New Roman" w:hAnsi="Times New Roman" w:eastAsia="仿宋_GB2312" w:cs="Times New Roman"/>
                <w:color w:val="auto"/>
                <w:kern w:val="0"/>
                <w:sz w:val="21"/>
                <w:szCs w:val="21"/>
              </w:rPr>
              <w:t>）</w:t>
            </w:r>
            <w:r>
              <w:rPr>
                <w:rFonts w:ascii="Times New Roman" w:hAnsi="Times New Roman" w:eastAsia="仿宋_GB2312" w:cs="Times New Roman"/>
                <w:color w:val="auto"/>
                <w:kern w:val="0"/>
                <w:sz w:val="21"/>
                <w:szCs w:val="21"/>
              </w:rPr>
              <w:t>]</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土壤流失预测总量（</w:t>
            </w:r>
            <w:r>
              <w:rPr>
                <w:rFonts w:ascii="Times New Roman" w:hAnsi="Times New Roman" w:eastAsia="仿宋_GB2312" w:cs="Times New Roman"/>
                <w:color w:val="auto"/>
                <w:kern w:val="0"/>
                <w:sz w:val="21"/>
                <w:szCs w:val="21"/>
              </w:rPr>
              <w:t>t</w:t>
            </w:r>
            <w:r>
              <w:rPr>
                <w:rFonts w:hint="eastAsia" w:ascii="Times New Roman" w:hAnsi="Times New Roman" w:eastAsia="仿宋_GB2312" w:cs="Times New Roman"/>
                <w:color w:val="auto"/>
                <w:kern w:val="0"/>
                <w:sz w:val="21"/>
                <w:szCs w:val="21"/>
              </w:rPr>
              <w:t>）</w:t>
            </w:r>
          </w:p>
        </w:tc>
        <w:tc>
          <w:tcPr>
            <w:tcW w:w="1530" w:type="dxa"/>
            <w:gridSpan w:val="2"/>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521</w:t>
            </w:r>
          </w:p>
        </w:tc>
        <w:tc>
          <w:tcPr>
            <w:tcW w:w="2601"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新增土壤流失量（</w:t>
            </w:r>
            <w:r>
              <w:rPr>
                <w:rFonts w:ascii="Times New Roman" w:hAnsi="Times New Roman" w:eastAsia="仿宋_GB2312" w:cs="Times New Roman"/>
                <w:color w:val="auto"/>
                <w:kern w:val="0"/>
                <w:sz w:val="21"/>
                <w:szCs w:val="21"/>
              </w:rPr>
              <w:t>t</w:t>
            </w:r>
            <w:r>
              <w:rPr>
                <w:rFonts w:hint="eastAsia" w:ascii="Times New Roman" w:hAnsi="Times New Roman" w:eastAsia="仿宋_GB2312" w:cs="Times New Roman"/>
                <w:color w:val="auto"/>
                <w:kern w:val="0"/>
                <w:sz w:val="21"/>
                <w:szCs w:val="21"/>
              </w:rPr>
              <w:t>）</w:t>
            </w:r>
          </w:p>
        </w:tc>
        <w:tc>
          <w:tcPr>
            <w:tcW w:w="1298" w:type="dxa"/>
            <w:gridSpan w:val="2"/>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284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水土流失防治标准执行等级</w:t>
            </w:r>
          </w:p>
        </w:tc>
        <w:tc>
          <w:tcPr>
            <w:tcW w:w="5429" w:type="dxa"/>
            <w:gridSpan w:val="10"/>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西南紫色土区一级标准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restart"/>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防治</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目标</w:t>
            </w:r>
          </w:p>
        </w:tc>
        <w:tc>
          <w:tcPr>
            <w:tcW w:w="33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水土流失治理度（</w:t>
            </w:r>
            <w:r>
              <w:rPr>
                <w:rFonts w:ascii="Times New Roman" w:hAnsi="Times New Roman" w:eastAsia="仿宋_GB2312" w:cs="Times New Roman"/>
                <w:color w:val="auto"/>
                <w:kern w:val="0"/>
                <w:sz w:val="21"/>
                <w:szCs w:val="21"/>
              </w:rPr>
              <w:t>%</w:t>
            </w:r>
            <w:r>
              <w:rPr>
                <w:rFonts w:hint="eastAsia" w:ascii="Times New Roman" w:hAnsi="Times New Roman" w:eastAsia="仿宋_GB2312" w:cs="Times New Roman"/>
                <w:color w:val="auto"/>
                <w:kern w:val="0"/>
                <w:sz w:val="21"/>
                <w:szCs w:val="21"/>
              </w:rPr>
              <w:t>）</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97</w:t>
            </w:r>
          </w:p>
        </w:tc>
        <w:tc>
          <w:tcPr>
            <w:tcW w:w="2601"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土壤流失控制比</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33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渣土防护率（％）</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9</w:t>
            </w:r>
            <w:r>
              <w:rPr>
                <w:rFonts w:hint="eastAsia" w:ascii="Times New Roman" w:hAnsi="Times New Roman" w:eastAsia="仿宋_GB2312" w:cs="Times New Roman"/>
                <w:color w:val="auto"/>
                <w:kern w:val="0"/>
                <w:sz w:val="21"/>
                <w:szCs w:val="21"/>
              </w:rPr>
              <w:t>2</w:t>
            </w:r>
          </w:p>
        </w:tc>
        <w:tc>
          <w:tcPr>
            <w:tcW w:w="2601"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表土保护率（％）</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33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林草植被恢复率（</w:t>
            </w:r>
            <w:r>
              <w:rPr>
                <w:rFonts w:ascii="Times New Roman" w:hAnsi="Times New Roman" w:eastAsia="仿宋_GB2312" w:cs="Times New Roman"/>
                <w:color w:val="auto"/>
                <w:kern w:val="0"/>
                <w:sz w:val="21"/>
                <w:szCs w:val="21"/>
              </w:rPr>
              <w:t>%</w:t>
            </w:r>
            <w:r>
              <w:rPr>
                <w:rFonts w:hint="eastAsia" w:ascii="Times New Roman" w:hAnsi="Times New Roman" w:eastAsia="仿宋_GB2312" w:cs="Times New Roman"/>
                <w:color w:val="auto"/>
                <w:kern w:val="0"/>
                <w:sz w:val="21"/>
                <w:szCs w:val="21"/>
              </w:rPr>
              <w:t>）</w:t>
            </w:r>
          </w:p>
        </w:tc>
        <w:tc>
          <w:tcPr>
            <w:tcW w:w="1530"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97</w:t>
            </w:r>
          </w:p>
        </w:tc>
        <w:tc>
          <w:tcPr>
            <w:tcW w:w="2601" w:type="dxa"/>
            <w:gridSpan w:val="6"/>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林草覆盖率（</w:t>
            </w:r>
            <w:r>
              <w:rPr>
                <w:rFonts w:ascii="Times New Roman" w:hAnsi="Times New Roman" w:eastAsia="仿宋_GB2312" w:cs="Times New Roman"/>
                <w:color w:val="auto"/>
                <w:kern w:val="0"/>
                <w:sz w:val="21"/>
                <w:szCs w:val="21"/>
              </w:rPr>
              <w:t>%</w:t>
            </w:r>
            <w:r>
              <w:rPr>
                <w:rFonts w:hint="eastAsia" w:ascii="Times New Roman" w:hAnsi="Times New Roman" w:eastAsia="仿宋_GB2312" w:cs="Times New Roman"/>
                <w:color w:val="auto"/>
                <w:kern w:val="0"/>
                <w:sz w:val="21"/>
                <w:szCs w:val="21"/>
              </w:rPr>
              <w:t>）</w:t>
            </w:r>
          </w:p>
        </w:tc>
        <w:tc>
          <w:tcPr>
            <w:tcW w:w="1298"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2</w:t>
            </w:r>
            <w:r>
              <w:rPr>
                <w:rFonts w:hint="eastAsia" w:ascii="Times New Roman" w:hAnsi="Times New Roman" w:eastAsia="仿宋_GB2312" w:cs="Times New Roman"/>
                <w:color w:val="auto"/>
                <w:kern w:val="0"/>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restart"/>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防</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治</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措</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施</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及</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工</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程</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量</w:t>
            </w:r>
          </w:p>
        </w:tc>
        <w:tc>
          <w:tcPr>
            <w:tcW w:w="141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分区</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工程措施</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植物措施</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141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eastAsia="zh-CN"/>
              </w:rPr>
              <w:t>塔基施工防治区</w:t>
            </w:r>
          </w:p>
        </w:tc>
        <w:tc>
          <w:tcPr>
            <w:tcW w:w="2937" w:type="dxa"/>
            <w:gridSpan w:val="3"/>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主体已列：浆砌石排水沟300</w:t>
            </w:r>
            <w:r>
              <w:rPr>
                <w:rFonts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rPr>
              <w:t>。</w:t>
            </w:r>
          </w:p>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方案新增：表土剥离1.2</w:t>
            </w:r>
            <w:r>
              <w:rPr>
                <w:rFonts w:hint="eastAsia" w:ascii="Times New Roman" w:hAnsi="Times New Roman" w:eastAsia="仿宋_GB2312" w:cs="Times New Roman"/>
                <w:color w:val="auto"/>
                <w:kern w:val="0"/>
                <w:sz w:val="21"/>
                <w:szCs w:val="21"/>
                <w:lang w:val="en-US" w:eastAsia="zh-CN"/>
              </w:rPr>
              <w:t>1</w:t>
            </w:r>
            <w:r>
              <w:rPr>
                <w:rFonts w:hint="eastAsia" w:ascii="Times New Roman" w:hAnsi="Times New Roman" w:eastAsia="仿宋_GB2312" w:cs="Times New Roman"/>
                <w:color w:val="auto"/>
                <w:kern w:val="0"/>
                <w:sz w:val="21"/>
                <w:szCs w:val="21"/>
              </w:rPr>
              <w:t>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，表土回覆1.2</w:t>
            </w:r>
            <w:r>
              <w:rPr>
                <w:rFonts w:hint="eastAsia" w:ascii="Times New Roman" w:hAnsi="Times New Roman" w:eastAsia="仿宋_GB2312" w:cs="Times New Roman"/>
                <w:color w:val="auto"/>
                <w:kern w:val="0"/>
                <w:sz w:val="21"/>
                <w:szCs w:val="21"/>
                <w:lang w:val="en-US" w:eastAsia="zh-CN"/>
              </w:rPr>
              <w:t>1</w:t>
            </w:r>
            <w:r>
              <w:rPr>
                <w:rFonts w:hint="eastAsia" w:ascii="Times New Roman" w:hAnsi="Times New Roman" w:eastAsia="仿宋_GB2312" w:cs="Times New Roman"/>
                <w:color w:val="auto"/>
                <w:kern w:val="0"/>
                <w:sz w:val="21"/>
                <w:szCs w:val="21"/>
              </w:rPr>
              <w:t>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，土地整治</w:t>
            </w:r>
            <w:r>
              <w:rPr>
                <w:rFonts w:hint="eastAsia" w:ascii="Times New Roman" w:hAnsi="Times New Roman" w:eastAsia="仿宋_GB2312" w:cs="Times New Roman"/>
                <w:color w:val="auto"/>
                <w:kern w:val="0"/>
                <w:sz w:val="21"/>
                <w:szCs w:val="21"/>
                <w:lang w:val="en-US" w:eastAsia="zh-CN"/>
              </w:rPr>
              <w:t>5.01h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，复耕</w:t>
            </w:r>
            <w:r>
              <w:rPr>
                <w:rFonts w:hint="eastAsia" w:ascii="Times New Roman" w:hAnsi="Times New Roman" w:eastAsia="仿宋_GB2312" w:cs="Times New Roman"/>
                <w:color w:val="auto"/>
                <w:kern w:val="0"/>
                <w:sz w:val="21"/>
                <w:szCs w:val="21"/>
                <w:lang w:val="en-US" w:eastAsia="zh-CN"/>
              </w:rPr>
              <w:t>1.03h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p>
        </w:tc>
        <w:tc>
          <w:tcPr>
            <w:tcW w:w="2175" w:type="dxa"/>
            <w:gridSpan w:val="5"/>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方案新增：撒播草籽</w:t>
            </w:r>
            <w:r>
              <w:rPr>
                <w:rFonts w:hint="eastAsia" w:ascii="Times New Roman" w:hAnsi="Times New Roman" w:eastAsia="仿宋_GB2312" w:cs="Times New Roman"/>
                <w:color w:val="auto"/>
                <w:kern w:val="0"/>
                <w:sz w:val="21"/>
                <w:szCs w:val="21"/>
                <w:lang w:val="en-US" w:eastAsia="zh-CN"/>
              </w:rPr>
              <w:t>5.01h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，栽植灌木</w:t>
            </w:r>
            <w:r>
              <w:rPr>
                <w:rFonts w:hint="eastAsia" w:ascii="Times New Roman" w:hAnsi="Times New Roman" w:eastAsia="仿宋_GB2312" w:cs="Times New Roman"/>
                <w:color w:val="auto"/>
                <w:kern w:val="0"/>
                <w:sz w:val="21"/>
                <w:szCs w:val="21"/>
                <w:lang w:val="en-US" w:eastAsia="zh-CN"/>
              </w:rPr>
              <w:t>2.19万</w:t>
            </w:r>
            <w:r>
              <w:rPr>
                <w:rFonts w:hint="eastAsia" w:ascii="Times New Roman" w:hAnsi="Times New Roman" w:eastAsia="仿宋_GB2312" w:cs="Times New Roman"/>
                <w:color w:val="auto"/>
                <w:kern w:val="0"/>
                <w:sz w:val="21"/>
                <w:szCs w:val="21"/>
              </w:rPr>
              <w:t>株</w:t>
            </w:r>
          </w:p>
        </w:tc>
        <w:tc>
          <w:tcPr>
            <w:tcW w:w="2257" w:type="dxa"/>
            <w:gridSpan w:val="4"/>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方案新增：编织土袋拦挡980</w:t>
            </w:r>
            <w:r>
              <w:rPr>
                <w:rFonts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rPr>
              <w:t>，彩条布苫盖</w:t>
            </w:r>
            <w:r>
              <w:rPr>
                <w:rFonts w:hint="eastAsia" w:ascii="Times New Roman" w:hAnsi="Times New Roman" w:eastAsia="仿宋_GB2312" w:cs="Times New Roman"/>
                <w:color w:val="auto"/>
                <w:kern w:val="0"/>
                <w:sz w:val="21"/>
                <w:szCs w:val="21"/>
                <w:lang w:val="en-US" w:eastAsia="zh-CN"/>
              </w:rPr>
              <w:t>0.42万</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，临时沉沙池</w:t>
            </w:r>
            <w:r>
              <w:rPr>
                <w:rFonts w:ascii="Times New Roman" w:hAnsi="Times New Roman" w:eastAsia="仿宋_GB2312" w:cs="Times New Roman"/>
                <w:color w:val="auto"/>
                <w:kern w:val="0"/>
                <w:sz w:val="21"/>
                <w:szCs w:val="21"/>
              </w:rPr>
              <w:t>20</w:t>
            </w:r>
            <w:r>
              <w:rPr>
                <w:rFonts w:hint="eastAsia" w:ascii="Times New Roman" w:hAnsi="Times New Roman" w:eastAsia="仿宋_GB2312" w:cs="Times New Roman"/>
                <w:color w:val="auto"/>
                <w:kern w:val="0"/>
                <w:sz w:val="21"/>
                <w:szCs w:val="21"/>
              </w:rPr>
              <w:t>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141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eastAsia="zh-CN"/>
              </w:rPr>
              <w:t>电缆工程</w:t>
            </w:r>
            <w:r>
              <w:rPr>
                <w:rFonts w:hint="eastAsia" w:ascii="Times New Roman" w:hAnsi="Times New Roman" w:eastAsia="仿宋_GB2312" w:cs="Times New Roman"/>
                <w:color w:val="auto"/>
                <w:kern w:val="0"/>
                <w:sz w:val="21"/>
                <w:szCs w:val="21"/>
                <w:lang w:val="en-US" w:eastAsia="zh-CN"/>
              </w:rPr>
              <w:t>防治</w:t>
            </w:r>
            <w:r>
              <w:rPr>
                <w:rFonts w:hint="eastAsia" w:ascii="Times New Roman" w:hAnsi="Times New Roman" w:eastAsia="仿宋_GB2312" w:cs="Times New Roman"/>
                <w:color w:val="auto"/>
                <w:kern w:val="0"/>
                <w:sz w:val="21"/>
                <w:szCs w:val="21"/>
              </w:rPr>
              <w:t>区</w:t>
            </w:r>
          </w:p>
        </w:tc>
        <w:tc>
          <w:tcPr>
            <w:tcW w:w="2937" w:type="dxa"/>
            <w:gridSpan w:val="3"/>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表土剥离0.04万m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，表土回覆0.04万m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，复耕</w:t>
            </w:r>
            <w:r>
              <w:rPr>
                <w:rFonts w:hint="eastAsia" w:ascii="Times New Roman" w:hAnsi="Times New Roman" w:eastAsia="仿宋_GB2312" w:cs="Times New Roman"/>
                <w:color w:val="auto"/>
                <w:kern w:val="0"/>
                <w:sz w:val="21"/>
                <w:szCs w:val="21"/>
                <w:lang w:val="en-US" w:eastAsia="zh-CN"/>
              </w:rPr>
              <w:t>0.13h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p>
        </w:tc>
        <w:tc>
          <w:tcPr>
            <w:tcW w:w="2175" w:type="dxa"/>
            <w:gridSpan w:val="5"/>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无</w:t>
            </w:r>
          </w:p>
        </w:tc>
        <w:tc>
          <w:tcPr>
            <w:tcW w:w="2257" w:type="dxa"/>
            <w:gridSpan w:val="4"/>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彩条布苫盖</w:t>
            </w:r>
            <w:r>
              <w:rPr>
                <w:rFonts w:hint="eastAsia" w:ascii="Times New Roman" w:hAnsi="Times New Roman" w:eastAsia="仿宋_GB2312" w:cs="Times New Roman"/>
                <w:color w:val="auto"/>
                <w:kern w:val="0"/>
                <w:sz w:val="21"/>
                <w:szCs w:val="21"/>
                <w:lang w:val="en-US" w:eastAsia="zh-CN"/>
              </w:rPr>
              <w:t>0.03万</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141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eastAsia="zh-CN"/>
              </w:rPr>
              <w:t>牵张场地</w:t>
            </w:r>
            <w:r>
              <w:rPr>
                <w:rFonts w:hint="eastAsia" w:ascii="Times New Roman" w:hAnsi="Times New Roman" w:eastAsia="仿宋_GB2312" w:cs="Times New Roman"/>
                <w:color w:val="auto"/>
                <w:kern w:val="0"/>
                <w:sz w:val="21"/>
                <w:szCs w:val="21"/>
                <w:lang w:val="en-US" w:eastAsia="zh-CN"/>
              </w:rPr>
              <w:t>防治</w:t>
            </w:r>
            <w:r>
              <w:rPr>
                <w:rFonts w:hint="eastAsia" w:ascii="Times New Roman" w:hAnsi="Times New Roman" w:eastAsia="仿宋_GB2312" w:cs="Times New Roman"/>
                <w:color w:val="auto"/>
                <w:kern w:val="0"/>
                <w:sz w:val="21"/>
                <w:szCs w:val="21"/>
              </w:rPr>
              <w:t>区</w:t>
            </w:r>
          </w:p>
        </w:tc>
        <w:tc>
          <w:tcPr>
            <w:tcW w:w="2937" w:type="dxa"/>
            <w:gridSpan w:val="3"/>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方案新增：表土剥离0.0</w:t>
            </w:r>
            <w:r>
              <w:rPr>
                <w:rFonts w:hint="eastAsia" w:ascii="Times New Roman" w:hAnsi="Times New Roman" w:eastAsia="仿宋_GB2312" w:cs="Times New Roman"/>
                <w:color w:val="auto"/>
                <w:kern w:val="0"/>
                <w:sz w:val="21"/>
                <w:szCs w:val="21"/>
                <w:lang w:val="en-US" w:eastAsia="zh-CN"/>
              </w:rPr>
              <w:t>5</w:t>
            </w:r>
            <w:r>
              <w:rPr>
                <w:rFonts w:hint="eastAsia" w:ascii="Times New Roman" w:hAnsi="Times New Roman" w:eastAsia="仿宋_GB2312" w:cs="Times New Roman"/>
                <w:color w:val="auto"/>
                <w:kern w:val="0"/>
                <w:sz w:val="21"/>
                <w:szCs w:val="21"/>
              </w:rPr>
              <w:t>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，表土回覆0.0</w:t>
            </w:r>
            <w:r>
              <w:rPr>
                <w:rFonts w:hint="eastAsia" w:ascii="Times New Roman" w:hAnsi="Times New Roman" w:eastAsia="仿宋_GB2312" w:cs="Times New Roman"/>
                <w:color w:val="auto"/>
                <w:kern w:val="0"/>
                <w:sz w:val="21"/>
                <w:szCs w:val="21"/>
                <w:lang w:val="en-US" w:eastAsia="zh-CN"/>
              </w:rPr>
              <w:t>5</w:t>
            </w:r>
            <w:r>
              <w:rPr>
                <w:rFonts w:hint="eastAsia" w:ascii="Times New Roman" w:hAnsi="Times New Roman" w:eastAsia="仿宋_GB2312" w:cs="Times New Roman"/>
                <w:color w:val="auto"/>
                <w:kern w:val="0"/>
                <w:sz w:val="21"/>
                <w:szCs w:val="21"/>
              </w:rPr>
              <w:t>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，土地整治</w:t>
            </w:r>
            <w:r>
              <w:rPr>
                <w:rFonts w:hint="eastAsia" w:ascii="Times New Roman" w:hAnsi="Times New Roman" w:eastAsia="仿宋_GB2312" w:cs="Times New Roman"/>
                <w:color w:val="auto"/>
                <w:kern w:val="0"/>
                <w:sz w:val="21"/>
                <w:szCs w:val="21"/>
                <w:lang w:val="en-US" w:eastAsia="zh-CN"/>
              </w:rPr>
              <w:t>0.31h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，复耕</w:t>
            </w:r>
            <w:r>
              <w:rPr>
                <w:rFonts w:hint="eastAsia" w:ascii="Times New Roman" w:hAnsi="Times New Roman" w:eastAsia="仿宋_GB2312" w:cs="Times New Roman"/>
                <w:color w:val="auto"/>
                <w:kern w:val="0"/>
                <w:sz w:val="21"/>
                <w:szCs w:val="21"/>
                <w:lang w:val="en-US" w:eastAsia="zh-CN"/>
              </w:rPr>
              <w:t>0.84h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p>
        </w:tc>
        <w:tc>
          <w:tcPr>
            <w:tcW w:w="2175" w:type="dxa"/>
            <w:gridSpan w:val="5"/>
            <w:tcBorders>
              <w:tl2br w:val="nil"/>
              <w:tr2bl w:val="nil"/>
            </w:tcBorders>
            <w:vAlign w:val="center"/>
          </w:tcPr>
          <w:p>
            <w:pPr>
              <w:spacing w:line="240" w:lineRule="auto"/>
              <w:ind w:firstLine="0" w:firstLineChars="0"/>
              <w:jc w:val="left"/>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rPr>
              <w:t>方案新增：撒播草籽</w:t>
            </w:r>
            <w:r>
              <w:rPr>
                <w:rFonts w:hint="eastAsia" w:ascii="Times New Roman" w:hAnsi="Times New Roman" w:eastAsia="仿宋_GB2312" w:cs="Times New Roman"/>
                <w:color w:val="auto"/>
                <w:kern w:val="0"/>
                <w:sz w:val="21"/>
                <w:szCs w:val="21"/>
                <w:lang w:val="en-US" w:eastAsia="zh-CN"/>
              </w:rPr>
              <w:t>0.31h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，栽植灌木</w:t>
            </w:r>
            <w:r>
              <w:rPr>
                <w:rFonts w:hint="eastAsia" w:ascii="Times New Roman" w:hAnsi="Times New Roman" w:eastAsia="仿宋_GB2312" w:cs="Times New Roman"/>
                <w:color w:val="auto"/>
                <w:kern w:val="0"/>
                <w:sz w:val="21"/>
                <w:szCs w:val="21"/>
                <w:lang w:val="en-US" w:eastAsia="zh-CN"/>
              </w:rPr>
              <w:t>0.19万</w:t>
            </w:r>
            <w:r>
              <w:rPr>
                <w:rFonts w:hint="eastAsia" w:ascii="Times New Roman" w:hAnsi="Times New Roman" w:eastAsia="仿宋_GB2312" w:cs="Times New Roman"/>
                <w:color w:val="auto"/>
                <w:kern w:val="0"/>
                <w:sz w:val="21"/>
                <w:szCs w:val="21"/>
              </w:rPr>
              <w:t>株</w:t>
            </w:r>
            <w:r>
              <w:rPr>
                <w:rFonts w:hint="eastAsia" w:ascii="Times New Roman" w:hAnsi="Times New Roman" w:eastAsia="仿宋_GB2312" w:cs="Times New Roman"/>
                <w:color w:val="auto"/>
                <w:kern w:val="0"/>
                <w:sz w:val="21"/>
                <w:szCs w:val="21"/>
                <w:lang w:eastAsia="zh-CN"/>
              </w:rPr>
              <w:t>，</w:t>
            </w:r>
            <w:r>
              <w:rPr>
                <w:rFonts w:hint="eastAsia" w:ascii="Times New Roman" w:hAnsi="Times New Roman" w:eastAsia="仿宋_GB2312" w:cs="Times New Roman"/>
                <w:color w:val="auto"/>
                <w:kern w:val="0"/>
                <w:sz w:val="21"/>
                <w:szCs w:val="21"/>
                <w:lang w:val="en-US" w:eastAsia="zh-CN"/>
              </w:rPr>
              <w:t>栽植乔木0.02万株</w:t>
            </w:r>
          </w:p>
        </w:tc>
        <w:tc>
          <w:tcPr>
            <w:tcW w:w="2257" w:type="dxa"/>
            <w:gridSpan w:val="4"/>
            <w:tcBorders>
              <w:tl2br w:val="nil"/>
              <w:tr2bl w:val="nil"/>
            </w:tcBorders>
            <w:vAlign w:val="center"/>
          </w:tcPr>
          <w:p>
            <w:pPr>
              <w:spacing w:line="240" w:lineRule="auto"/>
              <w:ind w:firstLine="0" w:firstLineChars="0"/>
              <w:jc w:val="left"/>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rPr>
              <w:t>方案新增：彩条布苫盖</w:t>
            </w:r>
            <w:r>
              <w:rPr>
                <w:rFonts w:hint="eastAsia" w:ascii="Times New Roman" w:hAnsi="Times New Roman" w:eastAsia="仿宋_GB2312" w:cs="Times New Roman"/>
                <w:color w:val="auto"/>
                <w:kern w:val="0"/>
                <w:sz w:val="21"/>
                <w:szCs w:val="21"/>
                <w:lang w:val="en-US" w:eastAsia="zh-CN"/>
              </w:rPr>
              <w:t>0.13万</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lang w:eastAsia="zh-CN"/>
              </w:rPr>
              <w:t>，</w:t>
            </w:r>
            <w:r>
              <w:rPr>
                <w:rFonts w:hint="eastAsia" w:ascii="Times New Roman" w:hAnsi="Times New Roman" w:eastAsia="仿宋_GB2312" w:cs="Times New Roman"/>
                <w:color w:val="auto"/>
                <w:kern w:val="0"/>
                <w:sz w:val="21"/>
                <w:szCs w:val="21"/>
                <w:lang w:val="en-US" w:eastAsia="zh-CN"/>
              </w:rPr>
              <w:t>临时排水沟800m。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141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eastAsia="zh-CN"/>
              </w:rPr>
              <w:t>跨越场地</w:t>
            </w:r>
            <w:r>
              <w:rPr>
                <w:rFonts w:hint="eastAsia" w:ascii="Times New Roman" w:hAnsi="Times New Roman" w:eastAsia="仿宋_GB2312" w:cs="Times New Roman"/>
                <w:color w:val="auto"/>
                <w:kern w:val="0"/>
                <w:sz w:val="21"/>
                <w:szCs w:val="21"/>
                <w:lang w:val="en-US" w:eastAsia="zh-CN"/>
              </w:rPr>
              <w:t>防治</w:t>
            </w:r>
            <w:r>
              <w:rPr>
                <w:rFonts w:hint="eastAsia" w:ascii="Times New Roman" w:hAnsi="Times New Roman" w:eastAsia="仿宋_GB2312" w:cs="Times New Roman"/>
                <w:color w:val="auto"/>
                <w:kern w:val="0"/>
                <w:sz w:val="21"/>
                <w:szCs w:val="21"/>
              </w:rPr>
              <w:t>区</w:t>
            </w:r>
          </w:p>
        </w:tc>
        <w:tc>
          <w:tcPr>
            <w:tcW w:w="2937" w:type="dxa"/>
            <w:gridSpan w:val="3"/>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方案新增：土地整治</w:t>
            </w:r>
            <w:r>
              <w:rPr>
                <w:rFonts w:hint="eastAsia" w:ascii="Times New Roman" w:hAnsi="Times New Roman" w:eastAsia="仿宋_GB2312" w:cs="Times New Roman"/>
                <w:color w:val="auto"/>
                <w:kern w:val="0"/>
                <w:sz w:val="21"/>
                <w:szCs w:val="21"/>
                <w:lang w:val="en-US" w:eastAsia="zh-CN"/>
              </w:rPr>
              <w:t>0.08万</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，复耕</w:t>
            </w:r>
            <w:r>
              <w:rPr>
                <w:rFonts w:hint="eastAsia" w:ascii="Times New Roman" w:hAnsi="Times New Roman" w:eastAsia="仿宋_GB2312" w:cs="Times New Roman"/>
                <w:color w:val="auto"/>
                <w:kern w:val="0"/>
                <w:sz w:val="21"/>
                <w:szCs w:val="21"/>
                <w:lang w:val="en-US" w:eastAsia="zh-CN"/>
              </w:rPr>
              <w:t>0.11</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p>
        </w:tc>
        <w:tc>
          <w:tcPr>
            <w:tcW w:w="2175" w:type="dxa"/>
            <w:gridSpan w:val="5"/>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方案新增：撒播草籽</w:t>
            </w:r>
            <w:r>
              <w:rPr>
                <w:rFonts w:hint="eastAsia" w:ascii="Times New Roman" w:hAnsi="Times New Roman" w:eastAsia="仿宋_GB2312" w:cs="Times New Roman"/>
                <w:color w:val="auto"/>
                <w:kern w:val="0"/>
                <w:sz w:val="21"/>
                <w:szCs w:val="21"/>
                <w:lang w:val="en-US" w:eastAsia="zh-CN"/>
              </w:rPr>
              <w:t>0.08h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w:t>
            </w:r>
          </w:p>
        </w:tc>
        <w:tc>
          <w:tcPr>
            <w:tcW w:w="2257" w:type="dxa"/>
            <w:gridSpan w:val="4"/>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方案新增：彩条布</w:t>
            </w:r>
            <w:r>
              <w:rPr>
                <w:rFonts w:hint="eastAsia" w:ascii="Times New Roman" w:hAnsi="Times New Roman" w:eastAsia="仿宋_GB2312" w:cs="Times New Roman"/>
                <w:color w:val="auto"/>
                <w:kern w:val="0"/>
                <w:sz w:val="21"/>
                <w:szCs w:val="21"/>
                <w:lang w:val="en-US" w:eastAsia="zh-CN"/>
              </w:rPr>
              <w:t>苫盖0.09万</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lang w:eastAsia="zh-CN"/>
              </w:rPr>
              <w:t>，</w:t>
            </w:r>
            <w:r>
              <w:rPr>
                <w:rFonts w:hint="eastAsia" w:ascii="Times New Roman" w:hAnsi="Times New Roman" w:eastAsia="仿宋_GB2312" w:cs="Times New Roman"/>
                <w:color w:val="auto"/>
                <w:kern w:val="0"/>
                <w:sz w:val="21"/>
                <w:szCs w:val="21"/>
                <w:lang w:val="en-US" w:eastAsia="zh-CN"/>
              </w:rPr>
              <w:t>临时排水沟120m。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28" w:type="dxa"/>
            <w:vMerge w:val="continue"/>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p>
        </w:tc>
        <w:tc>
          <w:tcPr>
            <w:tcW w:w="1417" w:type="dxa"/>
            <w:gridSpan w:val="2"/>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eastAsia="zh-CN"/>
              </w:rPr>
              <w:t>施工道路</w:t>
            </w:r>
            <w:r>
              <w:rPr>
                <w:rFonts w:hint="eastAsia" w:ascii="Times New Roman" w:hAnsi="Times New Roman" w:eastAsia="仿宋_GB2312" w:cs="Times New Roman"/>
                <w:color w:val="auto"/>
                <w:kern w:val="0"/>
                <w:sz w:val="21"/>
                <w:szCs w:val="21"/>
                <w:lang w:val="en-US" w:eastAsia="zh-CN"/>
              </w:rPr>
              <w:t>防治</w:t>
            </w:r>
            <w:r>
              <w:rPr>
                <w:rFonts w:hint="eastAsia" w:ascii="Times New Roman" w:hAnsi="Times New Roman" w:eastAsia="仿宋_GB2312" w:cs="Times New Roman"/>
                <w:color w:val="auto"/>
                <w:kern w:val="0"/>
                <w:sz w:val="21"/>
                <w:szCs w:val="21"/>
              </w:rPr>
              <w:t>区</w:t>
            </w:r>
          </w:p>
        </w:tc>
        <w:tc>
          <w:tcPr>
            <w:tcW w:w="2937" w:type="dxa"/>
            <w:gridSpan w:val="3"/>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方案新增：表土剥离0.</w:t>
            </w:r>
            <w:r>
              <w:rPr>
                <w:rFonts w:hint="eastAsia" w:ascii="Times New Roman" w:hAnsi="Times New Roman" w:eastAsia="仿宋_GB2312" w:cs="Times New Roman"/>
                <w:color w:val="auto"/>
                <w:kern w:val="0"/>
                <w:sz w:val="21"/>
                <w:szCs w:val="21"/>
                <w:lang w:val="en-US" w:eastAsia="zh-CN"/>
              </w:rPr>
              <w:t>70</w:t>
            </w:r>
            <w:r>
              <w:rPr>
                <w:rFonts w:hint="eastAsia" w:ascii="Times New Roman" w:hAnsi="Times New Roman" w:eastAsia="仿宋_GB2312" w:cs="Times New Roman"/>
                <w:color w:val="auto"/>
                <w:kern w:val="0"/>
                <w:sz w:val="21"/>
                <w:szCs w:val="21"/>
              </w:rPr>
              <w:t>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，表土回覆0.</w:t>
            </w:r>
            <w:r>
              <w:rPr>
                <w:rFonts w:hint="eastAsia" w:ascii="Times New Roman" w:hAnsi="Times New Roman" w:eastAsia="仿宋_GB2312" w:cs="Times New Roman"/>
                <w:color w:val="auto"/>
                <w:kern w:val="0"/>
                <w:sz w:val="21"/>
                <w:szCs w:val="21"/>
                <w:lang w:val="en-US" w:eastAsia="zh-CN"/>
              </w:rPr>
              <w:t>70</w:t>
            </w:r>
            <w:r>
              <w:rPr>
                <w:rFonts w:hint="eastAsia" w:ascii="Times New Roman" w:hAnsi="Times New Roman" w:eastAsia="仿宋_GB2312" w:cs="Times New Roman"/>
                <w:color w:val="auto"/>
                <w:kern w:val="0"/>
                <w:sz w:val="21"/>
                <w:szCs w:val="21"/>
              </w:rPr>
              <w:t>万m</w:t>
            </w:r>
            <w:r>
              <w:rPr>
                <w:rFonts w:hint="eastAsia" w:ascii="Times New Roman" w:hAnsi="Times New Roman" w:eastAsia="仿宋_GB2312" w:cs="Times New Roman"/>
                <w:color w:val="auto"/>
                <w:kern w:val="0"/>
                <w:sz w:val="21"/>
                <w:szCs w:val="21"/>
                <w:vertAlign w:val="superscript"/>
              </w:rPr>
              <w:t>3</w:t>
            </w:r>
            <w:r>
              <w:rPr>
                <w:rFonts w:hint="eastAsia" w:ascii="Times New Roman" w:hAnsi="Times New Roman" w:eastAsia="仿宋_GB2312" w:cs="Times New Roman"/>
                <w:color w:val="auto"/>
                <w:kern w:val="0"/>
                <w:sz w:val="21"/>
                <w:szCs w:val="21"/>
              </w:rPr>
              <w:t>，土地整治</w:t>
            </w:r>
            <w:r>
              <w:rPr>
                <w:rFonts w:hint="eastAsia" w:ascii="Times New Roman" w:hAnsi="Times New Roman" w:eastAsia="仿宋_GB2312" w:cs="Times New Roman"/>
                <w:color w:val="auto"/>
                <w:kern w:val="0"/>
                <w:sz w:val="21"/>
                <w:szCs w:val="21"/>
                <w:lang w:val="en-US" w:eastAsia="zh-CN"/>
              </w:rPr>
              <w:t>3.21h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，复耕</w:t>
            </w:r>
            <w:r>
              <w:rPr>
                <w:rFonts w:hint="eastAsia" w:ascii="Times New Roman" w:hAnsi="Times New Roman" w:eastAsia="仿宋_GB2312" w:cs="Times New Roman"/>
                <w:color w:val="auto"/>
                <w:kern w:val="0"/>
                <w:sz w:val="21"/>
                <w:szCs w:val="21"/>
                <w:lang w:val="en-US" w:eastAsia="zh-CN"/>
              </w:rPr>
              <w:t>0.42h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p>
        </w:tc>
        <w:tc>
          <w:tcPr>
            <w:tcW w:w="2175" w:type="dxa"/>
            <w:gridSpan w:val="5"/>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方案新增：撒播草籽</w:t>
            </w:r>
            <w:r>
              <w:rPr>
                <w:rFonts w:hint="eastAsia" w:ascii="Times New Roman" w:hAnsi="Times New Roman" w:eastAsia="仿宋_GB2312" w:cs="Times New Roman"/>
                <w:color w:val="auto"/>
                <w:kern w:val="0"/>
                <w:sz w:val="21"/>
                <w:szCs w:val="21"/>
                <w:lang w:val="en-US" w:eastAsia="zh-CN"/>
              </w:rPr>
              <w:t>3.21h</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，栽植灌木</w:t>
            </w:r>
            <w:r>
              <w:rPr>
                <w:rFonts w:hint="eastAsia" w:ascii="Times New Roman" w:hAnsi="Times New Roman" w:eastAsia="仿宋_GB2312" w:cs="Times New Roman"/>
                <w:color w:val="auto"/>
                <w:kern w:val="0"/>
                <w:sz w:val="21"/>
                <w:szCs w:val="21"/>
                <w:lang w:val="en-US" w:eastAsia="zh-CN"/>
              </w:rPr>
              <w:t>1.77万</w:t>
            </w:r>
            <w:r>
              <w:rPr>
                <w:rFonts w:hint="eastAsia" w:ascii="Times New Roman" w:hAnsi="Times New Roman" w:eastAsia="仿宋_GB2312" w:cs="Times New Roman"/>
                <w:color w:val="auto"/>
                <w:kern w:val="0"/>
                <w:sz w:val="21"/>
                <w:szCs w:val="21"/>
              </w:rPr>
              <w:t>株，栽植乔木</w:t>
            </w:r>
            <w:r>
              <w:rPr>
                <w:rFonts w:hint="eastAsia" w:ascii="Times New Roman" w:hAnsi="Times New Roman" w:eastAsia="仿宋_GB2312" w:cs="Times New Roman"/>
                <w:color w:val="auto"/>
                <w:kern w:val="0"/>
                <w:sz w:val="21"/>
                <w:szCs w:val="21"/>
                <w:lang w:val="en-US" w:eastAsia="zh-CN"/>
              </w:rPr>
              <w:t>0.15万</w:t>
            </w:r>
            <w:r>
              <w:rPr>
                <w:rFonts w:hint="eastAsia" w:ascii="Times New Roman" w:hAnsi="Times New Roman" w:eastAsia="仿宋_GB2312" w:cs="Times New Roman"/>
                <w:color w:val="auto"/>
                <w:kern w:val="0"/>
                <w:sz w:val="21"/>
                <w:szCs w:val="21"/>
              </w:rPr>
              <w:t>株</w:t>
            </w:r>
          </w:p>
        </w:tc>
        <w:tc>
          <w:tcPr>
            <w:tcW w:w="2257" w:type="dxa"/>
            <w:gridSpan w:val="4"/>
            <w:tcBorders>
              <w:tl2br w:val="nil"/>
              <w:tr2bl w:val="nil"/>
            </w:tcBorders>
            <w:vAlign w:val="center"/>
          </w:tcPr>
          <w:p>
            <w:pPr>
              <w:spacing w:line="240" w:lineRule="auto"/>
              <w:ind w:firstLine="0" w:firstLineChars="0"/>
              <w:jc w:val="left"/>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方案新增：编织土袋拦挡2800</w:t>
            </w:r>
            <w:r>
              <w:rPr>
                <w:rFonts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rPr>
              <w:t>，彩条布苫盖</w:t>
            </w:r>
            <w:r>
              <w:rPr>
                <w:rFonts w:hint="eastAsia" w:ascii="Times New Roman" w:hAnsi="Times New Roman" w:eastAsia="仿宋_GB2312" w:cs="Times New Roman"/>
                <w:color w:val="auto"/>
                <w:kern w:val="0"/>
                <w:sz w:val="21"/>
                <w:szCs w:val="21"/>
                <w:lang w:val="en-US" w:eastAsia="zh-CN"/>
              </w:rPr>
              <w:t>1.17万</w:t>
            </w:r>
            <w:r>
              <w:rPr>
                <w:rFonts w:hint="eastAsia" w:ascii="Times New Roman" w:hAnsi="Times New Roman" w:eastAsia="仿宋_GB2312" w:cs="Times New Roman"/>
                <w:color w:val="auto"/>
                <w:kern w:val="0"/>
                <w:sz w:val="21"/>
                <w:szCs w:val="21"/>
              </w:rPr>
              <w:t>m</w:t>
            </w:r>
            <w:r>
              <w:rPr>
                <w:rFonts w:hint="eastAsia" w:ascii="Times New Roman" w:hAnsi="Times New Roman" w:eastAsia="仿宋_GB2312" w:cs="Times New Roman"/>
                <w:color w:val="auto"/>
                <w:kern w:val="0"/>
                <w:sz w:val="21"/>
                <w:szCs w:val="21"/>
                <w:vertAlign w:val="superscript"/>
              </w:rPr>
              <w:t>2</w:t>
            </w:r>
            <w:r>
              <w:rPr>
                <w:rFonts w:hint="eastAsia" w:ascii="Times New Roman" w:hAnsi="Times New Roman" w:eastAsia="仿宋_GB2312" w:cs="Times New Roman"/>
                <w:color w:val="auto"/>
                <w:kern w:val="0"/>
                <w:sz w:val="21"/>
                <w:szCs w:val="21"/>
              </w:rPr>
              <w:t>，临时排水沟3200m，临时沉沙池32座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投资（万元）</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val="en-US" w:eastAsia="zh-CN"/>
              </w:rPr>
              <w:t>124.27</w:t>
            </w:r>
            <w:r>
              <w:rPr>
                <w:rFonts w:hint="eastAsia" w:ascii="Times New Roman" w:hAnsi="Times New Roman" w:eastAsia="仿宋_GB2312" w:cs="Times New Roman"/>
                <w:color w:val="auto"/>
                <w:kern w:val="0"/>
                <w:sz w:val="21"/>
                <w:szCs w:val="21"/>
              </w:rPr>
              <w:t>（主体已列</w:t>
            </w:r>
            <w:r>
              <w:rPr>
                <w:rFonts w:hint="eastAsia" w:ascii="Times New Roman" w:hAnsi="Times New Roman" w:eastAsia="仿宋_GB2312" w:cs="Times New Roman"/>
                <w:color w:val="auto"/>
                <w:kern w:val="0"/>
                <w:sz w:val="21"/>
                <w:szCs w:val="21"/>
                <w:lang w:eastAsia="zh-CN"/>
              </w:rPr>
              <w:t>5.67</w:t>
            </w:r>
            <w:r>
              <w:rPr>
                <w:rFonts w:hint="eastAsia" w:ascii="Times New Roman" w:hAnsi="Times New Roman" w:eastAsia="仿宋_GB2312" w:cs="Times New Roman"/>
                <w:color w:val="auto"/>
                <w:kern w:val="0"/>
                <w:sz w:val="21"/>
                <w:szCs w:val="21"/>
              </w:rPr>
              <w:t>，新增投资</w:t>
            </w:r>
            <w:r>
              <w:rPr>
                <w:rFonts w:hint="eastAsia" w:ascii="Times New Roman" w:hAnsi="Times New Roman" w:eastAsia="仿宋_GB2312" w:cs="Times New Roman"/>
                <w:color w:val="auto"/>
                <w:kern w:val="0"/>
                <w:sz w:val="21"/>
                <w:szCs w:val="21"/>
                <w:lang w:val="en-US" w:eastAsia="zh-CN"/>
              </w:rPr>
              <w:t>118.60</w:t>
            </w:r>
            <w:r>
              <w:rPr>
                <w:rFonts w:hint="eastAsia" w:ascii="Times New Roman" w:hAnsi="Times New Roman" w:eastAsia="仿宋_GB2312" w:cs="Times New Roman"/>
                <w:color w:val="auto"/>
                <w:kern w:val="0"/>
                <w:sz w:val="21"/>
                <w:szCs w:val="21"/>
              </w:rPr>
              <w:t>）</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val="en-US" w:eastAsia="zh-CN"/>
              </w:rPr>
              <w:t>139.75</w:t>
            </w:r>
            <w:r>
              <w:rPr>
                <w:rFonts w:hint="eastAsia" w:ascii="Times New Roman" w:hAnsi="Times New Roman" w:eastAsia="仿宋_GB2312" w:cs="Times New Roman"/>
                <w:color w:val="auto"/>
                <w:kern w:val="0"/>
                <w:sz w:val="21"/>
                <w:szCs w:val="21"/>
              </w:rPr>
              <w:t>（新增投资）</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val="en-US" w:eastAsia="zh-CN"/>
              </w:rPr>
              <w:t>66.59</w:t>
            </w:r>
            <w:r>
              <w:rPr>
                <w:rFonts w:hint="eastAsia" w:ascii="Times New Roman" w:hAnsi="Times New Roman" w:eastAsia="仿宋_GB2312" w:cs="Times New Roman"/>
                <w:color w:val="auto"/>
                <w:kern w:val="0"/>
                <w:sz w:val="21"/>
                <w:szCs w:val="21"/>
              </w:rPr>
              <w:t>（新增投资）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水土保持总投资</w:t>
            </w:r>
          </w:p>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（万元）</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lang w:val="en-US" w:eastAsia="zh-CN"/>
              </w:rPr>
              <w:t>446.53</w:t>
            </w:r>
            <w:r>
              <w:rPr>
                <w:rFonts w:hint="eastAsia" w:ascii="Times New Roman" w:hAnsi="Times New Roman" w:eastAsia="仿宋_GB2312" w:cs="Times New Roman"/>
                <w:color w:val="auto"/>
                <w:kern w:val="0"/>
                <w:sz w:val="21"/>
                <w:szCs w:val="21"/>
              </w:rPr>
              <w:t>（新增投资</w:t>
            </w:r>
            <w:r>
              <w:rPr>
                <w:rFonts w:hint="eastAsia" w:ascii="Times New Roman" w:hAnsi="Times New Roman" w:eastAsia="仿宋_GB2312" w:cs="Times New Roman"/>
                <w:color w:val="auto"/>
                <w:kern w:val="0"/>
                <w:sz w:val="21"/>
                <w:szCs w:val="21"/>
                <w:lang w:eastAsia="zh-CN"/>
              </w:rPr>
              <w:t>5.67</w:t>
            </w:r>
            <w:r>
              <w:rPr>
                <w:rFonts w:hint="eastAsia" w:ascii="Times New Roman" w:hAnsi="Times New Roman" w:eastAsia="仿宋_GB2312" w:cs="Times New Roman"/>
                <w:color w:val="auto"/>
                <w:kern w:val="0"/>
                <w:sz w:val="21"/>
                <w:szCs w:val="21"/>
              </w:rPr>
              <w:t>）</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独立费用（万元）</w:t>
            </w:r>
          </w:p>
        </w:tc>
        <w:tc>
          <w:tcPr>
            <w:tcW w:w="2257" w:type="dxa"/>
            <w:gridSpan w:val="4"/>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63.13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监理费（万元）</w:t>
            </w:r>
          </w:p>
        </w:tc>
        <w:tc>
          <w:tcPr>
            <w:tcW w:w="2937" w:type="dxa"/>
            <w:gridSpan w:val="3"/>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10.99</w:t>
            </w:r>
          </w:p>
        </w:tc>
        <w:tc>
          <w:tcPr>
            <w:tcW w:w="115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监测费（万元）</w:t>
            </w:r>
          </w:p>
        </w:tc>
        <w:tc>
          <w:tcPr>
            <w:tcW w:w="1020" w:type="dxa"/>
            <w:gridSpan w:val="2"/>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11.88</w:t>
            </w:r>
          </w:p>
        </w:tc>
        <w:tc>
          <w:tcPr>
            <w:tcW w:w="1470"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补偿费（万元）</w:t>
            </w:r>
          </w:p>
        </w:tc>
        <w:tc>
          <w:tcPr>
            <w:tcW w:w="787" w:type="dxa"/>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eastAsia="仿宋_GB2312" w:cs="Times New Roman"/>
                <w:color w:val="auto"/>
                <w:kern w:val="0"/>
                <w:sz w:val="21"/>
                <w:szCs w:val="21"/>
                <w:lang w:val="en-US" w:eastAsia="zh-CN"/>
              </w:rPr>
              <w:t>16.912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方案编制单位</w:t>
            </w:r>
          </w:p>
        </w:tc>
        <w:tc>
          <w:tcPr>
            <w:tcW w:w="2937" w:type="dxa"/>
            <w:gridSpan w:val="3"/>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招商局生态环保科技有限公司</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建设单位</w:t>
            </w:r>
          </w:p>
        </w:tc>
        <w:tc>
          <w:tcPr>
            <w:tcW w:w="2257" w:type="dxa"/>
            <w:gridSpan w:val="4"/>
            <w:tcBorders>
              <w:tl2br w:val="nil"/>
              <w:tr2bl w:val="nil"/>
            </w:tcBorders>
            <w:vAlign w:val="center"/>
          </w:tcPr>
          <w:p>
            <w:pPr>
              <w:spacing w:line="240" w:lineRule="auto"/>
              <w:ind w:firstLine="0" w:firstLineChars="0"/>
              <w:jc w:val="center"/>
              <w:rPr>
                <w:rFonts w:hint="eastAsia" w:ascii="Times New Roman" w:hAnsi="Times New Roman" w:eastAsia="仿宋_GB2312" w:cs="Times New Roman"/>
                <w:color w:val="auto"/>
                <w:kern w:val="0"/>
                <w:sz w:val="21"/>
                <w:szCs w:val="21"/>
                <w:lang w:eastAsia="zh-CN"/>
              </w:rPr>
            </w:pPr>
            <w:r>
              <w:rPr>
                <w:rFonts w:hint="eastAsia" w:ascii="Times New Roman" w:hAnsi="Times New Roman" w:eastAsia="仿宋_GB2312" w:cs="Times New Roman"/>
                <w:color w:val="auto"/>
                <w:kern w:val="0"/>
                <w:sz w:val="21"/>
                <w:szCs w:val="21"/>
                <w:lang w:eastAsia="zh-CN"/>
              </w:rPr>
              <w:t>国网重庆市电力公司永川供电分公司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法定代表人</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张福东</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法定代表人</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王大彪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地</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rPr>
              <w:t>址</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重庆市南岸区学府大道</w:t>
            </w:r>
            <w:r>
              <w:rPr>
                <w:rFonts w:ascii="Times New Roman" w:hAnsi="Times New Roman" w:eastAsia="仿宋_GB2312" w:cs="Times New Roman"/>
                <w:color w:val="auto"/>
                <w:kern w:val="0"/>
                <w:sz w:val="21"/>
                <w:szCs w:val="21"/>
              </w:rPr>
              <w:t>33</w:t>
            </w:r>
            <w:r>
              <w:rPr>
                <w:rFonts w:hint="eastAsia" w:ascii="Times New Roman" w:hAnsi="Times New Roman" w:eastAsia="仿宋_GB2312" w:cs="Times New Roman"/>
                <w:color w:val="auto"/>
                <w:kern w:val="0"/>
                <w:sz w:val="21"/>
                <w:szCs w:val="21"/>
              </w:rPr>
              <w:t>号</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地</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rPr>
              <w:t>址</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重庆市永川区昌州大道东段1122号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邮</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rPr>
              <w:t>编</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400025</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邮</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rPr>
              <w:t>编</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402160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联系人及电话</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李宁</w:t>
            </w:r>
            <w:r>
              <w:rPr>
                <w:rFonts w:ascii="Times New Roman" w:hAnsi="Times New Roman" w:eastAsia="仿宋_GB2312" w:cs="Times New Roman"/>
                <w:color w:val="auto"/>
                <w:kern w:val="0"/>
                <w:sz w:val="21"/>
                <w:szCs w:val="21"/>
              </w:rPr>
              <w:t>/1</w:t>
            </w:r>
            <w:r>
              <w:rPr>
                <w:rFonts w:hint="eastAsia" w:ascii="Times New Roman" w:hAnsi="Times New Roman" w:eastAsia="仿宋_GB2312" w:cs="Times New Roman"/>
                <w:color w:val="auto"/>
                <w:kern w:val="0"/>
                <w:sz w:val="21"/>
                <w:szCs w:val="21"/>
              </w:rPr>
              <w:t>7</w:t>
            </w:r>
            <w:r>
              <w:rPr>
                <w:rFonts w:hint="eastAsia" w:ascii="Times New Roman" w:hAnsi="Times New Roman" w:eastAsia="仿宋_GB2312" w:cs="Times New Roman"/>
                <w:color w:val="auto"/>
                <w:kern w:val="0"/>
                <w:sz w:val="21"/>
                <w:szCs w:val="21"/>
                <w:lang w:val="en-US" w:eastAsia="zh-CN"/>
              </w:rPr>
              <w:t>***</w:t>
            </w:r>
            <w:r>
              <w:rPr>
                <w:rFonts w:hint="eastAsia" w:ascii="Times New Roman" w:hAnsi="Times New Roman" w:eastAsia="仿宋_GB2312" w:cs="Times New Roman"/>
                <w:color w:val="auto"/>
                <w:kern w:val="0"/>
                <w:sz w:val="21"/>
                <w:szCs w:val="21"/>
              </w:rPr>
              <w:t>23</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联系人及电话</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周亚锋13</w:t>
            </w:r>
            <w:r>
              <w:rPr>
                <w:rFonts w:hint="eastAsia" w:ascii="Times New Roman" w:hAnsi="Times New Roman" w:eastAsia="仿宋_GB2312" w:cs="Times New Roman"/>
                <w:color w:val="auto"/>
                <w:kern w:val="0"/>
                <w:sz w:val="21"/>
                <w:szCs w:val="21"/>
                <w:lang w:val="en-US" w:eastAsia="zh-CN"/>
              </w:rPr>
              <w:t>***</w:t>
            </w:r>
            <w:r>
              <w:rPr>
                <w:rFonts w:hint="eastAsia" w:ascii="Times New Roman" w:hAnsi="Times New Roman" w:eastAsia="仿宋_GB2312" w:cs="Times New Roman"/>
                <w:color w:val="auto"/>
                <w:kern w:val="0"/>
                <w:sz w:val="21"/>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传</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rPr>
              <w:t>真</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传</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rPr>
              <w:t>真</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45"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电子信箱</w:t>
            </w:r>
          </w:p>
        </w:tc>
        <w:tc>
          <w:tcPr>
            <w:tcW w:w="2937" w:type="dxa"/>
            <w:gridSpan w:val="3"/>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85</w:t>
            </w:r>
            <w:r>
              <w:rPr>
                <w:rFonts w:hint="eastAsia" w:ascii="Times New Roman" w:hAnsi="Times New Roman" w:eastAsia="仿宋_GB2312" w:cs="Times New Roman"/>
                <w:color w:val="auto"/>
                <w:kern w:val="0"/>
                <w:sz w:val="21"/>
                <w:szCs w:val="21"/>
                <w:lang w:val="en-US" w:eastAsia="zh-CN"/>
              </w:rPr>
              <w:t>***</w:t>
            </w:r>
            <w:r>
              <w:rPr>
                <w:rFonts w:hint="eastAsia" w:ascii="Times New Roman" w:hAnsi="Times New Roman" w:eastAsia="仿宋_GB2312" w:cs="Times New Roman"/>
                <w:color w:val="auto"/>
                <w:kern w:val="0"/>
                <w:sz w:val="21"/>
                <w:szCs w:val="21"/>
              </w:rPr>
              <w:t>02</w:t>
            </w:r>
            <w:r>
              <w:rPr>
                <w:rFonts w:ascii="Times New Roman" w:hAnsi="Times New Roman" w:eastAsia="仿宋_GB2312" w:cs="Times New Roman"/>
                <w:color w:val="auto"/>
                <w:kern w:val="0"/>
                <w:sz w:val="21"/>
                <w:szCs w:val="21"/>
              </w:rPr>
              <w:t>@qq.com</w:t>
            </w:r>
          </w:p>
        </w:tc>
        <w:tc>
          <w:tcPr>
            <w:tcW w:w="2175" w:type="dxa"/>
            <w:gridSpan w:val="5"/>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电子信箱</w:t>
            </w:r>
          </w:p>
        </w:tc>
        <w:tc>
          <w:tcPr>
            <w:tcW w:w="2257" w:type="dxa"/>
            <w:gridSpan w:val="4"/>
            <w:tcBorders>
              <w:tl2br w:val="nil"/>
              <w:tr2bl w:val="nil"/>
            </w:tcBorders>
            <w:vAlign w:val="center"/>
          </w:tcPr>
          <w:p>
            <w:pPr>
              <w:spacing w:line="240" w:lineRule="auto"/>
              <w:ind w:firstLine="0" w:firstLineChars="0"/>
              <w:jc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成渝中线高铁谭家堰牵220千伏外部供电工程水土保持方案报告书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9</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29</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成渝中线高铁谭家堰牵220千伏外部供电工程水土保持方案报告书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大足区水利局、铜梁区水利局、</w:t>
      </w:r>
      <w:r>
        <w:rPr>
          <w:rFonts w:hint="eastAsia" w:ascii="Times New Roman" w:hAnsi="Times New Roman" w:eastAsia="方正仿宋_GBK" w:cs="Times New Roman"/>
          <w:sz w:val="32"/>
          <w:szCs w:val="32"/>
          <w:lang w:bidi="ar"/>
        </w:rPr>
        <w:t>国网重庆市电力公司永川供电分公司（以下简称项目法人）、招商局生态环保科技有限公司（以下简报告编制单位）、重庆电力设计院有限责任公司（主体设计单位）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color w:val="000000"/>
          <w:sz w:val="32"/>
          <w:szCs w:val="32"/>
          <w:lang w:val="en-US" w:eastAsia="zh-CN" w:bidi="ar"/>
        </w:rPr>
        <w:t>11</w:t>
      </w:r>
      <w:r>
        <w:rPr>
          <w:rFonts w:ascii="Times New Roman" w:hAnsi="Times New Roman" w:eastAsia="方正仿宋_GBK" w:cs="Times New Roman"/>
          <w:color w:val="000000"/>
          <w:sz w:val="32"/>
          <w:szCs w:val="32"/>
          <w:lang w:bidi="ar"/>
        </w:rPr>
        <w:t>月</w:t>
      </w:r>
      <w:r>
        <w:rPr>
          <w:rFonts w:hint="eastAsia" w:ascii="Times New Roman" w:hAnsi="Times New Roman" w:eastAsia="方正仿宋_GBK" w:cs="Times New Roman"/>
          <w:color w:val="000000"/>
          <w:sz w:val="32"/>
          <w:szCs w:val="32"/>
          <w:lang w:val="en-US" w:eastAsia="zh-CN" w:bidi="ar"/>
        </w:rPr>
        <w:t>5</w:t>
      </w:r>
      <w:r>
        <w:rPr>
          <w:rFonts w:ascii="Times New Roman" w:hAnsi="Times New Roman" w:eastAsia="方正仿宋_GBK" w:cs="Times New Roman"/>
          <w:color w:val="000000"/>
          <w:sz w:val="32"/>
          <w:szCs w:val="32"/>
          <w:lang w:bidi="ar"/>
        </w:rPr>
        <w:t>日</w:t>
      </w:r>
      <w:r>
        <w:rPr>
          <w:rFonts w:hint="eastAsia" w:ascii="Times New Roman" w:hAnsi="Times New Roman" w:eastAsia="方正仿宋_GBK" w:cs="Times New Roman"/>
          <w:color w:val="000000"/>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12.08</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default" w:ascii="Times New Roman" w:hAnsi="Times New Roman" w:eastAsia="方正仿宋_GB2312" w:cs="Times New Roman"/>
          <w:color w:val="auto"/>
          <w:sz w:val="32"/>
          <w:szCs w:val="32"/>
        </w:rPr>
        <w:t>，其中：大足区6.50</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铜梁区5.58</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成渝中线高铁谭家堰牵220千伏外部供电工程位于重庆市大足区和铜梁区，沿线涉及大足区智凤街道、宝顶镇、回龙镇、国梁镇，铜梁区侣俸镇、平滩镇，为新建输电工程。项目建设内容包括：扩建智凤、文曲变电站220kV间隔各一个；项目线路长度为32.645km，塔基87座（大足区49基，铜梁区38基），其中新建同塔双回通道单边架设智凤</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谭家堰牵220kV架空线路长11.495km，塔基30座（全部位于大足区），电缆敷设长46.28m；新建同塔双回通道单边架设文曲-谭家堰牵220kV架空线路长21.003km，塔基57座（大足区19基，铜梁区38基），电缆敷设长102.26m；改造线路4处，其中改造10kV线路2处，低压线路2处。施工布设塔基施工场地4.66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/87处，牵张场地1.20hm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/10处，跨越场地0.21hm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/2处，施工道路4.37hm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/12.747km。</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val="en-US" w:eastAsia="zh-CN"/>
        </w:rPr>
        <w:t>项目总占地12.08hm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永久占地1.50hm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，临时占地10.58hm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。项目土石方挖填总量12.34万m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，其中挖方6.17万m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（含表土剥离2.00万m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），填方6.17万m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（含表土回覆2.00万m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），无借方和余方。本项目不涉及专项设施改（迁）建。项目计划2025年11月开工，2026年7月完工，工期9个月。项目总投资8804万元，其中土建投资5661万元</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（一）基本同意主体工程选址（线）的水土保持评价。本项目涉及的大足区宝顶镇</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属于重庆市水土流失重点预防区，</w:t>
      </w:r>
      <w:r>
        <w:rPr>
          <w:rFonts w:hint="eastAsia" w:ascii="Times New Roman" w:hAnsi="Times New Roman" w:eastAsia="方正仿宋_GBK" w:cs="Times New Roman"/>
          <w:sz w:val="32"/>
          <w:szCs w:val="32"/>
          <w:lang w:eastAsia="zh-CN"/>
        </w:rPr>
        <w:t>且</w:t>
      </w:r>
      <w:r>
        <w:rPr>
          <w:rFonts w:hint="eastAsia" w:ascii="Times New Roman" w:hAnsi="Times New Roman" w:eastAsia="方正仿宋_GBK" w:cs="Times New Roman"/>
          <w:sz w:val="32"/>
          <w:szCs w:val="32"/>
        </w:rPr>
        <w:t>无法避让，方案</w:t>
      </w:r>
      <w:r>
        <w:rPr>
          <w:rFonts w:hint="eastAsia" w:ascii="Times New Roman" w:hAnsi="Times New Roman" w:eastAsia="方正仿宋_GBK" w:cs="Times New Roman"/>
          <w:sz w:val="32"/>
          <w:szCs w:val="32"/>
          <w:lang w:eastAsia="zh-CN"/>
        </w:rPr>
        <w:t>已</w:t>
      </w:r>
      <w:r>
        <w:rPr>
          <w:rFonts w:hint="eastAsia" w:ascii="Times New Roman" w:hAnsi="Times New Roman" w:eastAsia="方正仿宋_GBK" w:cs="Times New Roman"/>
          <w:sz w:val="32"/>
          <w:szCs w:val="32"/>
        </w:rPr>
        <w:t>执行水土流失防治最高标准</w:t>
      </w:r>
      <w:r>
        <w:rPr>
          <w:rFonts w:hint="eastAsia" w:ascii="Times New Roman" w:hAnsi="Times New Roman" w:eastAsia="方正仿宋_GBK" w:cs="Times New Roman"/>
          <w:sz w:val="32"/>
          <w:szCs w:val="32"/>
          <w:lang w:eastAsia="zh-CN"/>
        </w:rPr>
        <w:t>（一级标准），符合法律法规要求。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w:t>
      </w:r>
      <w:r>
        <w:rPr>
          <w:rFonts w:hint="eastAsia" w:ascii="Times New Roman" w:hAnsi="Times New Roman" w:eastAsia="方正仿宋_GBK" w:cs="Times New Roman"/>
          <w:sz w:val="32"/>
          <w:szCs w:val="32"/>
          <w:lang w:eastAsia="zh-CN"/>
        </w:rPr>
        <w:t>对项目</w:t>
      </w:r>
      <w:r>
        <w:rPr>
          <w:rFonts w:hint="eastAsia" w:ascii="Times New Roman" w:hAnsi="Times New Roman" w:eastAsia="方正仿宋_GBK" w:cs="Times New Roman"/>
          <w:sz w:val="32"/>
          <w:szCs w:val="32"/>
        </w:rPr>
        <w:t>建设方案与布局</w:t>
      </w:r>
      <w:r>
        <w:rPr>
          <w:rFonts w:hint="eastAsia" w:ascii="Times New Roman" w:hAnsi="Times New Roman" w:eastAsia="方正仿宋_GBK" w:cs="Times New Roman"/>
          <w:sz w:val="32"/>
          <w:szCs w:val="32"/>
          <w:lang w:eastAsia="zh-CN"/>
        </w:rPr>
        <w:t>、工程占地、土石方平衡、施工方法与工艺等</w:t>
      </w:r>
      <w:r>
        <w:rPr>
          <w:rFonts w:hint="eastAsia" w:ascii="Times New Roman" w:hAnsi="Times New Roman" w:eastAsia="方正仿宋_GBK" w:cs="Times New Roman"/>
          <w:sz w:val="32"/>
          <w:szCs w:val="32"/>
        </w:rPr>
        <w:t>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基本同意对主体工程设计中水土保持措施界定。</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12.08</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8.46</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521t，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284</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（一）基本同意项目水土流失防治分区划分为塔基施工、电缆工程、牵张场地、跨越场地、施工道路5个一级防治区。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（二）由主体工程设计中具有水土保持功能的措施和本方案新增的水土保持措施所组成的水土保持措施体系基本合理。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（三）基本同意方案根据各防治区水土流失现状提出的防治措施布局和新增水土保持措施典型设计。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塔基施工防治区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施工前，对施工扰动区范围进行表土剥离，</w:t>
      </w:r>
      <w:r>
        <w:rPr>
          <w:rFonts w:hint="eastAsia" w:ascii="Times New Roman" w:hAnsi="Times New Roman" w:eastAsia="方正仿宋_GBK" w:cs="Times New Roman"/>
          <w:sz w:val="32"/>
          <w:szCs w:val="32"/>
          <w:lang w:eastAsia="zh-CN"/>
        </w:rPr>
        <w:t>并</w:t>
      </w:r>
      <w:r>
        <w:rPr>
          <w:rFonts w:hint="eastAsia" w:ascii="Times New Roman" w:hAnsi="Times New Roman" w:eastAsia="方正仿宋_GBK" w:cs="Times New Roman"/>
          <w:sz w:val="32"/>
          <w:szCs w:val="32"/>
        </w:rPr>
        <w:t>集中堆存在塔基临时施工场地范围内。施工中，对施工裸露坡面和临时堆土采用编织土袋挡拦、彩条布覆盖等防护措施；有坡度的塔位施工过程中，永临结合在主体永久排水沟位置修建临时排水沟以拦截和排除周围山坡汇水面内的地表水，在排水沟末端设置临时沉沙池。施工结束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落实永久排水沟、土地整治、复耕和植被恢复。</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电缆工程防治区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施工前，对施工扰动区范围进行表土剥离，</w:t>
      </w:r>
      <w:r>
        <w:rPr>
          <w:rFonts w:hint="eastAsia" w:ascii="Times New Roman" w:hAnsi="Times New Roman" w:eastAsia="方正仿宋_GBK" w:cs="Times New Roman"/>
          <w:sz w:val="32"/>
          <w:szCs w:val="32"/>
          <w:lang w:eastAsia="zh-CN"/>
        </w:rPr>
        <w:t>并</w:t>
      </w:r>
      <w:r>
        <w:rPr>
          <w:rFonts w:hint="eastAsia" w:ascii="Times New Roman" w:hAnsi="Times New Roman" w:eastAsia="方正仿宋_GBK" w:cs="Times New Roman"/>
          <w:sz w:val="32"/>
          <w:szCs w:val="32"/>
        </w:rPr>
        <w:t>集中堆放在沟道一侧。施工中，对临时堆土采用彩条布</w:t>
      </w:r>
      <w:r>
        <w:rPr>
          <w:rFonts w:hint="eastAsia" w:ascii="Times New Roman" w:hAnsi="Times New Roman" w:eastAsia="方正仿宋_GBK" w:cs="Times New Roman"/>
          <w:sz w:val="32"/>
          <w:szCs w:val="32"/>
          <w:lang w:eastAsia="zh-CN"/>
        </w:rPr>
        <w:t>覆盖</w:t>
      </w:r>
      <w:r>
        <w:rPr>
          <w:rFonts w:hint="eastAsia" w:ascii="Times New Roman" w:hAnsi="Times New Roman" w:eastAsia="方正仿宋_GBK" w:cs="Times New Roman"/>
          <w:sz w:val="32"/>
          <w:szCs w:val="32"/>
        </w:rPr>
        <w:t>措施。施工后期复耕。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牵张场地防治区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施工中，坡地区牵张场地场平前实施表土剥离，</w:t>
      </w:r>
      <w:r>
        <w:rPr>
          <w:rFonts w:hint="eastAsia" w:ascii="Times New Roman" w:hAnsi="Times New Roman" w:eastAsia="方正仿宋_GBK" w:cs="Times New Roman"/>
          <w:sz w:val="32"/>
          <w:szCs w:val="32"/>
          <w:lang w:eastAsia="zh-CN"/>
        </w:rPr>
        <w:t>并</w:t>
      </w:r>
      <w:r>
        <w:rPr>
          <w:rFonts w:hint="eastAsia" w:ascii="Times New Roman" w:hAnsi="Times New Roman" w:eastAsia="方正仿宋_GBK" w:cs="Times New Roman"/>
          <w:sz w:val="32"/>
          <w:szCs w:val="32"/>
        </w:rPr>
        <w:t>集中堆存在牵张场地内一角，做好临时防护措施；对缓坡地牵张场开挖边坡采取彩条布进行覆盖，并用石块镇压；平地牵张场地内直接铺设钢板或彩条布临时防护；对牵张场地四周设置临时排水沟，及时将降雨排出至场地外。施工结束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进行土地整治，复耕和植被恢复。</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跨越场地防治区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施工中，对缓坡地形跨越场开挖边坡采取彩条布进行覆盖，并用石块镇压；平地区跨越场地内直接铺设钢板或彩条布临时防护；对跨越场地四周设置临时排水沟，及时将降雨排出至场地外。施工结束后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进行土地整治、复耕和植被恢复。</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施工道路防治区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对新修道路施工扰动区范围进行表土剥离，</w:t>
      </w:r>
      <w:r>
        <w:rPr>
          <w:rFonts w:hint="eastAsia" w:ascii="Times New Roman" w:hAnsi="Times New Roman" w:eastAsia="方正仿宋_GBK" w:cs="Times New Roman"/>
          <w:sz w:val="32"/>
          <w:szCs w:val="32"/>
          <w:lang w:eastAsia="zh-CN"/>
        </w:rPr>
        <w:t>并</w:t>
      </w:r>
      <w:r>
        <w:rPr>
          <w:rFonts w:hint="eastAsia" w:ascii="Times New Roman" w:hAnsi="Times New Roman" w:eastAsia="方正仿宋_GBK" w:cs="Times New Roman"/>
          <w:sz w:val="32"/>
          <w:szCs w:val="32"/>
        </w:rPr>
        <w:t>集中堆存在施工道路一侧，较长的施工道路选取合适场地集中堆放在红线范围内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对扩宽道路施工扰动区范围进行表土剥离，</w:t>
      </w:r>
      <w:r>
        <w:rPr>
          <w:rFonts w:hint="eastAsia" w:ascii="Times New Roman" w:hAnsi="Times New Roman" w:eastAsia="方正仿宋_GBK" w:cs="Times New Roman"/>
          <w:sz w:val="32"/>
          <w:szCs w:val="32"/>
          <w:lang w:eastAsia="zh-CN"/>
        </w:rPr>
        <w:t>并</w:t>
      </w:r>
      <w:r>
        <w:rPr>
          <w:rFonts w:hint="eastAsia" w:ascii="Times New Roman" w:hAnsi="Times New Roman" w:eastAsia="方正仿宋_GBK" w:cs="Times New Roman"/>
          <w:sz w:val="32"/>
          <w:szCs w:val="32"/>
        </w:rPr>
        <w:t>运至新修便道，用于新修便道的后期绿化覆土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施工中，表土装编织袋在填方边坡下边坡拦挡，根据地形布设临时排水、临时沉沙，临时堆土及施工边坡彩条布</w:t>
      </w:r>
      <w:r>
        <w:rPr>
          <w:rFonts w:hint="eastAsia" w:ascii="Times New Roman" w:hAnsi="Times New Roman" w:eastAsia="方正仿宋_GBK" w:cs="Times New Roman"/>
          <w:sz w:val="32"/>
          <w:szCs w:val="32"/>
          <w:lang w:eastAsia="zh-CN"/>
        </w:rPr>
        <w:t>覆盖</w:t>
      </w:r>
      <w:r>
        <w:rPr>
          <w:rFonts w:hint="eastAsia" w:ascii="Times New Roman" w:hAnsi="Times New Roman" w:eastAsia="方正仿宋_GBK" w:cs="Times New Roman"/>
          <w:sz w:val="32"/>
          <w:szCs w:val="32"/>
        </w:rPr>
        <w:t>及拦挡措施</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w:t>
      </w:r>
      <w:r>
        <w:rPr>
          <w:rFonts w:hint="eastAsia" w:ascii="Times New Roman" w:hAnsi="Times New Roman" w:eastAsia="方正仿宋_GBK" w:cs="Times New Roman"/>
          <w:sz w:val="32"/>
          <w:szCs w:val="32"/>
          <w:lang w:eastAsia="zh-CN"/>
        </w:rPr>
        <w:t>，进行</w:t>
      </w:r>
      <w:r>
        <w:rPr>
          <w:rFonts w:hint="eastAsia" w:ascii="Times New Roman" w:hAnsi="Times New Roman" w:eastAsia="方正仿宋_GBK" w:cs="Times New Roman"/>
          <w:sz w:val="32"/>
          <w:szCs w:val="32"/>
        </w:rPr>
        <w:t>土地整治，复耕和植被恢复。</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446.53万元，其中：主体已列5.67万元，方案新增440.86万元（其中：工程措施118.60万元，植物措施139.75万元，监测措施11.88万元，施工临时措施66.59万元，独立费用63.13万元，基本预备费24.00万元，水土保持补偿费16.912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Style w:val="13"/>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成渝中线高铁谭家堰牵 220 千伏外部供电工程水土保持方案投资估算</w:t>
      </w:r>
      <w:r>
        <w:rPr>
          <w:rFonts w:hint="eastAsia" w:ascii="Times New Roman" w:hAnsi="Times New Roman" w:eastAsia="方正仿宋_GBK"/>
          <w:sz w:val="32"/>
          <w:szCs w:val="32"/>
        </w:rPr>
        <w:t>审核表</w:t>
      </w:r>
    </w:p>
    <w:p>
      <w:pPr>
        <w:widowControl/>
        <w:spacing w:line="600" w:lineRule="exact"/>
        <w:ind w:left="1050" w:leftChars="200" w:hanging="630" w:hangingChars="300"/>
        <w:rPr>
          <w:rFonts w:ascii="Times New Roman" w:hAnsi="Times New Roman" w:eastAsia="方正仿宋_GBK"/>
          <w:sz w:val="32"/>
          <w:szCs w:val="32"/>
        </w:rPr>
      </w:pPr>
      <w:bookmarkStart w:id="0" w:name="_GoBack"/>
      <w:r>
        <w:rPr>
          <w:color w:val="auto"/>
        </w:rPr>
        <w:drawing>
          <wp:anchor distT="0" distB="0" distL="114300" distR="114300" simplePos="0" relativeHeight="251661312" behindDoc="0" locked="0" layoutInCell="1" allowOverlap="1">
            <wp:simplePos x="0" y="0"/>
            <wp:positionH relativeFrom="column">
              <wp:posOffset>4617085</wp:posOffset>
            </wp:positionH>
            <wp:positionV relativeFrom="page">
              <wp:posOffset>6844030</wp:posOffset>
            </wp:positionV>
            <wp:extent cx="1060450" cy="404495"/>
            <wp:effectExtent l="0" t="0" r="6350" b="14605"/>
            <wp:wrapNone/>
            <wp:docPr id="3" name="图片 2"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谢巍"/>
                    <pic:cNvPicPr>
                      <a:picLocks noChangeAspect="1"/>
                    </pic:cNvPicPr>
                  </pic:nvPicPr>
                  <pic:blipFill>
                    <a:blip r:embed="rId8"/>
                    <a:stretch>
                      <a:fillRect/>
                    </a:stretch>
                  </pic:blipFill>
                  <pic:spPr>
                    <a:xfrm>
                      <a:off x="0" y="0"/>
                      <a:ext cx="1060450" cy="404495"/>
                    </a:xfrm>
                    <a:prstGeom prst="rect">
                      <a:avLst/>
                    </a:prstGeom>
                    <a:noFill/>
                    <a:ln>
                      <a:noFill/>
                    </a:ln>
                  </pic:spPr>
                </pic:pic>
              </a:graphicData>
            </a:graphic>
          </wp:anchor>
        </w:drawing>
      </w:r>
      <w:bookmarkEnd w:id="0"/>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4160" w:firstLineChars="1300"/>
        <w:rPr>
          <w:rFonts w:hint="eastAsia" w:ascii="Times New Roman" w:hAnsi="Times New Roman" w:eastAsia="方正仿宋_GBK"/>
          <w:sz w:val="32"/>
          <w:szCs w:val="32"/>
          <w:lang w:eastAsia="zh-CN"/>
        </w:rPr>
      </w:pP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1361" w:gutter="0"/>
          <w:pgBorders>
            <w:top w:val="none" w:sz="0" w:space="0"/>
            <w:left w:val="none" w:sz="0" w:space="0"/>
            <w:bottom w:val="none" w:sz="0" w:space="0"/>
            <w:right w:val="none" w:sz="0" w:space="0"/>
          </w:pgBorders>
          <w:pgNumType w:fmt="decimal"/>
          <w:cols w:space="720" w:num="1"/>
          <w:docGrid w:linePitch="381" w:charSpace="0"/>
        </w:sectPr>
      </w:pPr>
      <w:r>
        <w:rPr>
          <w:rFonts w:ascii="Times New Roman" w:hAnsi="Times New Roman" w:eastAsia="方正仿宋_GBK"/>
          <w:sz w:val="32"/>
          <w:szCs w:val="32"/>
        </w:rPr>
        <w:t>202</w:t>
      </w:r>
      <w:r>
        <w:rPr>
          <w:rFonts w:hint="default" w:ascii="Times New Roman" w:hAnsi="Times New Roman" w:eastAsia="方正仿宋_GBK"/>
          <w:sz w:val="32"/>
          <w:szCs w:val="32"/>
          <w:lang w:val="en"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日</w:t>
      </w:r>
    </w:p>
    <w:p>
      <w:pPr>
        <w:spacing w:line="400" w:lineRule="exact"/>
        <w:rPr>
          <w:rFonts w:hint="eastAsia" w:ascii="Times New Roman" w:hAnsi="Times New Roman" w:eastAsia="宋体" w:cs="Times New Roman"/>
          <w:kern w:val="0"/>
          <w:sz w:val="16"/>
          <w:szCs w:val="16"/>
          <w:lang w:bidi="ar"/>
        </w:rPr>
      </w:pPr>
      <w:r>
        <w:rPr>
          <w:rFonts w:hint="eastAsia" w:ascii="方正黑体_GBK" w:hAnsi="Times New Roman" w:eastAsia="方正黑体_GBK"/>
          <w:sz w:val="32"/>
          <w:szCs w:val="32"/>
        </w:rPr>
        <w:t>附件</w:t>
      </w:r>
    </w:p>
    <w:p>
      <w:pPr>
        <w:spacing w:line="400" w:lineRule="exact"/>
        <w:jc w:val="center"/>
        <w:rPr>
          <w:rFonts w:hint="default" w:ascii="Times New Roman" w:hAnsi="Times New Roman" w:eastAsia="方正小标宋_GBK" w:cs="Times New Roman"/>
          <w:bCs/>
          <w:sz w:val="32"/>
          <w:szCs w:val="32"/>
        </w:rPr>
      </w:pPr>
    </w:p>
    <w:p>
      <w:pPr>
        <w:spacing w:line="400" w:lineRule="exact"/>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成渝中线高铁谭家堰牵 220 千伏外部供电工程</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2"/>
          <w:szCs w:val="32"/>
        </w:rPr>
        <w:t>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525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32" w:type="dxa"/>
          <w:left w:w="64" w:type="dxa"/>
          <w:bottom w:w="32" w:type="dxa"/>
          <w:right w:w="64" w:type="dxa"/>
        </w:tblCellMar>
      </w:tblPr>
      <w:tblGrid>
        <w:gridCol w:w="942"/>
        <w:gridCol w:w="2333"/>
        <w:gridCol w:w="1578"/>
        <w:gridCol w:w="1578"/>
        <w:gridCol w:w="1578"/>
        <w:gridCol w:w="16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tblHeader/>
          <w:jc w:val="center"/>
        </w:trPr>
        <w:tc>
          <w:tcPr>
            <w:tcW w:w="489" w:type="pct"/>
            <w:vMerge w:val="restar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212" w:type="pct"/>
            <w:vMerge w:val="restar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工程或费用名称</w:t>
            </w:r>
          </w:p>
        </w:tc>
        <w:tc>
          <w:tcPr>
            <w:tcW w:w="2461" w:type="pct"/>
            <w:gridSpan w:val="3"/>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审核投资（万元）</w:t>
            </w:r>
          </w:p>
        </w:tc>
        <w:tc>
          <w:tcPr>
            <w:tcW w:w="836" w:type="pct"/>
            <w:vMerge w:val="restar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tblHeader/>
          <w:jc w:val="center"/>
        </w:trPr>
        <w:tc>
          <w:tcPr>
            <w:tcW w:w="489" w:type="pct"/>
            <w:vMerge w:val="continue"/>
            <w:tcBorders>
              <w:tl2br w:val="nil"/>
              <w:tr2bl w:val="nil"/>
            </w:tcBorders>
            <w:noWrap w:val="0"/>
            <w:vAlign w:val="center"/>
          </w:tcPr>
          <w:p>
            <w:pPr>
              <w:snapToGrid w:val="0"/>
              <w:jc w:val="center"/>
              <w:rPr>
                <w:rFonts w:hint="default" w:ascii="Times New Roman" w:hAnsi="Times New Roman" w:eastAsia="宋体" w:cs="Times New Roman"/>
                <w:b/>
                <w:bCs/>
                <w:i w:val="0"/>
                <w:iCs w:val="0"/>
                <w:color w:val="000000"/>
                <w:sz w:val="21"/>
                <w:szCs w:val="21"/>
                <w:u w:val="none"/>
                <w:lang w:eastAsia="zh-CN"/>
              </w:rPr>
            </w:pPr>
          </w:p>
        </w:tc>
        <w:tc>
          <w:tcPr>
            <w:tcW w:w="1212" w:type="pct"/>
            <w:vMerge w:val="continue"/>
            <w:tcBorders>
              <w:tl2br w:val="nil"/>
              <w:tr2bl w:val="nil"/>
            </w:tcBorders>
            <w:noWrap w:val="0"/>
            <w:vAlign w:val="center"/>
          </w:tcPr>
          <w:p>
            <w:pPr>
              <w:snapToGrid w:val="0"/>
              <w:jc w:val="center"/>
              <w:rPr>
                <w:rFonts w:hint="default" w:ascii="Times New Roman" w:hAnsi="Times New Roman" w:eastAsia="宋体" w:cs="Times New Roman"/>
                <w:b/>
                <w:bCs/>
                <w:i w:val="0"/>
                <w:iCs w:val="0"/>
                <w:color w:val="000000"/>
                <w:sz w:val="21"/>
                <w:szCs w:val="21"/>
                <w:u w:val="none"/>
                <w:lang w:eastAsia="zh-CN"/>
              </w:rPr>
            </w:pP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新增投资</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主体已列</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836" w:type="pct"/>
            <w:vMerge w:val="continue"/>
            <w:tcBorders>
              <w:tl2br w:val="nil"/>
              <w:tr2bl w:val="nil"/>
            </w:tcBorders>
            <w:noWrap w:val="0"/>
            <w:vAlign w:val="center"/>
          </w:tcPr>
          <w:p>
            <w:pPr>
              <w:snapToGrid w:val="0"/>
              <w:jc w:val="center"/>
              <w:rPr>
                <w:rFonts w:hint="default" w:ascii="Times New Roman" w:hAnsi="Times New Roman" w:eastAsia="宋体" w:cs="Times New Roman"/>
                <w:b/>
                <w:bCs/>
                <w:i w:val="0"/>
                <w:iCs w:val="0"/>
                <w:color w:val="000000"/>
                <w:sz w:val="21"/>
                <w:szCs w:val="21"/>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第一</w:t>
            </w:r>
          </w:p>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部分</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工程措施费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118.6</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5.67</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124.27</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212"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rPr>
              <w:t>塔基工程防治区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70.6</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5.67</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76.27</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212"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rPr>
              <w:t>电缆工程防治区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1.43</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1.43</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212"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rPr>
              <w:t>牵张场地防治区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3.59</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3.59</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212"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rPr>
              <w:t>跨越场地防治区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0.45</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0.45</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212"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rPr>
              <w:t>施工道路防治区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42.53</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42.53</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第二</w:t>
            </w:r>
          </w:p>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部分</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植物措施费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139.75</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139.75</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9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塔基工程防治区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69.61</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69.61</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电缆工程防治区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牵张场地防治区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6.95</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6.95</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跨越场地防治区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0.07</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0.07</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9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施工道路防治区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63.12</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63.12</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第三</w:t>
            </w:r>
          </w:p>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部分</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监测措施费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11.88</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11.88</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土建设施费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设备费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2.32</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2.32</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观测运行费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9.56</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9.56</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第四部分</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施工临时措施费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66.59</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66.59</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临时防护工程</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63.93</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63.93</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塔基工程防治区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15.03</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15.03</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电缆工程防治区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0.2</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0.2</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牵张场地防治区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2.13</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2.13</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跨越场地防治区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0.78</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0.78</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施工道路防治区</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45.79</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45.79</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其他临时工程</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2.66</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2.66</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第五部分</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独立费用</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63.13</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63.13</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技术咨询费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41.85</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41.85</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水土保持方案编制费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15.67</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15.67</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科研勘测设计费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14.27</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14.27</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水土保持设施验收费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11.91</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11.91</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工程管理费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21.28</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21.28</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建设管理费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6.85</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6.85</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工程建设监理费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10.99</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10.99</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招标代理服务费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3.44</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3.44</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I</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第一至五部分合计</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399.95</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5.67</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405.62</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II</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基本预备费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24</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24</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III</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水土保持补偿费</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16.912</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0.00</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16.912</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340" w:hRule="atLeast"/>
          <w:jc w:val="center"/>
        </w:trPr>
        <w:tc>
          <w:tcPr>
            <w:tcW w:w="489"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IV</w:t>
            </w:r>
          </w:p>
        </w:tc>
        <w:tc>
          <w:tcPr>
            <w:tcW w:w="121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总投资</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440.862</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5.67</w:t>
            </w:r>
          </w:p>
        </w:tc>
        <w:tc>
          <w:tcPr>
            <w:tcW w:w="8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446.532</w:t>
            </w:r>
          </w:p>
        </w:tc>
        <w:tc>
          <w:tcPr>
            <w:tcW w:w="836"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1"/>
                <w:szCs w:val="21"/>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AF31FFF"/>
    <w:rsid w:val="1BD6CF5C"/>
    <w:rsid w:val="1F9FA41B"/>
    <w:rsid w:val="2DFB35DB"/>
    <w:rsid w:val="37976650"/>
    <w:rsid w:val="37EFD5B6"/>
    <w:rsid w:val="3B6DE0EA"/>
    <w:rsid w:val="3D5B9BA8"/>
    <w:rsid w:val="3F1FC717"/>
    <w:rsid w:val="53FB8AC3"/>
    <w:rsid w:val="57FFAD9E"/>
    <w:rsid w:val="5DE6A532"/>
    <w:rsid w:val="61FBA065"/>
    <w:rsid w:val="6D7BE9D6"/>
    <w:rsid w:val="6FDF1A4C"/>
    <w:rsid w:val="71EE10CD"/>
    <w:rsid w:val="7CF5B894"/>
    <w:rsid w:val="7DDFF8A4"/>
    <w:rsid w:val="7DF37FA8"/>
    <w:rsid w:val="7F1D2B0E"/>
    <w:rsid w:val="7F7BD41E"/>
    <w:rsid w:val="7FD72CDD"/>
    <w:rsid w:val="9EFCA69E"/>
    <w:rsid w:val="AB67795C"/>
    <w:rsid w:val="B3D3FE9A"/>
    <w:rsid w:val="B7C628FB"/>
    <w:rsid w:val="BED790B1"/>
    <w:rsid w:val="BEFE32AD"/>
    <w:rsid w:val="D6DF3A6C"/>
    <w:rsid w:val="D733941D"/>
    <w:rsid w:val="DED782E6"/>
    <w:rsid w:val="DF7F9546"/>
    <w:rsid w:val="DFEFB800"/>
    <w:rsid w:val="E7DB5BFA"/>
    <w:rsid w:val="E93F1AD7"/>
    <w:rsid w:val="EFFF51BE"/>
    <w:rsid w:val="F28B2029"/>
    <w:rsid w:val="F2FE282B"/>
    <w:rsid w:val="F3FED0B4"/>
    <w:rsid w:val="F7FE9DF3"/>
    <w:rsid w:val="F9FD29CF"/>
    <w:rsid w:val="FB6B7BF4"/>
    <w:rsid w:val="FB7D6FE7"/>
    <w:rsid w:val="FDE419AA"/>
    <w:rsid w:val="FEBF5266"/>
    <w:rsid w:val="FEFF0266"/>
    <w:rsid w:val="FF1DD2C3"/>
    <w:rsid w:val="FF7E7199"/>
    <w:rsid w:val="FFD77C3B"/>
    <w:rsid w:val="FFFBB379"/>
    <w:rsid w:val="FFFF4188"/>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1275</Words>
  <Characters>7272</Characters>
  <Lines>60</Lines>
  <Paragraphs>17</Paragraphs>
  <TotalTime>51</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2020-10-30T23:08:00Z</dcterms:created>
  <dc:creator>张艺馨</dc:creator>
  <cp:lastModifiedBy>Administrator</cp:lastModifiedBy>
  <dcterms:modified xsi:type="dcterms:W3CDTF">2025-11-17T01:23:10Z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6408C57A83B4E13D19A6156936A92D4D_43</vt:lpwstr>
  </property>
</Properties>
</file>