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Lines="0" w:line="594" w:lineRule="exact"/>
        <w:jc w:val="right"/>
        <w:textAlignment w:val="auto"/>
        <w:rPr>
          <w:rFonts w:hint="eastAsia" w:ascii="Times New Roman" w:hAnsi="Times New Roman" w:eastAsia="方正仿宋_GBK" w:cs="方正仿宋_GBK"/>
          <w:b/>
          <w:bCs/>
          <w:snapToGrid w:val="0"/>
          <w:spacing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Lines="0" w:line="594" w:lineRule="exact"/>
        <w:jc w:val="center"/>
        <w:textAlignment w:val="auto"/>
        <w:rPr>
          <w:rFonts w:hint="eastAsia" w:ascii="方正小标宋_GBK" w:hAnsi="方正小标宋_GBK" w:eastAsia="方正小标宋_GBK" w:cs="方正小标宋_GBK"/>
          <w:b w:val="0"/>
          <w:bCs w:val="0"/>
          <w:snapToGrid w:val="0"/>
          <w:spacing w:val="0"/>
          <w:kern w:val="0"/>
          <w:sz w:val="44"/>
          <w:szCs w:val="44"/>
          <w:lang w:val="en-US" w:eastAsia="zh-CN"/>
        </w:rPr>
      </w:pPr>
      <w:r>
        <w:rPr>
          <w:rFonts w:hint="eastAsia" w:ascii="方正小标宋_GBK" w:hAnsi="方正小标宋_GBK" w:eastAsia="方正小标宋_GBK" w:cs="方正小标宋_GBK"/>
          <w:b w:val="0"/>
          <w:bCs w:val="0"/>
          <w:snapToGrid w:val="0"/>
          <w:spacing w:val="0"/>
          <w:kern w:val="0"/>
          <w:sz w:val="44"/>
          <w:szCs w:val="44"/>
          <w:lang w:val="en-US" w:eastAsia="zh-CN"/>
        </w:rPr>
        <w:t>重庆市水利局</w:t>
      </w:r>
    </w:p>
    <w:p>
      <w:pPr>
        <w:keepNext w:val="0"/>
        <w:keepLines w:val="0"/>
        <w:pageBreakBefore w:val="0"/>
        <w:widowControl w:val="0"/>
        <w:kinsoku/>
        <w:wordWrap/>
        <w:overflowPunct/>
        <w:topLinePunct w:val="0"/>
        <w:autoSpaceDE/>
        <w:autoSpaceDN/>
        <w:bidi w:val="0"/>
        <w:adjustRightInd/>
        <w:snapToGrid w:val="0"/>
        <w:spacing w:beforeLines="0" w:line="594" w:lineRule="exact"/>
        <w:jc w:val="center"/>
        <w:textAlignment w:val="auto"/>
        <w:rPr>
          <w:rFonts w:hint="eastAsia" w:ascii="方正小标宋_GBK" w:hAnsi="方正小标宋_GBK" w:eastAsia="方正小标宋_GBK" w:cs="方正小标宋_GBK"/>
          <w:b w:val="0"/>
          <w:bCs w:val="0"/>
          <w:snapToGrid w:val="0"/>
          <w:spacing w:val="0"/>
          <w:kern w:val="0"/>
          <w:sz w:val="44"/>
          <w:szCs w:val="44"/>
          <w:lang w:val="en-US" w:eastAsia="zh-CN"/>
        </w:rPr>
      </w:pPr>
      <w:r>
        <w:rPr>
          <w:rFonts w:hint="eastAsia" w:ascii="方正小标宋_GBK" w:hAnsi="方正小标宋_GBK" w:eastAsia="方正小标宋_GBK" w:cs="方正小标宋_GBK"/>
          <w:b w:val="0"/>
          <w:bCs w:val="0"/>
          <w:snapToGrid w:val="0"/>
          <w:spacing w:val="0"/>
          <w:kern w:val="0"/>
          <w:sz w:val="44"/>
          <w:szCs w:val="44"/>
          <w:lang w:val="en-US" w:eastAsia="zh-CN"/>
        </w:rPr>
        <w:t>关于重庆玉滩大型灌区工程建设征地移民安置</w:t>
      </w:r>
    </w:p>
    <w:p>
      <w:pPr>
        <w:keepNext w:val="0"/>
        <w:keepLines w:val="0"/>
        <w:pageBreakBefore w:val="0"/>
        <w:widowControl w:val="0"/>
        <w:kinsoku/>
        <w:wordWrap/>
        <w:overflowPunct/>
        <w:topLinePunct w:val="0"/>
        <w:autoSpaceDE/>
        <w:autoSpaceDN/>
        <w:bidi w:val="0"/>
        <w:adjustRightInd/>
        <w:snapToGrid w:val="0"/>
        <w:spacing w:beforeLines="0" w:line="594" w:lineRule="exact"/>
        <w:jc w:val="center"/>
        <w:textAlignment w:val="auto"/>
        <w:rPr>
          <w:rFonts w:hint="eastAsia" w:ascii="方正小标宋_GBK" w:hAnsi="方正小标宋_GBK" w:eastAsia="方正小标宋_GBK" w:cs="方正小标宋_GBK"/>
          <w:snapToGrid w:val="0"/>
          <w:spacing w:val="0"/>
          <w:kern w:val="0"/>
          <w:sz w:val="44"/>
          <w:szCs w:val="44"/>
          <w:lang w:val="en-US" w:eastAsia="zh-CN"/>
        </w:rPr>
      </w:pPr>
      <w:r>
        <w:rPr>
          <w:rFonts w:hint="eastAsia" w:ascii="方正小标宋_GBK" w:hAnsi="方正小标宋_GBK" w:eastAsia="方正小标宋_GBK" w:cs="方正小标宋_GBK"/>
          <w:b w:val="0"/>
          <w:bCs w:val="0"/>
          <w:snapToGrid w:val="0"/>
          <w:spacing w:val="0"/>
          <w:kern w:val="0"/>
          <w:sz w:val="44"/>
          <w:szCs w:val="44"/>
          <w:lang w:val="en-US" w:eastAsia="zh-CN"/>
        </w:rPr>
        <w:t>规划报告准予行政许可的决定</w:t>
      </w:r>
    </w:p>
    <w:p>
      <w:pPr>
        <w:keepNext w:val="0"/>
        <w:keepLines w:val="0"/>
        <w:pageBreakBefore w:val="0"/>
        <w:kinsoku/>
        <w:wordWrap/>
        <w:overflowPunct/>
        <w:topLinePunct w:val="0"/>
        <w:autoSpaceDE/>
        <w:autoSpaceDN/>
        <w:bidi w:val="0"/>
        <w:adjustRightInd/>
        <w:snapToGrid w:val="0"/>
        <w:spacing w:beforeLines="0" w:line="594" w:lineRule="exact"/>
        <w:textAlignment w:val="auto"/>
        <w:rPr>
          <w:rFonts w:hint="eastAsia" w:ascii="Times New Roman" w:hAnsi="Times New Roman" w:eastAsia="方正仿宋_GBK" w:cs="方正仿宋_GBK"/>
          <w:snapToGrid w:val="0"/>
          <w:spacing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Lines="0" w:line="594" w:lineRule="exact"/>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大足区、荣昌区水利局：</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你局</w:t>
      </w:r>
      <w:r>
        <w:rPr>
          <w:rFonts w:hint="eastAsia" w:ascii="Times New Roman" w:hAnsi="Times New Roman" w:eastAsia="方正仿宋_GBK" w:cs="方正仿宋_GBK"/>
          <w:snapToGrid w:val="0"/>
          <w:color w:val="auto"/>
          <w:spacing w:val="0"/>
          <w:kern w:val="0"/>
          <w:sz w:val="32"/>
          <w:szCs w:val="32"/>
          <w:lang w:val="en-US" w:eastAsia="zh-CN"/>
        </w:rPr>
        <w:t>《关于审批重庆玉滩大型灌区工程建设征地移民安置规划报告的请示》（大足水利文〔2026〕53号）</w:t>
      </w:r>
      <w:r>
        <w:rPr>
          <w:rFonts w:hint="eastAsia" w:ascii="Times New Roman" w:hAnsi="Times New Roman" w:eastAsia="方正仿宋_GBK" w:cs="方正仿宋_GBK"/>
          <w:snapToGrid w:val="0"/>
          <w:spacing w:val="0"/>
          <w:kern w:val="0"/>
          <w:sz w:val="32"/>
          <w:szCs w:val="32"/>
          <w:lang w:val="en-US" w:eastAsia="zh-CN"/>
        </w:rPr>
        <w:t>收悉。根据《中华人民共和国行政许可法》第三十八条、《大中型水利水电工程建设征地补偿和移民安置条例》（国务院令第679号）第十条、《水行政许可实施办法》（水利部令第23号）第三十二条第一项之规定，结合技术咨询单位出具的《关于报送重庆玉滩大型灌区工程建设征地移民安置规划报告技术审查意见的函》（长设经计函〔2026〕103 号，见附件），经研究，现准予行政许可如下</w:t>
      </w:r>
      <w:r>
        <w:rPr>
          <w:rFonts w:hint="eastAsia" w:ascii="Times New Roman" w:hAnsi="Times New Roman" w:eastAsia="方正仿宋_GBK" w:cs="方正仿宋_GBK"/>
          <w:snapToGrid w:val="0"/>
          <w:spacing w:val="0"/>
          <w:kern w:val="0"/>
          <w:sz w:val="32"/>
          <w:szCs w:val="32"/>
          <w:lang w:val="en-US" w:eastAsia="zh"/>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一、工程位置与任务</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default"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重庆玉滩大型灌区工程涉及大足、荣昌区2个区，工程任务为农业灌溉、乡镇供水，并为全面推进乡村振兴创造条件。其中豹子</w:t>
      </w:r>
      <w:r>
        <w:rPr>
          <w:rFonts w:hint="eastAsia" w:ascii="Times New Roman" w:hAnsi="Times New Roman" w:eastAsia="方正仿宋_GBK" w:cs="方正仿宋_GBK"/>
          <w:snapToGrid w:val="0"/>
          <w:color w:val="auto"/>
          <w:spacing w:val="0"/>
          <w:kern w:val="0"/>
          <w:sz w:val="32"/>
          <w:szCs w:val="32"/>
          <w:lang w:val="en-US" w:eastAsia="zh-CN"/>
        </w:rPr>
        <w:t>塘水库扩建工程位于大足区，正常蓄水位361.00m（1985国家高程基准）。</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二、建设征地范围</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基本同意水库淹没处理设计洪水标准和建设征地范围。</w:t>
      </w:r>
    </w:p>
    <w:p>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三、建设征地实物调查</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color w:val="000000"/>
          <w:spacing w:val="0"/>
          <w:kern w:val="0"/>
          <w:sz w:val="32"/>
          <w:szCs w:val="32"/>
          <w:lang w:val="en-US" w:eastAsia="zh-CN"/>
        </w:rPr>
      </w:pPr>
      <w:r>
        <w:rPr>
          <w:rFonts w:hint="eastAsia" w:ascii="Times New Roman" w:hAnsi="Times New Roman" w:eastAsia="方正仿宋_GBK" w:cs="方正仿宋_GBK"/>
          <w:snapToGrid w:val="0"/>
          <w:color w:val="000000"/>
          <w:spacing w:val="0"/>
          <w:kern w:val="0"/>
          <w:sz w:val="32"/>
          <w:szCs w:val="32"/>
          <w:lang w:val="en-US" w:eastAsia="zh-CN" w:bidi="ar-SA"/>
        </w:rPr>
        <w:t>（一）</w:t>
      </w:r>
      <w:r>
        <w:rPr>
          <w:rFonts w:hint="eastAsia" w:ascii="Times New Roman" w:hAnsi="Times New Roman" w:eastAsia="方正仿宋_GBK" w:cs="方正仿宋_GBK"/>
          <w:snapToGrid w:val="0"/>
          <w:color w:val="000000"/>
          <w:spacing w:val="0"/>
          <w:kern w:val="0"/>
          <w:sz w:val="32"/>
          <w:szCs w:val="32"/>
          <w:lang w:val="en-US" w:eastAsia="zh-CN"/>
        </w:rPr>
        <w:t>基本同意实物调查依据、内容、方法和成果的确认程序。</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jc w:val="both"/>
        <w:textAlignment w:val="auto"/>
        <w:rPr>
          <w:rFonts w:hint="eastAsia" w:ascii="Times New Roman" w:hAnsi="Times New Roman" w:eastAsia="方正仿宋_GBK" w:cs="方正仿宋_GBK"/>
          <w:snapToGrid w:val="0"/>
          <w:color w:val="000000"/>
          <w:spacing w:val="0"/>
          <w:kern w:val="0"/>
          <w:sz w:val="32"/>
          <w:szCs w:val="32"/>
          <w:lang w:val="en-US" w:eastAsia="zh-CN"/>
        </w:rPr>
      </w:pPr>
      <w:r>
        <w:rPr>
          <w:rFonts w:hint="eastAsia" w:ascii="Times New Roman" w:hAnsi="Times New Roman" w:eastAsia="方正仿宋_GBK" w:cs="方正仿宋_GBK"/>
          <w:snapToGrid w:val="0"/>
          <w:color w:val="000000"/>
          <w:spacing w:val="0"/>
          <w:kern w:val="0"/>
          <w:sz w:val="32"/>
          <w:szCs w:val="32"/>
          <w:lang w:val="en-US" w:eastAsia="zh-CN"/>
        </w:rPr>
        <w:t>（二）基本同意实物调查成果：永久征收土地990.94亩，包括国有土地175.02亩，集体土地815.92亩（其中：耕地431.57亩、园地3.44亩、林地242.62亩、草地1.22亩、住宅用地8.83亩、公共管理服务用地5.09亩、特殊用地0.31亩、交通运输用地9.15亩、水域及水利设施用地70.10亩、其他土地43.59亩），临时用地9157.01亩；直接搬迁人口7户31人，拆迁房屋2009.62m</w:t>
      </w:r>
      <w:r>
        <w:rPr>
          <w:rFonts w:hint="eastAsia" w:ascii="Times New Roman" w:hAnsi="Times New Roman" w:eastAsia="方正仿宋_GBK" w:cs="方正仿宋_GBK"/>
          <w:snapToGrid w:val="0"/>
          <w:color w:val="000000"/>
          <w:spacing w:val="0"/>
          <w:kern w:val="0"/>
          <w:sz w:val="32"/>
          <w:szCs w:val="32"/>
          <w:vertAlign w:val="superscript"/>
          <w:lang w:val="en-US" w:eastAsia="zh-CN"/>
        </w:rPr>
        <w:t>2</w:t>
      </w:r>
      <w:r>
        <w:rPr>
          <w:rFonts w:hint="eastAsia" w:ascii="Times New Roman" w:hAnsi="Times New Roman" w:eastAsia="方正仿宋_GBK" w:cs="方正仿宋_GBK"/>
          <w:snapToGrid w:val="0"/>
          <w:color w:val="000000"/>
          <w:spacing w:val="0"/>
          <w:kern w:val="0"/>
          <w:sz w:val="32"/>
          <w:szCs w:val="32"/>
          <w:lang w:val="en-US" w:eastAsia="zh-CN"/>
        </w:rPr>
        <w:t>；涉及县道四级公路1.23km、桥梁3座、人行桥7座、10KV输电线路1.80km、0.4KV配电线路5.01km、移动光缆41.53km、电信光缆35.00km、联通光缆16.26km、广电光缆19.80km、天然气管道0.37km、供水管道0.64km、泵站1座、地表文物2处，不涉及压覆矿产。</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四、农村移民安置规划</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color w:val="000000"/>
          <w:spacing w:val="0"/>
          <w:kern w:val="0"/>
          <w:sz w:val="32"/>
          <w:szCs w:val="32"/>
          <w:lang w:val="en-US" w:eastAsia="zh-CN"/>
        </w:rPr>
      </w:pPr>
      <w:r>
        <w:rPr>
          <w:rFonts w:hint="eastAsia" w:ascii="Times New Roman" w:hAnsi="Times New Roman" w:eastAsia="方正仿宋_GBK" w:cs="方正仿宋_GBK"/>
          <w:snapToGrid w:val="0"/>
          <w:color w:val="000000"/>
          <w:spacing w:val="0"/>
          <w:kern w:val="0"/>
          <w:sz w:val="32"/>
          <w:szCs w:val="32"/>
          <w:lang w:val="en-US" w:eastAsia="zh-CN"/>
        </w:rPr>
        <w:t>（一）同意移民安置规划基准年为2026年，枢纽工程建设区、其他水利工程建设区规划水平年为2026年、水库淹没影响区规划规划水平年为2029年。</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color w:val="000000"/>
          <w:spacing w:val="0"/>
          <w:kern w:val="0"/>
          <w:sz w:val="32"/>
          <w:szCs w:val="32"/>
          <w:lang w:val="en-US" w:eastAsia="zh-CN"/>
        </w:rPr>
      </w:pPr>
      <w:r>
        <w:rPr>
          <w:rFonts w:hint="eastAsia" w:ascii="Times New Roman" w:hAnsi="Times New Roman" w:eastAsia="方正仿宋_GBK" w:cs="方正仿宋_GBK"/>
          <w:snapToGrid w:val="0"/>
          <w:color w:val="000000"/>
          <w:spacing w:val="0"/>
          <w:kern w:val="0"/>
          <w:sz w:val="32"/>
          <w:szCs w:val="32"/>
          <w:lang w:val="en-US" w:eastAsia="zh-CN"/>
        </w:rPr>
        <w:t>（二）基本同意生产安置人口和征地人员安置对象的计算方法和成果；规划水平年生产安置人口310人（包括水库淹没影响区生产安置人口182人，其他水利工程建设区生产安置人口128人），规划水平年征地人员安置对象为370人，安置方式为将符合条件的征地人员安置对象纳入养老等社会保障体系。</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color w:val="000000"/>
          <w:spacing w:val="0"/>
          <w:kern w:val="0"/>
          <w:sz w:val="32"/>
          <w:szCs w:val="32"/>
          <w:lang w:val="en-US" w:eastAsia="zh-CN"/>
        </w:rPr>
      </w:pPr>
      <w:r>
        <w:rPr>
          <w:rFonts w:hint="eastAsia" w:ascii="Times New Roman" w:hAnsi="Times New Roman" w:eastAsia="方正仿宋_GBK" w:cs="方正仿宋_GBK"/>
          <w:snapToGrid w:val="0"/>
          <w:color w:val="000000"/>
          <w:spacing w:val="0"/>
          <w:kern w:val="0"/>
          <w:sz w:val="32"/>
          <w:szCs w:val="32"/>
          <w:lang w:val="en-US" w:eastAsia="zh-CN"/>
        </w:rPr>
        <w:t>（三）基本同意搬迁安置人口的计算方法和成果；规划水平年搬迁安置人口31人，采取住房货币安置和自建房安置相结合的安置方式。</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五、土地复垦及耕地占补平衡</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基</w:t>
      </w:r>
      <w:r>
        <w:rPr>
          <w:rFonts w:hint="eastAsia" w:ascii="Times New Roman" w:hAnsi="Times New Roman" w:eastAsia="方正仿宋_GBK" w:cs="方正仿宋_GBK"/>
          <w:snapToGrid w:val="0"/>
          <w:spacing w:val="-6"/>
          <w:kern w:val="0"/>
          <w:sz w:val="32"/>
          <w:szCs w:val="32"/>
          <w:lang w:val="en-US" w:eastAsia="zh-CN"/>
        </w:rPr>
        <w:t>本同意土地复垦的依据、原则及标准、土地复垦规划及措施</w:t>
      </w:r>
      <w:r>
        <w:rPr>
          <w:rFonts w:hint="eastAsia" w:ascii="Times New Roman" w:hAnsi="Times New Roman" w:eastAsia="方正仿宋_GBK" w:cs="方正仿宋_GBK"/>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六、专业项目处理</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基本同意专项设施处理原则及依据。</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基本同意交通运输工程、电力工程、通信及广电和管道工程等采取改（复）建的处理方式。</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七、库底清理</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rPr>
        <w:t>基本同意库底清理设计的依据、原则、内容和技术要求</w:t>
      </w:r>
      <w:r>
        <w:rPr>
          <w:rFonts w:hint="eastAsia" w:ascii="Times New Roman" w:hAnsi="Times New Roman" w:eastAsia="方正仿宋_GBK" w:cs="方正仿宋_GBK"/>
          <w:snapToGrid w:val="0"/>
          <w:spacing w:val="0"/>
          <w:kern w:val="0"/>
          <w:sz w:val="32"/>
          <w:szCs w:val="32"/>
          <w:lang w:val="en-US" w:eastAsia="zh-CN"/>
        </w:rPr>
        <w:t>。</w:t>
      </w:r>
    </w:p>
    <w:p>
      <w:pPr>
        <w:pStyle w:val="2"/>
        <w:spacing w:before="0" w:beforeLines="0" w:after="0" w:line="594" w:lineRule="exact"/>
        <w:ind w:firstLine="640" w:firstLineChars="200"/>
        <w:rPr>
          <w:rFonts w:hint="eastAsia" w:ascii="黑体" w:hAnsi="黑体" w:eastAsia="黑体"/>
          <w:b w:val="0"/>
          <w:bCs w:val="0"/>
          <w:sz w:val="32"/>
          <w:szCs w:val="32"/>
        </w:rPr>
      </w:pPr>
      <w:r>
        <w:rPr>
          <w:rFonts w:hint="eastAsia" w:ascii="黑体" w:hAnsi="黑体"/>
          <w:b w:val="0"/>
          <w:bCs w:val="0"/>
          <w:sz w:val="32"/>
          <w:szCs w:val="32"/>
          <w:lang w:val="en-US" w:eastAsia="zh-CN"/>
        </w:rPr>
        <w:t>八</w:t>
      </w:r>
      <w:r>
        <w:rPr>
          <w:rFonts w:hint="eastAsia" w:ascii="黑体" w:hAnsi="黑体" w:eastAsia="黑体"/>
          <w:b w:val="0"/>
          <w:bCs w:val="0"/>
          <w:sz w:val="32"/>
          <w:szCs w:val="32"/>
        </w:rPr>
        <w:t>、移民安置数字孪生业务应用</w:t>
      </w:r>
    </w:p>
    <w:p>
      <w:pPr>
        <w:keepNext w:val="0"/>
        <w:keepLines w:val="0"/>
        <w:pageBreakBefore w:val="0"/>
        <w:widowControl w:val="0"/>
        <w:kinsoku/>
        <w:wordWrap/>
        <w:overflowPunct/>
        <w:topLinePunct w:val="0"/>
        <w:autoSpaceDE/>
        <w:autoSpaceDN/>
        <w:bidi w:val="0"/>
        <w:adjustRightInd w:val="0"/>
        <w:snapToGrid w:val="0"/>
        <w:spacing w:beforeLines="0" w:line="594" w:lineRule="exact"/>
        <w:ind w:left="0" w:leftChars="0" w:right="0" w:firstLine="640" w:firstLineChars="200"/>
        <w:textAlignment w:val="auto"/>
        <w:rPr>
          <w:rFonts w:hint="default" w:ascii="Times New Roman" w:hAnsi="Times New Roman" w:eastAsia="方正仿宋_GBK" w:cs="Times New Roman"/>
          <w:snapToGrid w:val="0"/>
          <w:color w:val="auto"/>
          <w:kern w:val="32"/>
          <w:sz w:val="32"/>
          <w:szCs w:val="32"/>
          <w:highlight w:val="none"/>
          <w:lang w:val="zh-CN"/>
        </w:rPr>
      </w:pPr>
      <w:r>
        <w:rPr>
          <w:rFonts w:hint="eastAsia" w:ascii="Times New Roman" w:hAnsi="Times New Roman" w:eastAsia="方正仿宋_GBK" w:cs="Times New Roman"/>
          <w:snapToGrid w:val="0"/>
          <w:color w:val="auto"/>
          <w:kern w:val="32"/>
          <w:sz w:val="32"/>
          <w:szCs w:val="32"/>
          <w:highlight w:val="none"/>
          <w:lang w:val="zh-CN"/>
        </w:rPr>
        <w:t>基</w:t>
      </w:r>
      <w:r>
        <w:rPr>
          <w:rFonts w:hint="eastAsia" w:ascii="Times New Roman" w:hAnsi="Times New Roman" w:eastAsia="方正仿宋_GBK" w:cs="Times New Roman"/>
          <w:snapToGrid w:val="0"/>
          <w:color w:val="auto"/>
          <w:spacing w:val="-11"/>
          <w:kern w:val="32"/>
          <w:sz w:val="32"/>
          <w:szCs w:val="32"/>
          <w:highlight w:val="none"/>
          <w:lang w:val="zh-CN"/>
        </w:rPr>
        <w:t>本同意移民安置数字孪生业务建设目标、原则、内容和方式</w:t>
      </w:r>
      <w:r>
        <w:rPr>
          <w:rFonts w:hint="eastAsia" w:ascii="Times New Roman" w:hAnsi="Times New Roman" w:eastAsia="方正仿宋_GBK" w:cs="Times New Roman"/>
          <w:snapToGrid w:val="0"/>
          <w:color w:val="auto"/>
          <w:kern w:val="32"/>
          <w:sz w:val="32"/>
          <w:szCs w:val="32"/>
          <w:highlight w:val="none"/>
          <w:lang w:val="zh-CN"/>
        </w:rPr>
        <w:t>。</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九、实施总进度及年度计划</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基本同意征地移民安置实施总进度。</w:t>
      </w:r>
    </w:p>
    <w:p>
      <w:pPr>
        <w:keepNext w:val="0"/>
        <w:keepLines w:val="0"/>
        <w:pageBreakBefore w:val="0"/>
        <w:widowControl w:val="0"/>
        <w:kinsoku/>
        <w:wordWrap/>
        <w:overflowPunct/>
        <w:topLinePunct w:val="0"/>
        <w:autoSpaceDE/>
        <w:autoSpaceDN/>
        <w:bidi w:val="0"/>
        <w:adjustRightInd/>
        <w:snapToGrid w:val="0"/>
        <w:spacing w:beforeLines="0" w:line="594" w:lineRule="exact"/>
        <w:ind w:firstLine="640" w:firstLineChars="200"/>
        <w:textAlignment w:val="auto"/>
        <w:rPr>
          <w:rFonts w:hint="eastAsia" w:ascii="方正黑体_GBK" w:hAnsi="方正黑体_GBK" w:eastAsia="方正黑体_GBK" w:cs="方正黑体_GBK"/>
          <w:b w:val="0"/>
          <w:bCs w:val="0"/>
          <w:snapToGrid w:val="0"/>
          <w:spacing w:val="0"/>
          <w:kern w:val="0"/>
          <w:sz w:val="32"/>
          <w:szCs w:val="32"/>
          <w:lang w:val="en-US" w:eastAsia="zh-CN"/>
        </w:rPr>
      </w:pPr>
      <w:r>
        <w:rPr>
          <w:rFonts w:hint="eastAsia" w:ascii="方正黑体_GBK" w:hAnsi="方正黑体_GBK" w:eastAsia="方正黑体_GBK" w:cs="方正黑体_GBK"/>
          <w:b w:val="0"/>
          <w:bCs w:val="0"/>
          <w:snapToGrid w:val="0"/>
          <w:spacing w:val="0"/>
          <w:kern w:val="0"/>
          <w:sz w:val="32"/>
          <w:szCs w:val="32"/>
          <w:lang w:val="en-US" w:eastAsia="zh-CN"/>
        </w:rPr>
        <w:t>十、建设征地补偿估算</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基本同意建设征地与移民安置补偿投资概（估）算编制依据、原则及补偿标准。</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bidi="ar-SA"/>
        </w:rPr>
      </w:pPr>
      <w:r>
        <w:rPr>
          <w:rFonts w:hint="eastAsia" w:ascii="Times New Roman" w:hAnsi="Times New Roman" w:eastAsia="方正仿宋_GBK" w:cs="方正仿宋_GBK"/>
          <w:snapToGrid w:val="0"/>
          <w:spacing w:val="0"/>
          <w:kern w:val="0"/>
          <w:sz w:val="32"/>
          <w:szCs w:val="32"/>
          <w:lang w:val="en-US" w:eastAsia="zh-CN" w:bidi="ar-SA"/>
        </w:rPr>
        <w:t>经核定，重庆玉滩大型灌区工程建设征地移民安置补偿总投资为68673.05万元，其中农村移民安置补偿费40318.77万元，专业项目补偿费3634.12万元，库底清理费53.25万元，移民安置数字孪生业务应用建设费440.08万元，其他费用4515.57万元，基本预备费5793.37万元，有关税费13917.89万元。</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本次核定移民投资是审批本工程可行性研究阶段投资估算的技术经济指标依据，不作为移民安置实施过程中有关补偿补助兑付的直接标准，最终补偿投资以市发展改革委审批数为准。具体实施时有关补偿补助兑付标准以大足、荣昌区人民政府公布的征地补偿安置方案为准。</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left="1600" w:hanging="1600" w:hangingChars="5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 xml:space="preserve">    附件：长江勘测规划设计研究有限责任公司关于报送重庆玉滩大型灌区工程建设征地移民安置规划报告技术审查意见的函（长设经计函〔2026〕103 号）</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textAlignment w:val="auto"/>
        <w:rPr>
          <w:rFonts w:hint="eastAsia" w:ascii="Times New Roman" w:hAnsi="Times New Roman" w:eastAsia="方正仿宋_GBK" w:cs="方正仿宋_GBK"/>
          <w:snapToGrid w:val="0"/>
          <w:spacing w:val="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textAlignment w:val="auto"/>
        <w:rPr>
          <w:rFonts w:hint="eastAsia" w:ascii="Times New Roman" w:hAnsi="Times New Roman" w:eastAsia="方正仿宋_GBK" w:cs="方正仿宋_GBK"/>
          <w:snapToGrid w:val="0"/>
          <w:spacing w:val="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textAlignment w:val="auto"/>
        <w:rPr>
          <w:rFonts w:hint="eastAsia" w:ascii="Times New Roman" w:hAnsi="Times New Roman" w:eastAsia="方正仿宋_GBK" w:cs="方正仿宋_GBK"/>
          <w:snapToGrid w:val="0"/>
          <w:spacing w:val="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 xml:space="preserve">                                 重庆市水利局</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5120" w:firstLineChars="16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2026年7月23日</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（此件公开发布）</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line="594" w:lineRule="exact"/>
        <w:ind w:firstLine="640" w:firstLineChars="200"/>
        <w:textAlignment w:val="auto"/>
        <w:rPr>
          <w:rFonts w:hint="eastAsia" w:ascii="Times New Roman" w:hAnsi="Times New Roman" w:eastAsia="方正仿宋_GBK" w:cs="方正仿宋_GBK"/>
          <w:snapToGrid w:val="0"/>
          <w:spacing w:val="0"/>
          <w:kern w:val="0"/>
          <w:sz w:val="32"/>
          <w:szCs w:val="32"/>
          <w:lang w:val="en-US" w:eastAsia="zh-CN"/>
        </w:rPr>
      </w:pPr>
      <w:r>
        <w:rPr>
          <w:rFonts w:hint="eastAsia" w:ascii="Times New Roman" w:hAnsi="Times New Roman" w:eastAsia="方正仿宋_GBK" w:cs="方正仿宋_GBK"/>
          <w:snapToGrid w:val="0"/>
          <w:spacing w:val="0"/>
          <w:kern w:val="0"/>
          <w:sz w:val="32"/>
          <w:szCs w:val="32"/>
          <w:lang w:val="en-US" w:eastAsia="zh-CN"/>
        </w:rPr>
        <w:t>（联系人：罗洪万；联系电话：89187582）</w:t>
      </w:r>
      <w:bookmarkStart w:id="0" w:name="_GoBack"/>
      <w:bookmarkEnd w:id="0"/>
    </w:p>
    <w:p>
      <w:pPr>
        <w:rPr>
          <w:rFonts w:hint="eastAsia" w:ascii="Times New Roman" w:hAnsi="Times New Roman" w:eastAsia="方正黑体_GBK" w:cs="方正黑体_GBK"/>
          <w:color w:val="000000"/>
          <w:spacing w:val="0"/>
          <w:kern w:val="0"/>
          <w:sz w:val="32"/>
          <w:szCs w:val="32"/>
          <w:lang w:val="en-US" w:eastAsia="zh-CN"/>
        </w:rPr>
      </w:pPr>
      <w:r>
        <w:rPr>
          <w:rFonts w:hint="eastAsia" w:ascii="Times New Roman" w:hAnsi="Times New Roman" w:eastAsia="方正黑体_GBK" w:cs="方正黑体_GBK"/>
          <w:color w:val="000000"/>
          <w:spacing w:val="0"/>
          <w:kern w:val="0"/>
          <w:sz w:val="32"/>
          <w:szCs w:val="32"/>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Times New Roman" w:hAnsi="Times New Roman" w:eastAsia="方正黑体_GBK" w:cs="方正黑体_GBK"/>
          <w:color w:val="000000"/>
          <w:spacing w:val="0"/>
          <w:kern w:val="0"/>
          <w:sz w:val="32"/>
          <w:szCs w:val="32"/>
          <w:lang w:val="en-US" w:eastAsia="zh-CN"/>
        </w:rPr>
      </w:pPr>
      <w:r>
        <w:rPr>
          <w:rFonts w:hint="eastAsia" w:ascii="Times New Roman" w:hAnsi="Times New Roman" w:eastAsia="方正黑体_GBK" w:cs="方正黑体_GBK"/>
          <w:color w:val="000000"/>
          <w:spacing w:val="0"/>
          <w:kern w:val="0"/>
          <w:sz w:val="32"/>
          <w:szCs w:val="32"/>
          <w:lang w:val="en-US" w:eastAsia="zh-CN"/>
        </w:rPr>
        <w:t>附件</w:t>
      </w:r>
    </w:p>
    <w:p>
      <w:pPr>
        <w:spacing w:line="240" w:lineRule="auto"/>
        <w:jc w:val="both"/>
        <w:rPr>
          <w:rFonts w:hint="eastAsia" w:ascii="黑体" w:hAnsi="黑体" w:eastAsia="黑体"/>
          <w:sz w:val="32"/>
          <w:szCs w:val="40"/>
        </w:rPr>
        <w:sectPr>
          <w:headerReference r:id="rId3" w:type="default"/>
          <w:footerReference r:id="rId4" w:type="default"/>
          <w:pgSz w:w="11906" w:h="16838"/>
          <w:pgMar w:top="1984" w:right="1446" w:bottom="1644" w:left="1446" w:header="851" w:footer="1474" w:gutter="0"/>
          <w:cols w:space="0" w:num="1"/>
          <w:rtlGutter w:val="0"/>
          <w:docGrid w:type="lines" w:linePitch="312" w:charSpace="0"/>
        </w:sectPr>
      </w:pPr>
      <w:r>
        <w:drawing>
          <wp:inline distT="0" distB="0" distL="114300" distR="114300">
            <wp:extent cx="5495925" cy="77819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495925" cy="7781925"/>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57825" cy="7781925"/>
            <wp:effectExtent l="0" t="0" r="952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457825" cy="7781925"/>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76875" cy="7791450"/>
            <wp:effectExtent l="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476875" cy="7791450"/>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95925" cy="7781925"/>
            <wp:effectExtent l="0" t="0" r="9525"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495925" cy="7781925"/>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95925" cy="7781925"/>
            <wp:effectExtent l="0" t="0" r="9525"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5495925" cy="7781925"/>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76875" cy="7772400"/>
            <wp:effectExtent l="0" t="0" r="9525"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5476875" cy="7772400"/>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76875" cy="7781925"/>
            <wp:effectExtent l="0" t="0" r="9525" b="952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5476875" cy="7781925"/>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505450" cy="77533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5505450" cy="7753350"/>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57825" cy="7791450"/>
            <wp:effectExtent l="0" t="0" r="9525"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5457825" cy="7791450"/>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95925" cy="7762875"/>
            <wp:effectExtent l="0" t="0" r="9525" b="952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5"/>
                    <a:stretch>
                      <a:fillRect/>
                    </a:stretch>
                  </pic:blipFill>
                  <pic:spPr>
                    <a:xfrm>
                      <a:off x="0" y="0"/>
                      <a:ext cx="5495925" cy="7762875"/>
                    </a:xfrm>
                    <a:prstGeom prst="rect">
                      <a:avLst/>
                    </a:prstGeom>
                    <a:noFill/>
                    <a:ln>
                      <a:noFill/>
                    </a:ln>
                  </pic:spPr>
                </pic:pic>
              </a:graphicData>
            </a:graphic>
          </wp:inline>
        </w:drawing>
      </w:r>
    </w:p>
    <w:p>
      <w:pPr>
        <w:spacing w:line="240" w:lineRule="auto"/>
        <w:jc w:val="both"/>
        <w:rPr>
          <w:rFonts w:hint="eastAsia" w:ascii="黑体" w:hAnsi="黑体" w:eastAsia="黑体"/>
          <w:sz w:val="32"/>
          <w:szCs w:val="40"/>
        </w:rPr>
        <w:sectPr>
          <w:pgSz w:w="11906" w:h="16838"/>
          <w:pgMar w:top="1984" w:right="1446" w:bottom="1644" w:left="1446" w:header="851" w:footer="1474" w:gutter="0"/>
          <w:cols w:space="0" w:num="1"/>
          <w:rtlGutter w:val="0"/>
          <w:docGrid w:type="lines" w:linePitch="312" w:charSpace="0"/>
        </w:sectPr>
      </w:pPr>
      <w:r>
        <w:drawing>
          <wp:inline distT="0" distB="0" distL="114300" distR="114300">
            <wp:extent cx="5438775" cy="7762875"/>
            <wp:effectExtent l="0" t="0" r="9525" b="952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6"/>
                    <a:stretch>
                      <a:fillRect/>
                    </a:stretch>
                  </pic:blipFill>
                  <pic:spPr>
                    <a:xfrm>
                      <a:off x="0" y="0"/>
                      <a:ext cx="5438775" cy="7762875"/>
                    </a:xfrm>
                    <a:prstGeom prst="rect">
                      <a:avLst/>
                    </a:prstGeom>
                    <a:noFill/>
                    <a:ln>
                      <a:noFill/>
                    </a:ln>
                  </pic:spPr>
                </pic:pic>
              </a:graphicData>
            </a:graphic>
          </wp:inline>
        </w:drawing>
      </w:r>
    </w:p>
    <w:p>
      <w:pPr>
        <w:rPr>
          <w:rFonts w:hint="default" w:ascii="Times New Roman" w:hAnsi="Times New Roman" w:eastAsia="方正仿宋_GBK" w:cs="Times New Roman"/>
          <w:spacing w:val="0"/>
          <w:kern w:val="0"/>
          <w:sz w:val="28"/>
          <w:szCs w:val="28"/>
          <w:lang w:val="en-US" w:eastAsia="zh-CN"/>
        </w:rPr>
      </w:pPr>
      <w:r>
        <w:drawing>
          <wp:inline distT="0" distB="0" distL="114300" distR="114300">
            <wp:extent cx="5467350" cy="7734300"/>
            <wp:effectExtent l="0" t="0" r="0" b="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7"/>
                    <a:stretch>
                      <a:fillRect/>
                    </a:stretch>
                  </pic:blipFill>
                  <pic:spPr>
                    <a:xfrm>
                      <a:off x="0" y="0"/>
                      <a:ext cx="5467350" cy="77343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sectPr>
      <w:pgSz w:w="11906" w:h="16838"/>
      <w:pgMar w:top="1984" w:right="1446" w:bottom="1644" w:left="1446" w:header="851" w:footer="147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6BB072-0FD1-488F-8543-E3E4800EABD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E0000" w:usb2="00000000" w:usb3="00000000" w:csb0="00040000" w:csb1="00000000"/>
    <w:embedRegular r:id="rId2" w:fontKey="{F0E38615-72BA-47C6-B093-F4CCF1C764CB}"/>
  </w:font>
  <w:font w:name="方正小标宋_GBK">
    <w:panose1 w:val="02000000000000000000"/>
    <w:charset w:val="86"/>
    <w:family w:val="auto"/>
    <w:pitch w:val="default"/>
    <w:sig w:usb0="00000001" w:usb1="080E0000" w:usb2="00000000" w:usb3="00000000" w:csb0="00040000" w:csb1="00000000"/>
    <w:embedRegular r:id="rId3" w:fontKey="{F0E72A25-FC2E-4638-B275-8658363C97EF}"/>
  </w:font>
  <w:font w:name="方正黑体_GBK">
    <w:panose1 w:val="02000000000000000000"/>
    <w:charset w:val="86"/>
    <w:family w:val="auto"/>
    <w:pitch w:val="default"/>
    <w:sig w:usb0="00000001" w:usb1="080E0000" w:usb2="00000000" w:usb3="00000000" w:csb0="00040000" w:csb1="00000000"/>
    <w:embedRegular r:id="rId4" w:fontKey="{B6211BF8-AE3A-4BBD-BDE8-637257253BBE}"/>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方正楷体_GBK">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saveSubsetFonts/>
  <w:bordersDoNotSurroundHeader w:val="0"/>
  <w:bordersDoNotSurroundFooter w:val="0"/>
  <w:trackRevisions w:val="1"/>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05F"/>
    <w:rsid w:val="00115E35"/>
    <w:rsid w:val="001241A2"/>
    <w:rsid w:val="001A5869"/>
    <w:rsid w:val="001B09B1"/>
    <w:rsid w:val="00205418"/>
    <w:rsid w:val="00245493"/>
    <w:rsid w:val="00271809"/>
    <w:rsid w:val="003074D2"/>
    <w:rsid w:val="00320544"/>
    <w:rsid w:val="00364C61"/>
    <w:rsid w:val="00372BBA"/>
    <w:rsid w:val="003833E7"/>
    <w:rsid w:val="0038680F"/>
    <w:rsid w:val="003D3680"/>
    <w:rsid w:val="004243ED"/>
    <w:rsid w:val="0044395B"/>
    <w:rsid w:val="00494808"/>
    <w:rsid w:val="00613D09"/>
    <w:rsid w:val="007D005F"/>
    <w:rsid w:val="007E5276"/>
    <w:rsid w:val="007E6524"/>
    <w:rsid w:val="00833541"/>
    <w:rsid w:val="008C5CA5"/>
    <w:rsid w:val="008F76D8"/>
    <w:rsid w:val="00906D9A"/>
    <w:rsid w:val="00964355"/>
    <w:rsid w:val="00965EAD"/>
    <w:rsid w:val="009F6F0D"/>
    <w:rsid w:val="00BD33BE"/>
    <w:rsid w:val="00D817F2"/>
    <w:rsid w:val="00DB6F06"/>
    <w:rsid w:val="00DC4B6C"/>
    <w:rsid w:val="00DD0DE5"/>
    <w:rsid w:val="00DF6227"/>
    <w:rsid w:val="00E0106F"/>
    <w:rsid w:val="00E25BF0"/>
    <w:rsid w:val="00E8126D"/>
    <w:rsid w:val="00E96C68"/>
    <w:rsid w:val="00EE766A"/>
    <w:rsid w:val="00F057A0"/>
    <w:rsid w:val="037D1D3B"/>
    <w:rsid w:val="05745A07"/>
    <w:rsid w:val="06F72F6B"/>
    <w:rsid w:val="09E77F77"/>
    <w:rsid w:val="15FA2837"/>
    <w:rsid w:val="187D0A1F"/>
    <w:rsid w:val="1A42631F"/>
    <w:rsid w:val="1C5B13B3"/>
    <w:rsid w:val="245C4F0D"/>
    <w:rsid w:val="24661D07"/>
    <w:rsid w:val="277FEAAF"/>
    <w:rsid w:val="27C748D4"/>
    <w:rsid w:val="2DBF57FE"/>
    <w:rsid w:val="2DC84B71"/>
    <w:rsid w:val="2F7F0F50"/>
    <w:rsid w:val="2FE7273F"/>
    <w:rsid w:val="2FE758D4"/>
    <w:rsid w:val="2FEFF51C"/>
    <w:rsid w:val="30FB07E8"/>
    <w:rsid w:val="312E1AFA"/>
    <w:rsid w:val="35BFDDD5"/>
    <w:rsid w:val="36312347"/>
    <w:rsid w:val="36F9C44E"/>
    <w:rsid w:val="36FE6664"/>
    <w:rsid w:val="37B7698F"/>
    <w:rsid w:val="37FB2786"/>
    <w:rsid w:val="390D5241"/>
    <w:rsid w:val="3B9F2945"/>
    <w:rsid w:val="3BBDB128"/>
    <w:rsid w:val="3DBF7CF2"/>
    <w:rsid w:val="3EAD7F28"/>
    <w:rsid w:val="3F6474F3"/>
    <w:rsid w:val="3F6FD96A"/>
    <w:rsid w:val="3F7F5840"/>
    <w:rsid w:val="3F7FB16C"/>
    <w:rsid w:val="3FA611D0"/>
    <w:rsid w:val="3FDBAE5E"/>
    <w:rsid w:val="3FE6E7F6"/>
    <w:rsid w:val="3FFF2A5C"/>
    <w:rsid w:val="406C241B"/>
    <w:rsid w:val="413A6DDB"/>
    <w:rsid w:val="42166F76"/>
    <w:rsid w:val="427353E7"/>
    <w:rsid w:val="433F2925"/>
    <w:rsid w:val="4708014B"/>
    <w:rsid w:val="49FF1514"/>
    <w:rsid w:val="4CBA5D6A"/>
    <w:rsid w:val="4D9EA13F"/>
    <w:rsid w:val="4EE13995"/>
    <w:rsid w:val="4EFD7A94"/>
    <w:rsid w:val="4F816596"/>
    <w:rsid w:val="4FFA6E57"/>
    <w:rsid w:val="503668FC"/>
    <w:rsid w:val="50B11153"/>
    <w:rsid w:val="54BB1B65"/>
    <w:rsid w:val="56EF5A52"/>
    <w:rsid w:val="56FF853B"/>
    <w:rsid w:val="57301B52"/>
    <w:rsid w:val="57DB6F92"/>
    <w:rsid w:val="57FFCB93"/>
    <w:rsid w:val="5850665D"/>
    <w:rsid w:val="58EFB0AA"/>
    <w:rsid w:val="5997A9A7"/>
    <w:rsid w:val="5BC78D6A"/>
    <w:rsid w:val="5C8F7E2A"/>
    <w:rsid w:val="5EA72B36"/>
    <w:rsid w:val="5F5BF0BD"/>
    <w:rsid w:val="5FB760FD"/>
    <w:rsid w:val="5FEE4F7A"/>
    <w:rsid w:val="5FFB2605"/>
    <w:rsid w:val="5FFDF011"/>
    <w:rsid w:val="6248686F"/>
    <w:rsid w:val="62D95214"/>
    <w:rsid w:val="65CF7184"/>
    <w:rsid w:val="65EF9379"/>
    <w:rsid w:val="65EFB574"/>
    <w:rsid w:val="65FCB01E"/>
    <w:rsid w:val="673B16C0"/>
    <w:rsid w:val="67443211"/>
    <w:rsid w:val="67851192"/>
    <w:rsid w:val="67FF6B2B"/>
    <w:rsid w:val="6BB34405"/>
    <w:rsid w:val="6BFF441C"/>
    <w:rsid w:val="6EFF0FC4"/>
    <w:rsid w:val="6F7F5321"/>
    <w:rsid w:val="6F973AA4"/>
    <w:rsid w:val="6FBBA672"/>
    <w:rsid w:val="6FF56FB4"/>
    <w:rsid w:val="718223F6"/>
    <w:rsid w:val="72931A80"/>
    <w:rsid w:val="733FFFC3"/>
    <w:rsid w:val="736D8BD9"/>
    <w:rsid w:val="73BEDF97"/>
    <w:rsid w:val="74C20861"/>
    <w:rsid w:val="75FF9A21"/>
    <w:rsid w:val="76966D68"/>
    <w:rsid w:val="76BCB814"/>
    <w:rsid w:val="7735FB3D"/>
    <w:rsid w:val="77CB25F5"/>
    <w:rsid w:val="77D949F8"/>
    <w:rsid w:val="77F6493B"/>
    <w:rsid w:val="796F73B4"/>
    <w:rsid w:val="7B017E09"/>
    <w:rsid w:val="7BBB73D7"/>
    <w:rsid w:val="7BD36C03"/>
    <w:rsid w:val="7BF7D23D"/>
    <w:rsid w:val="7BFB20C8"/>
    <w:rsid w:val="7BFE89E6"/>
    <w:rsid w:val="7BFF61E5"/>
    <w:rsid w:val="7C7F0CDD"/>
    <w:rsid w:val="7CF37494"/>
    <w:rsid w:val="7D14B5BE"/>
    <w:rsid w:val="7D3B8576"/>
    <w:rsid w:val="7D8566BB"/>
    <w:rsid w:val="7DAD3280"/>
    <w:rsid w:val="7DFB93BC"/>
    <w:rsid w:val="7DFD8B77"/>
    <w:rsid w:val="7E502703"/>
    <w:rsid w:val="7E7FB42E"/>
    <w:rsid w:val="7EAFB087"/>
    <w:rsid w:val="7EDE1E90"/>
    <w:rsid w:val="7EDFB8FD"/>
    <w:rsid w:val="7F5E4901"/>
    <w:rsid w:val="7F7BDD00"/>
    <w:rsid w:val="7F9FBC67"/>
    <w:rsid w:val="7FAFB5FC"/>
    <w:rsid w:val="7FCED00F"/>
    <w:rsid w:val="7FE94B25"/>
    <w:rsid w:val="7FF55B7E"/>
    <w:rsid w:val="7FFCF745"/>
    <w:rsid w:val="7FFE7AD7"/>
    <w:rsid w:val="7FFF8B82"/>
    <w:rsid w:val="7FFFA742"/>
    <w:rsid w:val="95658BC8"/>
    <w:rsid w:val="9FBFE504"/>
    <w:rsid w:val="B7DEC107"/>
    <w:rsid w:val="B9AF6E29"/>
    <w:rsid w:val="B9C7799C"/>
    <w:rsid w:val="BBEF9C24"/>
    <w:rsid w:val="BBFB3D2B"/>
    <w:rsid w:val="BBFFA468"/>
    <w:rsid w:val="BCFD0691"/>
    <w:rsid w:val="BD7F8C86"/>
    <w:rsid w:val="BD9F0FDC"/>
    <w:rsid w:val="BEB35AE9"/>
    <w:rsid w:val="BEFF567D"/>
    <w:rsid w:val="BF1EEFEE"/>
    <w:rsid w:val="BF3F3C1C"/>
    <w:rsid w:val="BF58E4C5"/>
    <w:rsid w:val="BF6C2FF4"/>
    <w:rsid w:val="BFA6CC78"/>
    <w:rsid w:val="BFE7EED8"/>
    <w:rsid w:val="BFEF025A"/>
    <w:rsid w:val="BFF09BC0"/>
    <w:rsid w:val="C7CFA4DA"/>
    <w:rsid w:val="CAC74B86"/>
    <w:rsid w:val="D767AC51"/>
    <w:rsid w:val="D7EC94FC"/>
    <w:rsid w:val="D7FFB396"/>
    <w:rsid w:val="DB7A54DE"/>
    <w:rsid w:val="DDE6722B"/>
    <w:rsid w:val="DE9C32EC"/>
    <w:rsid w:val="DEAAF34B"/>
    <w:rsid w:val="DF09452D"/>
    <w:rsid w:val="DF7F0AF6"/>
    <w:rsid w:val="DFFF3F29"/>
    <w:rsid w:val="EFBF999D"/>
    <w:rsid w:val="EFF91BBF"/>
    <w:rsid w:val="EFFFA57E"/>
    <w:rsid w:val="F1FD488D"/>
    <w:rsid w:val="F6DE989A"/>
    <w:rsid w:val="F7B700F2"/>
    <w:rsid w:val="F7FFF0BA"/>
    <w:rsid w:val="FAAF7DEF"/>
    <w:rsid w:val="FB73B505"/>
    <w:rsid w:val="FB76BC04"/>
    <w:rsid w:val="FBB9B276"/>
    <w:rsid w:val="FBF707D8"/>
    <w:rsid w:val="FBF954BF"/>
    <w:rsid w:val="FBFD5FE9"/>
    <w:rsid w:val="FBFF8E16"/>
    <w:rsid w:val="FD3F5F99"/>
    <w:rsid w:val="FD7F9DF5"/>
    <w:rsid w:val="FD9506CE"/>
    <w:rsid w:val="FD9FC06B"/>
    <w:rsid w:val="FDFDC1B1"/>
    <w:rsid w:val="FE4F3940"/>
    <w:rsid w:val="FEFB3A80"/>
    <w:rsid w:val="FF5EDA13"/>
    <w:rsid w:val="FF6F9601"/>
    <w:rsid w:val="FF7F7D1E"/>
    <w:rsid w:val="FFBF4061"/>
    <w:rsid w:val="FFDE53C5"/>
    <w:rsid w:val="FFED6BD7"/>
    <w:rsid w:val="FFF5DDE2"/>
    <w:rsid w:val="FFF5FF03"/>
    <w:rsid w:val="FFFF44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560" w:lineRule="exact"/>
      <w:ind w:firstLine="200" w:firstLineChars="200"/>
    </w:pPr>
    <w:rPr>
      <w:rFonts w:eastAsia="仿宋_GB2312"/>
      <w:sz w:val="28"/>
      <w:szCs w:val="20"/>
      <w:lang w:val="zh-CN"/>
    </w:rPr>
  </w:style>
  <w:style w:type="paragraph" w:styleId="4">
    <w:name w:val="footer"/>
    <w:basedOn w:val="1"/>
    <w:link w:val="11"/>
    <w:qFormat/>
    <w:uiPriority w:val="0"/>
    <w:pPr>
      <w:tabs>
        <w:tab w:val="center" w:pos="4153"/>
        <w:tab w:val="right" w:pos="8306"/>
      </w:tabs>
      <w:snapToGrid w:val="0"/>
      <w:jc w:val="left"/>
    </w:pPr>
    <w:rPr>
      <w:sz w:val="18"/>
    </w:rPr>
  </w:style>
  <w:style w:type="paragraph" w:styleId="5">
    <w:name w:val="header"/>
    <w:basedOn w:val="1"/>
    <w:link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character" w:customStyle="1" w:styleId="10">
    <w:name w:val="页眉 Char"/>
    <w:link w:val="5"/>
    <w:qFormat/>
    <w:uiPriority w:val="0"/>
    <w:rPr>
      <w:rFonts w:ascii="Times New Roman" w:hAnsi="Times New Roman" w:eastAsia="宋体" w:cs="Times New Roman"/>
      <w:sz w:val="18"/>
    </w:rPr>
  </w:style>
  <w:style w:type="character" w:customStyle="1" w:styleId="11">
    <w:name w:val="页脚 Char"/>
    <w:link w:val="4"/>
    <w:qFormat/>
    <w:uiPriority w:val="0"/>
    <w:rPr>
      <w:rFonts w:ascii="Times New Roman" w:hAnsi="Times New Roman" w:eastAsia="宋体" w:cs="Times New Roman"/>
      <w:sz w:val="18"/>
    </w:rPr>
  </w:style>
  <w:style w:type="paragraph" w:customStyle="1" w:styleId="12">
    <w:name w:val="表头"/>
    <w:basedOn w:val="1"/>
    <w:qFormat/>
    <w:uiPriority w:val="0"/>
    <w:pPr>
      <w:spacing w:line="520" w:lineRule="exact"/>
      <w:jc w:val="center"/>
    </w:pPr>
    <w:rPr>
      <w:rFonts w:eastAsia="黑体"/>
      <w:b/>
      <w:bCs/>
      <w:sz w:val="24"/>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1508</Words>
  <Characters>1732</Characters>
  <Lines>0</Lines>
  <Paragraphs>0</Paragraphs>
  <TotalTime>23</TotalTime>
  <ScaleCrop>false</ScaleCrop>
  <LinksUpToDate>false</LinksUpToDate>
  <CharactersWithSpaces>1772</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2024-12-01T16:09:00Z</dcterms:created>
  <dc:creator>Z ero</dc:creator>
  <cp:lastModifiedBy>Administrator</cp:lastModifiedBy>
  <cp:lastPrinted>2024-12-06T11:34:00Z</cp:lastPrinted>
  <dcterms:modified xsi:type="dcterms:W3CDTF">2026-07-27T02:51:46Z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7996D28121B0326960E0616AC81010EF_43</vt:lpwstr>
  </property>
  <property fmtid="{D5CDD505-2E9C-101B-9397-08002B2CF9AE}" pid="4" name="KSOTemplateDocerSaveRecord">
    <vt:lpwstr>eyJoZGlkIjoiZjJiYzRjZDg4ODIxMmZkMzVjYzYxNzIzMDEwYjJjY2IiLCJ1c2VySWQiOiIxMzEwNDIyNDMzIn0=</vt:lpwstr>
  </property>
</Properties>
</file>