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lang w:eastAsia="zh-CN"/>
        </w:rPr>
        <w:t>渝西高铁重庆李家沟牵220千伏外部供电工程</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国网重庆市电力公司北碚供电分公司</w:t>
      </w:r>
      <w:r>
        <w:rPr>
          <w:rFonts w:ascii="Times New Roman" w:hAnsi="Times New Roman" w:eastAsia="方正仿宋_GBK"/>
          <w:color w:val="000000"/>
          <w:sz w:val="32"/>
          <w:szCs w:val="32"/>
        </w:rPr>
        <w:t>：</w:t>
      </w:r>
    </w:p>
    <w:p>
      <w:pPr>
        <w:adjustRightInd w:val="0"/>
        <w:snapToGrid w:val="0"/>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渝西高铁重庆李家沟牵220千伏外部供电工程</w:t>
      </w:r>
      <w:r>
        <w:rPr>
          <w:rFonts w:hint="eastAsia" w:ascii="Times New Roman" w:hAnsi="Times New Roman" w:eastAsia="方正仿宋_GBK"/>
          <w:color w:val="auto"/>
          <w:sz w:val="32"/>
          <w:szCs w:val="32"/>
        </w:rPr>
        <w:t>水土保持方案审批申请（项目代码：</w:t>
      </w:r>
      <w:r>
        <w:rPr>
          <w:rFonts w:hint="eastAsia" w:ascii="Times New Roman" w:hAnsi="Times New Roman" w:eastAsia="方正仿宋_GBK"/>
          <w:color w:val="auto"/>
          <w:sz w:val="32"/>
          <w:szCs w:val="32"/>
          <w:lang w:val="en-US" w:eastAsia="zh-CN"/>
        </w:rPr>
        <w:t>2502-500109-04-01-242864</w:t>
      </w:r>
      <w:r>
        <w:rPr>
          <w:rFonts w:hint="eastAsia" w:ascii="Times New Roman" w:hAnsi="Times New Roman" w:eastAsia="方正仿宋_GBK"/>
          <w:color w:val="auto"/>
          <w:sz w:val="32"/>
          <w:szCs w:val="32"/>
        </w:rPr>
        <w:t>）和《</w:t>
      </w:r>
      <w:r>
        <w:rPr>
          <w:rFonts w:hint="eastAsia" w:ascii="Times New Roman" w:hAnsi="Times New Roman" w:eastAsia="方正仿宋_GBK"/>
          <w:color w:val="auto"/>
          <w:sz w:val="32"/>
          <w:szCs w:val="32"/>
          <w:lang w:eastAsia="zh-CN"/>
        </w:rPr>
        <w:t>渝西高铁重庆李家沟牵220千伏外部供电工程</w:t>
      </w:r>
      <w:r>
        <w:rPr>
          <w:rFonts w:hint="eastAsia" w:ascii="Times New Roman" w:hAnsi="Times New Roman" w:eastAsia="方正仿宋_GBK"/>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olor w:val="auto"/>
          <w:sz w:val="32"/>
          <w:szCs w:val="32"/>
          <w:lang w:eastAsia="zh-CN"/>
        </w:rPr>
        <w:t>第一款</w:t>
      </w:r>
      <w:r>
        <w:rPr>
          <w:rFonts w:hint="eastAsia" w:ascii="Times New Roman" w:hAnsi="Times New Roman" w:eastAsia="方正仿宋_GBK"/>
          <w:color w:val="auto"/>
          <w:sz w:val="32"/>
          <w:szCs w:val="32"/>
        </w:rPr>
        <w:t>、《水行政许可实施办法》第三十二条第</w:t>
      </w:r>
      <w:r>
        <w:rPr>
          <w:rFonts w:ascii="Times New Roman" w:hAnsi="Times New Roman" w:eastAsia="方正仿宋_GBK"/>
          <w:color w:val="000000"/>
          <w:sz w:val="32"/>
          <w:szCs w:val="32"/>
        </w:rPr>
        <w:t>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（一）方案编制依据的法律法规、部委规章、规范性文件、规范标准和技术文件及资料采用基本正确。</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（二）同意方案设计水平年为2027年。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（三）同意水土流失防治责任范围界定</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s="Times New Roman"/>
          <w:color w:val="auto"/>
          <w:sz w:val="32"/>
          <w:szCs w:val="32"/>
        </w:rPr>
        <w:t>水土流失防治责任范围面积为5.87hm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，其中：合川区</w:t>
      </w:r>
      <w:r>
        <w:rPr>
          <w:rFonts w:hint="eastAsia" w:ascii="Times New Roman" w:hAnsi="Times New Roman" w:eastAsia="方正仿宋_GBK" w:cs="Times New Roman"/>
          <w:color w:val="auto"/>
          <w:sz w:val="32"/>
          <w:szCs w:val="32"/>
          <w:vertAlign w:val="baseline"/>
          <w:lang w:val="en-US" w:eastAsia="zh-CN"/>
        </w:rPr>
        <w:t>3.02</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，北碚区</w:t>
      </w:r>
      <w:r>
        <w:rPr>
          <w:rFonts w:hint="eastAsia" w:ascii="Times New Roman" w:hAnsi="Times New Roman" w:eastAsia="方正仿宋_GBK" w:cs="Times New Roman"/>
          <w:color w:val="auto"/>
          <w:sz w:val="32"/>
          <w:szCs w:val="32"/>
          <w:vertAlign w:val="baseline"/>
          <w:lang w:val="en-US" w:eastAsia="zh-CN"/>
        </w:rPr>
        <w:t>2.85</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（五）同意水土流失防治目标，其中：水土流失治理度97%，土壤流失控制比1.0，渣土防护率9</w:t>
      </w: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%，表土保护率92%，林草植被恢复率97%，林草覆盖率2</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default" w:ascii="Times New Roman" w:hAnsi="Times New Roman" w:eastAsia="方正仿宋_GBK" w:cs="Times New Roman"/>
          <w:bCs/>
          <w:snapToGrid w:val="0"/>
          <w:color w:val="auto"/>
          <w:kern w:val="0"/>
          <w:sz w:val="32"/>
          <w:szCs w:val="32"/>
        </w:rPr>
        <w:t>水土保持方案</w:t>
      </w:r>
      <w:r>
        <w:rPr>
          <w:rFonts w:hint="eastAsia" w:ascii="Times New Roman" w:hAnsi="Times New Roman" w:eastAsia="方正仿宋_GBK" w:cs="Times New Roman"/>
          <w:bCs/>
          <w:snapToGrid w:val="0"/>
          <w:color w:val="auto"/>
          <w:kern w:val="0"/>
          <w:sz w:val="32"/>
          <w:szCs w:val="32"/>
          <w:lang w:eastAsia="zh-CN"/>
        </w:rPr>
        <w:t>工程</w:t>
      </w:r>
      <w:r>
        <w:rPr>
          <w:rFonts w:hint="default" w:ascii="Times New Roman" w:hAnsi="Times New Roman" w:eastAsia="方正仿宋_GBK" w:cs="Times New Roman"/>
          <w:bCs/>
          <w:snapToGrid w:val="0"/>
          <w:color w:val="auto"/>
          <w:kern w:val="0"/>
          <w:sz w:val="32"/>
          <w:szCs w:val="32"/>
        </w:rPr>
        <w:t>静态总投资230.28万元，其中：主体已列21.18万元，方案新增209.10万元（工程措施26.72万元，植物措施24.18万元，监测措施11.98万元，施工临时措施94.18万元，独立费用32.45万元，基本预备费11.37万元，水土保持补偿费8.218万元）</w:t>
      </w:r>
      <w:r>
        <w:rPr>
          <w:rFonts w:hint="eastAsia" w:ascii="方正仿宋_GBK" w:hAnsi="Calibri" w:eastAsia="方正仿宋_GBK" w:cs="Times New Roman"/>
          <w:bCs/>
          <w:snapToGrid w:val="0"/>
          <w:color w:val="auto"/>
          <w:kern w:val="0"/>
          <w:sz w:val="32"/>
          <w:szCs w:val="32"/>
        </w:rPr>
        <w:t>。</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三同时</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制度。</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（六）项目开工前向主管税务机关申报缴纳水土保持补偿费。</w:t>
      </w:r>
    </w:p>
    <w:p>
      <w:pPr>
        <w:snapToGrid w:val="0"/>
        <w:spacing w:line="620" w:lineRule="exact"/>
        <w:ind w:firstLine="640" w:firstLineChars="200"/>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（七）</w:t>
      </w:r>
      <w:r>
        <w:rPr>
          <w:rFonts w:hint="eastAsia" w:ascii="Times New Roman" w:hAnsi="Times New Roman" w:eastAsia="方正仿宋_GBK"/>
          <w:snapToGrid w:val="0"/>
          <w:color w:val="auto"/>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color w:val="auto"/>
          <w:kern w:val="0"/>
          <w:sz w:val="32"/>
          <w:szCs w:val="32"/>
          <w:lang w:eastAsia="zh-CN"/>
        </w:rPr>
        <w:t>《生产建设项目水土保持方案管理办法》（</w:t>
      </w:r>
      <w:r>
        <w:rPr>
          <w:rFonts w:hint="eastAsia" w:ascii="Times New Roman" w:hAnsi="Times New Roman" w:eastAsia="方正仿宋_GBK"/>
          <w:snapToGrid w:val="0"/>
          <w:color w:val="auto"/>
          <w:kern w:val="0"/>
          <w:sz w:val="32"/>
          <w:szCs w:val="32"/>
        </w:rPr>
        <w:t>水利部</w:t>
      </w:r>
      <w:r>
        <w:rPr>
          <w:rFonts w:hint="eastAsia" w:ascii="Times New Roman" w:hAnsi="Times New Roman" w:eastAsia="方正仿宋_GBK"/>
          <w:snapToGrid w:val="0"/>
          <w:color w:val="auto"/>
          <w:kern w:val="0"/>
          <w:sz w:val="32"/>
          <w:szCs w:val="32"/>
          <w:lang w:eastAsia="zh-CN"/>
        </w:rPr>
        <w:t>令</w:t>
      </w:r>
      <w:r>
        <w:rPr>
          <w:rFonts w:hint="eastAsia" w:ascii="Times New Roman" w:hAnsi="Times New Roman" w:eastAsia="方正仿宋_GBK"/>
          <w:snapToGrid w:val="0"/>
          <w:color w:val="auto"/>
          <w:kern w:val="0"/>
          <w:sz w:val="32"/>
          <w:szCs w:val="32"/>
        </w:rPr>
        <w:t>第53号</w:t>
      </w:r>
      <w:r>
        <w:rPr>
          <w:rFonts w:hint="eastAsia" w:ascii="Times New Roman" w:hAnsi="Times New Roman" w:eastAsia="方正仿宋_GBK"/>
          <w:snapToGrid w:val="0"/>
          <w:color w:val="auto"/>
          <w:kern w:val="0"/>
          <w:sz w:val="32"/>
          <w:szCs w:val="32"/>
          <w:lang w:eastAsia="zh-CN"/>
        </w:rPr>
        <w:t>发布）</w:t>
      </w:r>
      <w:r>
        <w:rPr>
          <w:rFonts w:hint="eastAsia" w:ascii="Times New Roman" w:hAnsi="Times New Roman" w:eastAsia="方正仿宋_GBK"/>
          <w:snapToGrid w:val="0"/>
          <w:color w:val="auto"/>
          <w:kern w:val="0"/>
          <w:sz w:val="32"/>
          <w:szCs w:val="32"/>
        </w:rPr>
        <w:t>规定办理。</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（九）</w:t>
      </w:r>
      <w:r>
        <w:rPr>
          <w:rFonts w:ascii="Times New Roman" w:hAnsi="Times New Roman" w:eastAsia="方正仿宋_GBK"/>
          <w:color w:val="auto"/>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color w:val="auto"/>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w:t>
      </w:r>
      <w:r>
        <w:rPr>
          <w:rFonts w:hint="eastAsia" w:ascii="Times New Roman" w:hAnsi="Times New Roman" w:eastAsia="方正仿宋_GBK"/>
          <w:snapToGrid w:val="0"/>
          <w:color w:val="auto"/>
          <w:kern w:val="0"/>
          <w:sz w:val="32"/>
          <w:szCs w:val="32"/>
          <w:lang w:eastAsia="zh-CN"/>
        </w:rPr>
        <w:t>水土保持方案自批准之日起满</w:t>
      </w:r>
      <w:r>
        <w:rPr>
          <w:rFonts w:hint="eastAsia" w:ascii="Times New Roman" w:hAnsi="Times New Roman" w:eastAsia="方正仿宋_GBK"/>
          <w:snapToGrid w:val="0"/>
          <w:color w:val="auto"/>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color w:val="auto"/>
          <w:kern w:val="0"/>
          <w:sz w:val="32"/>
          <w:szCs w:val="32"/>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.渝西高铁重庆李家沟牵220千伏外部供电工程</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渝西高铁重庆李家沟牵220千伏外部供电工程</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13</w:t>
      </w:r>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color w:val="FF0000"/>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FF0000"/>
          <w:kern w:val="0"/>
          <w:sz w:val="32"/>
          <w:szCs w:val="32"/>
        </w:rPr>
      </w:pPr>
    </w:p>
    <w:p>
      <w:pPr>
        <w:pStyle w:val="2"/>
        <w:ind w:left="0" w:leftChars="0" w:firstLine="0" w:firstLineChars="0"/>
        <w:rPr>
          <w:rFonts w:ascii="Times New Roman" w:hAnsi="Times New Roman" w:eastAsia="方正仿宋_GBK"/>
          <w:snapToGrid w:val="0"/>
          <w:color w:val="FF0000"/>
          <w:kern w:val="0"/>
          <w:sz w:val="32"/>
          <w:szCs w:val="32"/>
        </w:rPr>
      </w:pPr>
    </w:p>
    <w:p>
      <w:pPr>
        <w:rPr>
          <w:rFonts w:ascii="Times New Roman" w:hAnsi="Times New Roman" w:eastAsia="方正仿宋_GBK"/>
          <w:snapToGrid w:val="0"/>
          <w:color w:val="FF0000"/>
          <w:kern w:val="0"/>
          <w:sz w:val="32"/>
          <w:szCs w:val="32"/>
        </w:rPr>
      </w:pPr>
      <w:r>
        <w:rPr>
          <w:rFonts w:ascii="Times New Roman" w:hAnsi="Times New Roman" w:eastAsia="方正仿宋_GBK"/>
          <w:snapToGrid w:val="0"/>
          <w:color w:val="FF0000"/>
          <w:kern w:val="0"/>
          <w:sz w:val="32"/>
          <w:szCs w:val="32"/>
        </w:rPr>
        <w:br w:type="page"/>
      </w:r>
    </w:p>
    <w:p>
      <w:pPr>
        <w:spacing w:line="240" w:lineRule="auto"/>
        <w:jc w:val="left"/>
        <w:textAlignment w:val="baseline"/>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p>
    <w:p>
      <w:pPr>
        <w:spacing w:line="240" w:lineRule="auto"/>
        <w:ind w:firstLine="480"/>
        <w:jc w:val="center"/>
        <w:textAlignment w:val="baseline"/>
        <w:rPr>
          <w:rFonts w:hint="eastAsia" w:ascii="方正小标宋_GBK" w:hAnsi="方正小标宋_GBK" w:eastAsia="方正小标宋_GBK" w:cs="方正小标宋_GBK"/>
          <w:b w:val="0"/>
          <w:bCs w:val="0"/>
          <w:sz w:val="36"/>
          <w:szCs w:val="36"/>
          <w:highlight w:val="none"/>
        </w:rPr>
      </w:pPr>
    </w:p>
    <w:p>
      <w:pPr>
        <w:spacing w:line="240" w:lineRule="auto"/>
        <w:ind w:firstLine="480"/>
        <w:jc w:val="center"/>
        <w:textAlignment w:val="baseline"/>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渝西高铁重庆李家沟牵220千伏外部</w:t>
      </w:r>
    </w:p>
    <w:p>
      <w:pPr>
        <w:spacing w:line="240" w:lineRule="auto"/>
        <w:ind w:firstLine="480"/>
        <w:jc w:val="center"/>
        <w:textAlignment w:val="baseline"/>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供电工</w:t>
      </w:r>
      <w:r>
        <w:rPr>
          <w:rFonts w:hint="eastAsia" w:ascii="方正小标宋_GBK" w:hAnsi="方正小标宋_GBK" w:eastAsia="方正小标宋_GBK" w:cs="方正小标宋_GBK"/>
          <w:b w:val="0"/>
          <w:bCs w:val="0"/>
          <w:sz w:val="44"/>
          <w:szCs w:val="44"/>
          <w:highlight w:val="none"/>
          <w:lang w:eastAsia="zh-CN"/>
        </w:rPr>
        <w:t>程</w:t>
      </w:r>
      <w:r>
        <w:rPr>
          <w:rFonts w:hint="eastAsia" w:ascii="方正小标宋_GBK" w:hAnsi="方正小标宋_GBK" w:eastAsia="方正小标宋_GBK" w:cs="方正小标宋_GBK"/>
          <w:b w:val="0"/>
          <w:bCs w:val="0"/>
          <w:sz w:val="44"/>
          <w:szCs w:val="44"/>
          <w:highlight w:val="none"/>
        </w:rPr>
        <w:t>水土保持方案特性表</w:t>
      </w:r>
    </w:p>
    <w:tbl>
      <w:tblPr>
        <w:tblStyle w:val="10"/>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37"/>
        <w:gridCol w:w="482"/>
        <w:gridCol w:w="428"/>
        <w:gridCol w:w="917"/>
        <w:gridCol w:w="806"/>
        <w:gridCol w:w="739"/>
        <w:gridCol w:w="174"/>
        <w:gridCol w:w="812"/>
        <w:gridCol w:w="805"/>
        <w:gridCol w:w="203"/>
        <w:gridCol w:w="498"/>
        <w:gridCol w:w="216"/>
        <w:gridCol w:w="850"/>
        <w:gridCol w:w="174"/>
        <w:gridCol w:w="614"/>
        <w:gridCol w:w="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507" w:type="pct"/>
            <w:gridSpan w:val="2"/>
            <w:tcMar>
              <w:top w:w="0" w:type="dxa"/>
              <w:left w:w="28" w:type="dxa"/>
              <w:bottom w:w="0" w:type="dxa"/>
              <w:right w:w="28" w:type="dxa"/>
            </w:tcMar>
            <w:vAlign w:val="center"/>
          </w:tcPr>
          <w:p>
            <w:pPr>
              <w:spacing w:line="594" w:lineRule="exact"/>
              <w:jc w:val="lef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项目名称</w:t>
            </w:r>
          </w:p>
        </w:tc>
        <w:tc>
          <w:tcPr>
            <w:tcW w:w="2139" w:type="pct"/>
            <w:gridSpan w:val="6"/>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渝西高铁重庆李家沟牵220千伏外部供电工程</w:t>
            </w:r>
          </w:p>
        </w:tc>
        <w:tc>
          <w:tcPr>
            <w:tcW w:w="950"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流域管理机构</w:t>
            </w:r>
          </w:p>
        </w:tc>
        <w:tc>
          <w:tcPr>
            <w:tcW w:w="1402"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507"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涉及市</w:t>
            </w:r>
          </w:p>
        </w:tc>
        <w:tc>
          <w:tcPr>
            <w:tcW w:w="742"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重庆市</w:t>
            </w:r>
          </w:p>
        </w:tc>
        <w:tc>
          <w:tcPr>
            <w:tcW w:w="853"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涉及地市或个数</w:t>
            </w:r>
          </w:p>
        </w:tc>
        <w:tc>
          <w:tcPr>
            <w:tcW w:w="544" w:type="pct"/>
            <w:gridSpan w:val="2"/>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950"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涉及区域个数</w:t>
            </w:r>
          </w:p>
        </w:tc>
        <w:tc>
          <w:tcPr>
            <w:tcW w:w="1402"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北碚区、合川区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2" w:hRule="atLeast"/>
          <w:jc w:val="center"/>
        </w:trPr>
        <w:tc>
          <w:tcPr>
            <w:tcW w:w="507"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项目规模</w:t>
            </w:r>
          </w:p>
        </w:tc>
        <w:tc>
          <w:tcPr>
            <w:tcW w:w="2139" w:type="pct"/>
            <w:gridSpan w:val="6"/>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lef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①变电站间隔扩建工程：星寨220kV变电站间隔扩建工程；江东220kV变电站间隔扩建工程；</w:t>
            </w:r>
          </w:p>
          <w:p>
            <w:pPr>
              <w:snapToGrid w:val="0"/>
              <w:spacing w:line="240" w:lineRule="auto"/>
              <w:ind w:firstLine="0" w:firstLineChars="0"/>
              <w:jc w:val="lef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②新建线路工程：星寨－李家沟牵220kV线路工程，新建架空线路18.3km（永久线路18.2km+临时线路0.1km），新建铁塔55基（永久塔基54基+临时塔基1基）；江东～李家沟牵220kV线路工程，新建架空线路14km（永久线路13.1km+临时线路0.9km），新建铁塔43基（永久塔基39基+临时塔基4基）；</w:t>
            </w:r>
          </w:p>
        </w:tc>
        <w:tc>
          <w:tcPr>
            <w:tcW w:w="444" w:type="pct"/>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总投资</w:t>
            </w:r>
          </w:p>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（万元）</w:t>
            </w:r>
          </w:p>
        </w:tc>
        <w:tc>
          <w:tcPr>
            <w:tcW w:w="506" w:type="pct"/>
            <w:gridSpan w:val="3"/>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8544</w:t>
            </w:r>
          </w:p>
        </w:tc>
        <w:tc>
          <w:tcPr>
            <w:tcW w:w="565" w:type="pct"/>
            <w:gridSpan w:val="2"/>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土建投资</w:t>
            </w:r>
          </w:p>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（万元）</w:t>
            </w:r>
          </w:p>
        </w:tc>
        <w:tc>
          <w:tcPr>
            <w:tcW w:w="837" w:type="pct"/>
            <w:gridSpan w:val="2"/>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eastAsiaTheme="minorEastAsia"/>
                <w:sz w:val="18"/>
                <w:szCs w:val="18"/>
                <w:highlight w:val="none"/>
              </w:rPr>
              <w:t>6133.1</w:t>
            </w:r>
            <w:r>
              <w:rPr>
                <w:rFonts w:hint="default" w:ascii="Times New Roman" w:hAnsi="Times New Roman" w:cs="Times New Roman" w:eastAsiaTheme="minorEastAsia"/>
                <w:sz w:val="18"/>
                <w:szCs w:val="18"/>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507"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动工时间</w:t>
            </w:r>
          </w:p>
        </w:tc>
        <w:tc>
          <w:tcPr>
            <w:tcW w:w="742"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2026年3月</w:t>
            </w:r>
          </w:p>
        </w:tc>
        <w:tc>
          <w:tcPr>
            <w:tcW w:w="1397"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完工时间</w:t>
            </w:r>
          </w:p>
        </w:tc>
        <w:tc>
          <w:tcPr>
            <w:tcW w:w="950"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2027年6月</w:t>
            </w:r>
          </w:p>
        </w:tc>
        <w:tc>
          <w:tcPr>
            <w:tcW w:w="903" w:type="pct"/>
            <w:gridSpan w:val="3"/>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设计水平年</w:t>
            </w:r>
          </w:p>
        </w:tc>
        <w:tc>
          <w:tcPr>
            <w:tcW w:w="498" w:type="pct"/>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743" w:type="pct"/>
            <w:gridSpan w:val="3"/>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工程占地（hm</w:t>
            </w:r>
            <w:r>
              <w:rPr>
                <w:rFonts w:hint="default" w:ascii="Times New Roman" w:hAnsi="Times New Roman" w:cs="Times New Roman" w:eastAsiaTheme="minorEastAsia"/>
                <w:sz w:val="18"/>
                <w:szCs w:val="18"/>
                <w:highlight w:val="none"/>
                <w:vertAlign w:val="superscript"/>
              </w:rPr>
              <w:t>2</w:t>
            </w:r>
            <w:r>
              <w:rPr>
                <w:rFonts w:hint="default" w:ascii="Times New Roman" w:hAnsi="Times New Roman" w:cs="Times New Roman" w:eastAsiaTheme="minorEastAsia"/>
                <w:sz w:val="18"/>
                <w:szCs w:val="18"/>
                <w:highlight w:val="none"/>
              </w:rPr>
              <w:t>）</w:t>
            </w:r>
          </w:p>
        </w:tc>
        <w:tc>
          <w:tcPr>
            <w:tcW w:w="506" w:type="pct"/>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5.87</w:t>
            </w:r>
          </w:p>
        </w:tc>
        <w:tc>
          <w:tcPr>
            <w:tcW w:w="1397"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永久占地（hm</w:t>
            </w:r>
            <w:r>
              <w:rPr>
                <w:rFonts w:hint="default" w:ascii="Times New Roman" w:hAnsi="Times New Roman" w:cs="Times New Roman" w:eastAsiaTheme="minorEastAsia"/>
                <w:sz w:val="18"/>
                <w:szCs w:val="18"/>
                <w:highlight w:val="none"/>
                <w:vertAlign w:val="superscript"/>
              </w:rPr>
              <w:t>2</w:t>
            </w:r>
            <w:r>
              <w:rPr>
                <w:rFonts w:hint="default" w:ascii="Times New Roman" w:hAnsi="Times New Roman" w:cs="Times New Roman" w:eastAsiaTheme="minorEastAsia"/>
                <w:sz w:val="18"/>
                <w:szCs w:val="18"/>
                <w:highlight w:val="none"/>
              </w:rPr>
              <w:t>）</w:t>
            </w:r>
          </w:p>
        </w:tc>
        <w:tc>
          <w:tcPr>
            <w:tcW w:w="950"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1.30</w:t>
            </w:r>
          </w:p>
        </w:tc>
        <w:tc>
          <w:tcPr>
            <w:tcW w:w="903" w:type="pct"/>
            <w:gridSpan w:val="3"/>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临时占地（hm</w:t>
            </w:r>
            <w:r>
              <w:rPr>
                <w:rFonts w:hint="default" w:ascii="Times New Roman" w:hAnsi="Times New Roman" w:cs="Times New Roman" w:eastAsiaTheme="minorEastAsia"/>
                <w:sz w:val="18"/>
                <w:szCs w:val="18"/>
                <w:highlight w:val="none"/>
                <w:vertAlign w:val="superscript"/>
              </w:rPr>
              <w:t>2</w:t>
            </w:r>
            <w:r>
              <w:rPr>
                <w:rFonts w:hint="default" w:ascii="Times New Roman" w:hAnsi="Times New Roman" w:cs="Times New Roman" w:eastAsiaTheme="minorEastAsia"/>
                <w:sz w:val="18"/>
                <w:szCs w:val="18"/>
                <w:highlight w:val="none"/>
              </w:rPr>
              <w:t>）</w:t>
            </w:r>
          </w:p>
        </w:tc>
        <w:tc>
          <w:tcPr>
            <w:tcW w:w="498" w:type="pct"/>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vMerge w:val="restart"/>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土石方量（万m</w:t>
            </w:r>
            <w:r>
              <w:rPr>
                <w:rFonts w:hint="default" w:ascii="Times New Roman" w:hAnsi="Times New Roman" w:cs="Times New Roman" w:eastAsiaTheme="minorEastAsia"/>
                <w:sz w:val="18"/>
                <w:szCs w:val="18"/>
                <w:highlight w:val="none"/>
                <w:vertAlign w:val="superscript"/>
              </w:rPr>
              <w:t>3</w:t>
            </w:r>
            <w:r>
              <w:rPr>
                <w:rFonts w:hint="default" w:ascii="Times New Roman" w:hAnsi="Times New Roman" w:cs="Times New Roman" w:eastAsiaTheme="minorEastAsia"/>
                <w:sz w:val="18"/>
                <w:szCs w:val="18"/>
                <w:highlight w:val="none"/>
              </w:rPr>
              <w:t>）</w:t>
            </w:r>
          </w:p>
        </w:tc>
        <w:tc>
          <w:tcPr>
            <w:tcW w:w="1397"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挖方</w:t>
            </w:r>
          </w:p>
        </w:tc>
        <w:tc>
          <w:tcPr>
            <w:tcW w:w="950"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填方</w:t>
            </w:r>
          </w:p>
        </w:tc>
        <w:tc>
          <w:tcPr>
            <w:tcW w:w="565"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借方</w:t>
            </w:r>
          </w:p>
        </w:tc>
        <w:tc>
          <w:tcPr>
            <w:tcW w:w="837"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vMerge w:val="continue"/>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1397"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2.18</w:t>
            </w:r>
          </w:p>
        </w:tc>
        <w:tc>
          <w:tcPr>
            <w:tcW w:w="950"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2.18</w:t>
            </w:r>
          </w:p>
        </w:tc>
        <w:tc>
          <w:tcPr>
            <w:tcW w:w="565"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0</w:t>
            </w:r>
          </w:p>
        </w:tc>
        <w:tc>
          <w:tcPr>
            <w:tcW w:w="837" w:type="pct"/>
            <w:gridSpan w:val="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重点防治区名称</w:t>
            </w:r>
          </w:p>
        </w:tc>
        <w:tc>
          <w:tcPr>
            <w:tcW w:w="3750" w:type="pct"/>
            <w:gridSpan w:val="12"/>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重庆市水土流失重点治理区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地貌类型</w:t>
            </w:r>
          </w:p>
        </w:tc>
        <w:tc>
          <w:tcPr>
            <w:tcW w:w="1397"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丘陵、低山</w:t>
            </w:r>
          </w:p>
        </w:tc>
        <w:tc>
          <w:tcPr>
            <w:tcW w:w="950"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水土保持区划</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土壤侵蚀类型</w:t>
            </w:r>
          </w:p>
        </w:tc>
        <w:tc>
          <w:tcPr>
            <w:tcW w:w="1397"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水力侵蚀</w:t>
            </w:r>
          </w:p>
        </w:tc>
        <w:tc>
          <w:tcPr>
            <w:tcW w:w="950"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土壤侵蚀强度</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防治责任范围面积（hm</w:t>
            </w:r>
            <w:r>
              <w:rPr>
                <w:rFonts w:hint="default" w:ascii="Times New Roman" w:hAnsi="Times New Roman" w:cs="Times New Roman" w:eastAsiaTheme="minorEastAsia"/>
                <w:sz w:val="18"/>
                <w:szCs w:val="18"/>
                <w:highlight w:val="none"/>
                <w:vertAlign w:val="superscript"/>
              </w:rPr>
              <w:t>2</w:t>
            </w:r>
            <w:r>
              <w:rPr>
                <w:rFonts w:hint="default" w:ascii="Times New Roman" w:hAnsi="Times New Roman" w:cs="Times New Roman" w:eastAsiaTheme="minorEastAsia"/>
                <w:sz w:val="18"/>
                <w:szCs w:val="18"/>
                <w:highlight w:val="none"/>
              </w:rPr>
              <w:t>）</w:t>
            </w:r>
          </w:p>
        </w:tc>
        <w:tc>
          <w:tcPr>
            <w:tcW w:w="1397"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5.87</w:t>
            </w:r>
          </w:p>
        </w:tc>
        <w:tc>
          <w:tcPr>
            <w:tcW w:w="1854" w:type="pct"/>
            <w:gridSpan w:val="7"/>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容许土壤流失量〔t/（km</w:t>
            </w:r>
            <w:r>
              <w:rPr>
                <w:rFonts w:hint="default" w:ascii="Times New Roman" w:hAnsi="Times New Roman" w:cs="Times New Roman" w:eastAsiaTheme="minorEastAsia"/>
                <w:sz w:val="18"/>
                <w:szCs w:val="18"/>
                <w:highlight w:val="none"/>
                <w:vertAlign w:val="superscript"/>
              </w:rPr>
              <w:t>2</w:t>
            </w:r>
            <w:r>
              <w:rPr>
                <w:rFonts w:hint="default" w:ascii="Times New Roman" w:hAnsi="Times New Roman" w:cs="Times New Roman" w:eastAsiaTheme="minorEastAsia"/>
                <w:sz w:val="18"/>
                <w:szCs w:val="18"/>
                <w:highlight w:val="none"/>
              </w:rPr>
              <w:t>·a）〕</w:t>
            </w:r>
          </w:p>
        </w:tc>
        <w:tc>
          <w:tcPr>
            <w:tcW w:w="498" w:type="pct"/>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土壤流失预测总</w:t>
            </w:r>
            <w:r>
              <w:rPr>
                <w:rFonts w:hint="default" w:ascii="Times New Roman" w:hAnsi="Times New Roman" w:cs="Times New Roman" w:eastAsiaTheme="minorEastAsia"/>
                <w:spacing w:val="-20"/>
                <w:sz w:val="18"/>
                <w:szCs w:val="18"/>
                <w:highlight w:val="none"/>
              </w:rPr>
              <w:t>量（t）</w:t>
            </w:r>
          </w:p>
        </w:tc>
        <w:tc>
          <w:tcPr>
            <w:tcW w:w="1397"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539</w:t>
            </w:r>
          </w:p>
        </w:tc>
        <w:tc>
          <w:tcPr>
            <w:tcW w:w="1854" w:type="pct"/>
            <w:gridSpan w:val="7"/>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新增土壤流失量（t）</w:t>
            </w:r>
          </w:p>
        </w:tc>
        <w:tc>
          <w:tcPr>
            <w:tcW w:w="498" w:type="pct"/>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水土流失防治标准</w:t>
            </w:r>
          </w:p>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执行等级</w:t>
            </w:r>
          </w:p>
        </w:tc>
        <w:tc>
          <w:tcPr>
            <w:tcW w:w="3750" w:type="pct"/>
            <w:gridSpan w:val="12"/>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vMerge w:val="restart"/>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防治指标</w:t>
            </w:r>
          </w:p>
        </w:tc>
        <w:tc>
          <w:tcPr>
            <w:tcW w:w="949" w:type="pct"/>
            <w:gridSpan w:val="3"/>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kern w:val="2"/>
                <w:sz w:val="18"/>
                <w:szCs w:val="18"/>
                <w:highlight w:val="none"/>
              </w:rPr>
            </w:pPr>
            <w:r>
              <w:rPr>
                <w:rFonts w:hint="default" w:ascii="Times New Roman" w:hAnsi="Times New Roman" w:cs="Times New Roman" w:eastAsiaTheme="minorEastAsia"/>
                <w:sz w:val="18"/>
                <w:szCs w:val="18"/>
                <w:highlight w:val="none"/>
              </w:rPr>
              <w:t>水土流失治理度（%）</w:t>
            </w:r>
          </w:p>
        </w:tc>
        <w:tc>
          <w:tcPr>
            <w:tcW w:w="448" w:type="pct"/>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97</w:t>
            </w:r>
          </w:p>
        </w:tc>
        <w:tc>
          <w:tcPr>
            <w:tcW w:w="1854" w:type="pct"/>
            <w:gridSpan w:val="7"/>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土壤流失控制比</w:t>
            </w:r>
          </w:p>
        </w:tc>
        <w:tc>
          <w:tcPr>
            <w:tcW w:w="498" w:type="pct"/>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vMerge w:val="continue"/>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949" w:type="pct"/>
            <w:gridSpan w:val="3"/>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渣土防护率（%）</w:t>
            </w:r>
          </w:p>
        </w:tc>
        <w:tc>
          <w:tcPr>
            <w:tcW w:w="448" w:type="pct"/>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92</w:t>
            </w:r>
          </w:p>
        </w:tc>
        <w:tc>
          <w:tcPr>
            <w:tcW w:w="1854" w:type="pct"/>
            <w:gridSpan w:val="7"/>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表土保护率（%）</w:t>
            </w:r>
          </w:p>
        </w:tc>
        <w:tc>
          <w:tcPr>
            <w:tcW w:w="498" w:type="pct"/>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vMerge w:val="continue"/>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949" w:type="pct"/>
            <w:gridSpan w:val="3"/>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林草植被恢复率（%）</w:t>
            </w:r>
          </w:p>
        </w:tc>
        <w:tc>
          <w:tcPr>
            <w:tcW w:w="448" w:type="pct"/>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97</w:t>
            </w:r>
          </w:p>
        </w:tc>
        <w:tc>
          <w:tcPr>
            <w:tcW w:w="1854" w:type="pct"/>
            <w:gridSpan w:val="7"/>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林草覆盖率（%）</w:t>
            </w:r>
          </w:p>
        </w:tc>
        <w:tc>
          <w:tcPr>
            <w:tcW w:w="498" w:type="pct"/>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41" w:type="pct"/>
            <w:vMerge w:val="restart"/>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防治措施</w:t>
            </w:r>
          </w:p>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及工</w:t>
            </w:r>
          </w:p>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程量</w:t>
            </w:r>
          </w:p>
        </w:tc>
        <w:tc>
          <w:tcPr>
            <w:tcW w:w="1008" w:type="pct"/>
            <w:gridSpan w:val="3"/>
            <w:tcBorders>
              <w:top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防治分区</w:t>
            </w:r>
          </w:p>
        </w:tc>
        <w:tc>
          <w:tcPr>
            <w:tcW w:w="1397" w:type="pct"/>
            <w:gridSpan w:val="4"/>
            <w:tcBorders>
              <w:top w:val="single" w:color="auto" w:sz="4" w:space="0"/>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工程措施</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植物措施</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41" w:type="pct"/>
            <w:vMerge w:val="continue"/>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502" w:type="pct"/>
            <w:gridSpan w:val="2"/>
            <w:vMerge w:val="restart"/>
            <w:tcBorders>
              <w:top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变电站间隔扩建工程</w:t>
            </w:r>
          </w:p>
        </w:tc>
        <w:tc>
          <w:tcPr>
            <w:tcW w:w="506" w:type="pct"/>
            <w:tcBorders>
              <w:top w:val="single" w:color="auto" w:sz="4" w:space="0"/>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主体设计</w:t>
            </w:r>
          </w:p>
        </w:tc>
        <w:tc>
          <w:tcPr>
            <w:tcW w:w="1397" w:type="pct"/>
            <w:gridSpan w:val="4"/>
            <w:tcBorders>
              <w:top w:val="single" w:color="auto" w:sz="4" w:space="0"/>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碎石地坪380m</w:t>
            </w:r>
            <w:r>
              <w:rPr>
                <w:rFonts w:hint="default" w:ascii="Times New Roman" w:hAnsi="Times New Roman" w:cs="Times New Roman" w:eastAsiaTheme="minorEastAsia"/>
                <w:sz w:val="18"/>
                <w:szCs w:val="18"/>
                <w:highlight w:val="none"/>
                <w:vertAlign w:val="superscript"/>
              </w:rPr>
              <w:t>2</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41" w:type="pct"/>
            <w:vMerge w:val="continue"/>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502" w:type="pct"/>
            <w:gridSpan w:val="2"/>
            <w:vMerge w:val="continue"/>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506" w:type="pct"/>
            <w:tcBorders>
              <w:top w:val="single" w:color="auto" w:sz="4" w:space="0"/>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方案新增</w:t>
            </w:r>
          </w:p>
        </w:tc>
        <w:tc>
          <w:tcPr>
            <w:tcW w:w="1397" w:type="pct"/>
            <w:gridSpan w:val="4"/>
            <w:tcBorders>
              <w:top w:val="single" w:color="auto" w:sz="4" w:space="0"/>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防雨布遮盖380m</w:t>
            </w:r>
            <w:r>
              <w:rPr>
                <w:rFonts w:hint="default" w:ascii="Times New Roman" w:hAnsi="Times New Roman" w:cs="Times New Roman" w:eastAsiaTheme="minorEastAsia"/>
                <w:sz w:val="18"/>
                <w:szCs w:val="18"/>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41" w:type="pct"/>
            <w:vMerge w:val="continue"/>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502" w:type="pct"/>
            <w:gridSpan w:val="2"/>
            <w:vMerge w:val="restart"/>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塔基防治区</w:t>
            </w:r>
          </w:p>
        </w:tc>
        <w:tc>
          <w:tcPr>
            <w:tcW w:w="506" w:type="pct"/>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主体设计</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堡坎948m</w:t>
            </w:r>
            <w:r>
              <w:rPr>
                <w:rFonts w:hint="default" w:ascii="Times New Roman" w:hAnsi="Times New Roman" w:cs="Times New Roman" w:eastAsiaTheme="minorEastAsia"/>
                <w:sz w:val="18"/>
                <w:szCs w:val="18"/>
                <w:highlight w:val="none"/>
                <w:vertAlign w:val="superscript"/>
              </w:rPr>
              <w:t>3</w:t>
            </w:r>
            <w:r>
              <w:rPr>
                <w:rFonts w:hint="default" w:ascii="Times New Roman" w:hAnsi="Times New Roman" w:cs="Times New Roman" w:eastAsiaTheme="minorEastAsia"/>
                <w:sz w:val="18"/>
                <w:szCs w:val="18"/>
                <w:highlight w:val="none"/>
              </w:rPr>
              <w:t>，截水沟1318m</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vertAlign w:val="superscript"/>
              </w:rPr>
            </w:pPr>
            <w:r>
              <w:rPr>
                <w:rFonts w:hint="default" w:ascii="Times New Roman" w:hAnsi="Times New Roman" w:cs="Times New Roman" w:eastAsiaTheme="minorEastAsia"/>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41" w:type="pct"/>
            <w:vMerge w:val="continue"/>
            <w:tcMar>
              <w:top w:w="0" w:type="dxa"/>
              <w:left w:w="28" w:type="dxa"/>
              <w:bottom w:w="0" w:type="dxa"/>
              <w:right w:w="28" w:type="dxa"/>
            </w:tcMar>
            <w:vAlign w:val="center"/>
          </w:tcPr>
          <w:p>
            <w:pPr>
              <w:snapToGrid w:val="0"/>
              <w:spacing w:line="240" w:lineRule="auto"/>
              <w:ind w:firstLine="0" w:firstLineChars="0"/>
              <w:jc w:val="left"/>
              <w:rPr>
                <w:rFonts w:hint="default" w:ascii="Times New Roman" w:hAnsi="Times New Roman" w:cs="Times New Roman" w:eastAsiaTheme="minorEastAsia"/>
                <w:sz w:val="18"/>
                <w:szCs w:val="18"/>
                <w:highlight w:val="none"/>
              </w:rPr>
            </w:pPr>
          </w:p>
        </w:tc>
        <w:tc>
          <w:tcPr>
            <w:tcW w:w="502" w:type="pct"/>
            <w:gridSpan w:val="2"/>
            <w:vMerge w:val="continue"/>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506" w:type="pct"/>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方案新增</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表土剥离0.89万m</w:t>
            </w:r>
            <w:r>
              <w:rPr>
                <w:rFonts w:hint="default" w:ascii="Times New Roman" w:hAnsi="Times New Roman" w:cs="Times New Roman" w:eastAsiaTheme="minorEastAsia"/>
                <w:sz w:val="18"/>
                <w:szCs w:val="18"/>
                <w:highlight w:val="none"/>
                <w:vertAlign w:val="superscript"/>
              </w:rPr>
              <w:t>3</w:t>
            </w:r>
            <w:r>
              <w:rPr>
                <w:rFonts w:hint="default" w:ascii="Times New Roman" w:hAnsi="Times New Roman" w:cs="Times New Roman" w:eastAsiaTheme="minorEastAsia"/>
                <w:sz w:val="18"/>
                <w:szCs w:val="18"/>
                <w:highlight w:val="none"/>
              </w:rPr>
              <w:t>，表土回覆0.89万m</w:t>
            </w:r>
            <w:r>
              <w:rPr>
                <w:rFonts w:hint="default" w:ascii="Times New Roman" w:hAnsi="Times New Roman" w:cs="Times New Roman" w:eastAsiaTheme="minorEastAsia"/>
                <w:sz w:val="18"/>
                <w:szCs w:val="18"/>
                <w:highlight w:val="none"/>
                <w:vertAlign w:val="superscript"/>
              </w:rPr>
              <w:t>3</w:t>
            </w:r>
            <w:r>
              <w:rPr>
                <w:rFonts w:hint="default" w:ascii="Times New Roman" w:hAnsi="Times New Roman" w:cs="Times New Roman" w:eastAsiaTheme="minorEastAsia"/>
                <w:sz w:val="18"/>
                <w:szCs w:val="18"/>
                <w:highlight w:val="none"/>
              </w:rPr>
              <w:t>，土地整治3.08hm</w:t>
            </w:r>
            <w:r>
              <w:rPr>
                <w:rFonts w:hint="default" w:ascii="Times New Roman" w:hAnsi="Times New Roman" w:cs="Times New Roman" w:eastAsiaTheme="minorEastAsia"/>
                <w:sz w:val="18"/>
                <w:szCs w:val="18"/>
                <w:highlight w:val="none"/>
                <w:vertAlign w:val="superscript"/>
              </w:rPr>
              <w:t>2</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栽植乔木2667株，栽植灌木16000株，撒播草籽2.26hm</w:t>
            </w:r>
            <w:r>
              <w:rPr>
                <w:rFonts w:hint="default" w:ascii="Times New Roman" w:hAnsi="Times New Roman" w:cs="Times New Roman" w:eastAsiaTheme="minorEastAsia"/>
                <w:sz w:val="18"/>
                <w:szCs w:val="18"/>
                <w:highlight w:val="none"/>
                <w:vertAlign w:val="superscript"/>
              </w:rPr>
              <w:t>2</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临时排水沟1260m，防雨布覆盖9800m</w:t>
            </w:r>
            <w:r>
              <w:rPr>
                <w:rFonts w:hint="default" w:ascii="Times New Roman" w:hAnsi="Times New Roman" w:cs="Times New Roman" w:eastAsiaTheme="minorEastAsia"/>
                <w:sz w:val="18"/>
                <w:szCs w:val="18"/>
                <w:highlight w:val="none"/>
                <w:vertAlign w:val="superscript"/>
              </w:rPr>
              <w:t>2</w:t>
            </w:r>
            <w:r>
              <w:rPr>
                <w:rFonts w:hint="default" w:ascii="Times New Roman" w:hAnsi="Times New Roman" w:cs="Times New Roman" w:eastAsiaTheme="minorEastAsia"/>
                <w:sz w:val="18"/>
                <w:szCs w:val="18"/>
                <w:highlight w:val="none"/>
              </w:rPr>
              <w:t>，填土编织袋拦挡2100m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41" w:type="pct"/>
            <w:vMerge w:val="continue"/>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502" w:type="pct"/>
            <w:gridSpan w:val="2"/>
            <w:vMerge w:val="restart"/>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牵张场防治区</w:t>
            </w:r>
          </w:p>
        </w:tc>
        <w:tc>
          <w:tcPr>
            <w:tcW w:w="506" w:type="pct"/>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主体设计</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kern w:val="2"/>
                <w:sz w:val="18"/>
                <w:szCs w:val="18"/>
                <w:highlight w:val="none"/>
                <w:vertAlign w:val="superscript"/>
              </w:rPr>
            </w:pPr>
            <w:r>
              <w:rPr>
                <w:rFonts w:hint="default" w:ascii="Times New Roman" w:hAnsi="Times New Roman" w:cs="Times New Roman" w:eastAsiaTheme="minorEastAsia"/>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41" w:type="pct"/>
            <w:vMerge w:val="continue"/>
            <w:tcMar>
              <w:top w:w="0" w:type="dxa"/>
              <w:left w:w="28" w:type="dxa"/>
              <w:bottom w:w="0" w:type="dxa"/>
              <w:right w:w="28" w:type="dxa"/>
            </w:tcMar>
            <w:vAlign w:val="center"/>
          </w:tcPr>
          <w:p>
            <w:pPr>
              <w:adjustRightInd w:val="0"/>
              <w:snapToGrid w:val="0"/>
              <w:spacing w:line="240" w:lineRule="auto"/>
              <w:ind w:firstLine="0" w:firstLineChars="0"/>
              <w:jc w:val="left"/>
              <w:rPr>
                <w:rFonts w:hint="default" w:ascii="Times New Roman" w:hAnsi="Times New Roman" w:cs="Times New Roman" w:eastAsiaTheme="minorEastAsia"/>
                <w:sz w:val="18"/>
                <w:szCs w:val="18"/>
                <w:highlight w:val="none"/>
              </w:rPr>
            </w:pPr>
          </w:p>
        </w:tc>
        <w:tc>
          <w:tcPr>
            <w:tcW w:w="502" w:type="pct"/>
            <w:gridSpan w:val="2"/>
            <w:vMerge w:val="continue"/>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506" w:type="pct"/>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方案新增</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表土剥离0.21万m</w:t>
            </w:r>
            <w:r>
              <w:rPr>
                <w:rFonts w:hint="default" w:ascii="Times New Roman" w:hAnsi="Times New Roman" w:cs="Times New Roman" w:eastAsiaTheme="minorEastAsia"/>
                <w:sz w:val="18"/>
                <w:szCs w:val="18"/>
                <w:highlight w:val="none"/>
                <w:vertAlign w:val="superscript"/>
              </w:rPr>
              <w:t>3</w:t>
            </w:r>
            <w:r>
              <w:rPr>
                <w:rFonts w:hint="default" w:ascii="Times New Roman" w:hAnsi="Times New Roman" w:cs="Times New Roman" w:eastAsiaTheme="minorEastAsia"/>
                <w:sz w:val="18"/>
                <w:szCs w:val="18"/>
                <w:highlight w:val="none"/>
              </w:rPr>
              <w:t>，表土回覆0.21万m</w:t>
            </w:r>
            <w:r>
              <w:rPr>
                <w:rFonts w:hint="default" w:ascii="Times New Roman" w:hAnsi="Times New Roman" w:cs="Times New Roman" w:eastAsiaTheme="minorEastAsia"/>
                <w:sz w:val="18"/>
                <w:szCs w:val="18"/>
                <w:highlight w:val="none"/>
                <w:vertAlign w:val="superscript"/>
              </w:rPr>
              <w:t>3</w:t>
            </w:r>
            <w:r>
              <w:rPr>
                <w:rFonts w:hint="default" w:ascii="Times New Roman" w:hAnsi="Times New Roman" w:cs="Times New Roman" w:eastAsiaTheme="minorEastAsia"/>
                <w:sz w:val="18"/>
                <w:szCs w:val="18"/>
                <w:highlight w:val="none"/>
              </w:rPr>
              <w:t>，土地整治0.80hm</w:t>
            </w:r>
            <w:r>
              <w:rPr>
                <w:rFonts w:hint="default" w:ascii="Times New Roman" w:hAnsi="Times New Roman" w:cs="Times New Roman" w:eastAsiaTheme="minorEastAsia"/>
                <w:sz w:val="18"/>
                <w:szCs w:val="18"/>
                <w:highlight w:val="none"/>
                <w:vertAlign w:val="superscript"/>
              </w:rPr>
              <w:t>2</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栽植乔木1067株，栽植灌木6400株，撒播草籽0.64hm</w:t>
            </w:r>
            <w:r>
              <w:rPr>
                <w:rFonts w:hint="default" w:ascii="Times New Roman" w:hAnsi="Times New Roman" w:cs="Times New Roman" w:eastAsiaTheme="minorEastAsia"/>
                <w:sz w:val="18"/>
                <w:szCs w:val="18"/>
                <w:highlight w:val="none"/>
                <w:vertAlign w:val="superscript"/>
              </w:rPr>
              <w:t>2</w:t>
            </w:r>
          </w:p>
        </w:tc>
        <w:tc>
          <w:tcPr>
            <w:tcW w:w="1402" w:type="pct"/>
            <w:gridSpan w:val="4"/>
            <w:tcMar>
              <w:top w:w="0" w:type="dxa"/>
              <w:left w:w="28" w:type="dxa"/>
              <w:bottom w:w="0" w:type="dxa"/>
              <w:right w:w="28" w:type="dxa"/>
            </w:tcMar>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防雨布覆盖1800m</w:t>
            </w:r>
            <w:r>
              <w:rPr>
                <w:rFonts w:hint="default" w:ascii="Times New Roman" w:hAnsi="Times New Roman" w:cs="Times New Roman" w:eastAsiaTheme="minorEastAsia"/>
                <w:sz w:val="18"/>
                <w:szCs w:val="18"/>
                <w:highlight w:val="none"/>
                <w:vertAlign w:val="superscript"/>
              </w:rPr>
              <w:t>2</w:t>
            </w:r>
            <w:r>
              <w:rPr>
                <w:rFonts w:hint="default" w:ascii="Times New Roman" w:hAnsi="Times New Roman" w:cs="Times New Roman" w:eastAsiaTheme="minorEastAsia"/>
                <w:sz w:val="18"/>
                <w:szCs w:val="18"/>
                <w:highlight w:val="none"/>
              </w:rPr>
              <w:t>，填土编织袋拦挡600m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41" w:type="pct"/>
            <w:vMerge w:val="continue"/>
            <w:tcMar>
              <w:top w:w="0" w:type="dxa"/>
              <w:left w:w="28" w:type="dxa"/>
              <w:bottom w:w="0" w:type="dxa"/>
              <w:right w:w="28" w:type="dxa"/>
            </w:tcMar>
            <w:vAlign w:val="center"/>
          </w:tcPr>
          <w:p>
            <w:pPr>
              <w:adjustRightInd w:val="0"/>
              <w:snapToGrid w:val="0"/>
              <w:spacing w:line="240" w:lineRule="auto"/>
              <w:ind w:firstLine="0" w:firstLineChars="0"/>
              <w:jc w:val="left"/>
              <w:rPr>
                <w:rFonts w:hint="default" w:ascii="Times New Roman" w:hAnsi="Times New Roman" w:cs="Times New Roman" w:eastAsiaTheme="minorEastAsia"/>
                <w:sz w:val="18"/>
                <w:szCs w:val="18"/>
                <w:highlight w:val="none"/>
              </w:rPr>
            </w:pPr>
          </w:p>
        </w:tc>
        <w:tc>
          <w:tcPr>
            <w:tcW w:w="502" w:type="pct"/>
            <w:gridSpan w:val="2"/>
            <w:vMerge w:val="restart"/>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跨越施工防治区</w:t>
            </w:r>
          </w:p>
        </w:tc>
        <w:tc>
          <w:tcPr>
            <w:tcW w:w="506" w:type="pct"/>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主体设计</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1402" w:type="pct"/>
            <w:gridSpan w:val="4"/>
            <w:tcMar>
              <w:top w:w="0" w:type="dxa"/>
              <w:left w:w="28" w:type="dxa"/>
              <w:bottom w:w="0" w:type="dxa"/>
              <w:right w:w="28" w:type="dxa"/>
            </w:tcMar>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41" w:type="pct"/>
            <w:vMerge w:val="continue"/>
            <w:tcMar>
              <w:top w:w="0" w:type="dxa"/>
              <w:left w:w="28" w:type="dxa"/>
              <w:bottom w:w="0" w:type="dxa"/>
              <w:right w:w="28" w:type="dxa"/>
            </w:tcMar>
            <w:vAlign w:val="center"/>
          </w:tcPr>
          <w:p>
            <w:pPr>
              <w:adjustRightInd w:val="0"/>
              <w:snapToGrid w:val="0"/>
              <w:spacing w:line="240" w:lineRule="auto"/>
              <w:ind w:firstLine="0" w:firstLineChars="0"/>
              <w:jc w:val="left"/>
              <w:rPr>
                <w:rFonts w:hint="default" w:ascii="Times New Roman" w:hAnsi="Times New Roman" w:cs="Times New Roman" w:eastAsiaTheme="minorEastAsia"/>
                <w:sz w:val="18"/>
                <w:szCs w:val="18"/>
                <w:highlight w:val="none"/>
              </w:rPr>
            </w:pPr>
          </w:p>
        </w:tc>
        <w:tc>
          <w:tcPr>
            <w:tcW w:w="502" w:type="pct"/>
            <w:gridSpan w:val="2"/>
            <w:vMerge w:val="continue"/>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506" w:type="pct"/>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方案新增</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土地整治0.44hm</w:t>
            </w:r>
            <w:r>
              <w:rPr>
                <w:rFonts w:hint="default" w:ascii="Times New Roman" w:hAnsi="Times New Roman" w:cs="Times New Roman" w:eastAsiaTheme="minorEastAsia"/>
                <w:sz w:val="18"/>
                <w:szCs w:val="18"/>
                <w:highlight w:val="none"/>
                <w:vertAlign w:val="superscript"/>
              </w:rPr>
              <w:t>2</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栽植乔木733株，栽植灌木4400株，撒播草籽0.44hm</w:t>
            </w:r>
            <w:r>
              <w:rPr>
                <w:rFonts w:hint="default" w:ascii="Times New Roman" w:hAnsi="Times New Roman" w:cs="Times New Roman" w:eastAsiaTheme="minorEastAsia"/>
                <w:sz w:val="18"/>
                <w:szCs w:val="18"/>
                <w:highlight w:val="none"/>
                <w:vertAlign w:val="superscript"/>
              </w:rPr>
              <w:t>2</w:t>
            </w:r>
          </w:p>
        </w:tc>
        <w:tc>
          <w:tcPr>
            <w:tcW w:w="1402" w:type="pct"/>
            <w:gridSpan w:val="4"/>
            <w:tcMar>
              <w:top w:w="0" w:type="dxa"/>
              <w:left w:w="28" w:type="dxa"/>
              <w:bottom w:w="0" w:type="dxa"/>
              <w:right w:w="28" w:type="dxa"/>
            </w:tcMar>
            <w:vAlign w:val="center"/>
          </w:tcPr>
          <w:p>
            <w:pPr>
              <w:adjustRightInd w:val="0"/>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彩条布铺垫4400m</w:t>
            </w:r>
            <w:r>
              <w:rPr>
                <w:rFonts w:hint="default" w:ascii="Times New Roman" w:hAnsi="Times New Roman" w:cs="Times New Roman" w:eastAsiaTheme="minorEastAsia"/>
                <w:sz w:val="18"/>
                <w:szCs w:val="18"/>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41" w:type="pct"/>
            <w:vMerge w:val="continue"/>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p>
        </w:tc>
        <w:tc>
          <w:tcPr>
            <w:tcW w:w="502" w:type="pct"/>
            <w:gridSpan w:val="2"/>
            <w:vMerge w:val="restart"/>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施工道路防治区</w:t>
            </w:r>
          </w:p>
        </w:tc>
        <w:tc>
          <w:tcPr>
            <w:tcW w:w="506" w:type="pct"/>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kern w:val="2"/>
                <w:sz w:val="18"/>
                <w:szCs w:val="18"/>
                <w:highlight w:val="none"/>
              </w:rPr>
            </w:pPr>
            <w:r>
              <w:rPr>
                <w:rFonts w:hint="default" w:ascii="Times New Roman" w:hAnsi="Times New Roman" w:cs="Times New Roman" w:eastAsiaTheme="minorEastAsia"/>
                <w:sz w:val="18"/>
                <w:szCs w:val="18"/>
                <w:highlight w:val="none"/>
              </w:rPr>
              <w:t>主体设计</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kern w:val="2"/>
                <w:sz w:val="18"/>
                <w:szCs w:val="18"/>
                <w:highlight w:val="none"/>
                <w:vertAlign w:val="superscript"/>
              </w:rPr>
            </w:pPr>
            <w:r>
              <w:rPr>
                <w:rFonts w:hint="default" w:ascii="Times New Roman" w:hAnsi="Times New Roman" w:cs="Times New Roman" w:eastAsiaTheme="minorEastAsia"/>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241" w:type="pct"/>
            <w:vMerge w:val="continue"/>
            <w:tcMar>
              <w:top w:w="0" w:type="dxa"/>
              <w:left w:w="28" w:type="dxa"/>
              <w:bottom w:w="0" w:type="dxa"/>
              <w:right w:w="28" w:type="dxa"/>
            </w:tcMar>
            <w:vAlign w:val="center"/>
          </w:tcPr>
          <w:p>
            <w:pPr>
              <w:snapToGrid w:val="0"/>
              <w:spacing w:line="240" w:lineRule="auto"/>
              <w:ind w:firstLine="0" w:firstLineChars="0"/>
              <w:jc w:val="left"/>
              <w:rPr>
                <w:rFonts w:hint="default" w:ascii="Times New Roman" w:hAnsi="Times New Roman" w:cs="Times New Roman" w:eastAsiaTheme="minorEastAsia"/>
                <w:sz w:val="18"/>
                <w:szCs w:val="18"/>
                <w:highlight w:val="none"/>
              </w:rPr>
            </w:pPr>
          </w:p>
        </w:tc>
        <w:tc>
          <w:tcPr>
            <w:tcW w:w="502" w:type="pct"/>
            <w:gridSpan w:val="2"/>
            <w:vMerge w:val="continue"/>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left"/>
              <w:rPr>
                <w:rFonts w:hint="default" w:ascii="Times New Roman" w:hAnsi="Times New Roman" w:cs="Times New Roman" w:eastAsiaTheme="minorEastAsia"/>
                <w:sz w:val="18"/>
                <w:szCs w:val="18"/>
                <w:highlight w:val="none"/>
              </w:rPr>
            </w:pPr>
          </w:p>
        </w:tc>
        <w:tc>
          <w:tcPr>
            <w:tcW w:w="506" w:type="pct"/>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240" w:lineRule="auto"/>
              <w:ind w:firstLine="0" w:firstLineChars="0"/>
              <w:jc w:val="center"/>
              <w:rPr>
                <w:rFonts w:hint="default" w:ascii="Times New Roman" w:hAnsi="Times New Roman" w:cs="Times New Roman" w:eastAsiaTheme="minorEastAsia"/>
                <w:kern w:val="2"/>
                <w:sz w:val="18"/>
                <w:szCs w:val="18"/>
                <w:highlight w:val="none"/>
              </w:rPr>
            </w:pPr>
            <w:r>
              <w:rPr>
                <w:rFonts w:hint="default" w:ascii="Times New Roman" w:hAnsi="Times New Roman" w:cs="Times New Roman" w:eastAsiaTheme="minorEastAsia"/>
                <w:sz w:val="18"/>
                <w:szCs w:val="18"/>
                <w:highlight w:val="none"/>
              </w:rPr>
              <w:t>方案新增</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表土剥离0.05万m</w:t>
            </w:r>
            <w:r>
              <w:rPr>
                <w:rFonts w:hint="default" w:ascii="Times New Roman" w:hAnsi="Times New Roman" w:cs="Times New Roman" w:eastAsiaTheme="minorEastAsia"/>
                <w:sz w:val="18"/>
                <w:szCs w:val="18"/>
                <w:highlight w:val="none"/>
                <w:vertAlign w:val="superscript"/>
              </w:rPr>
              <w:t>3</w:t>
            </w:r>
            <w:r>
              <w:rPr>
                <w:rFonts w:hint="default" w:ascii="Times New Roman" w:hAnsi="Times New Roman" w:cs="Times New Roman" w:eastAsiaTheme="minorEastAsia"/>
                <w:sz w:val="18"/>
                <w:szCs w:val="18"/>
                <w:highlight w:val="none"/>
              </w:rPr>
              <w:t>，表土回覆0.05万m</w:t>
            </w:r>
            <w:r>
              <w:rPr>
                <w:rFonts w:hint="default" w:ascii="Times New Roman" w:hAnsi="Times New Roman" w:cs="Times New Roman" w:eastAsiaTheme="minorEastAsia"/>
                <w:sz w:val="18"/>
                <w:szCs w:val="18"/>
                <w:highlight w:val="none"/>
                <w:vertAlign w:val="superscript"/>
              </w:rPr>
              <w:t>3</w:t>
            </w:r>
            <w:r>
              <w:rPr>
                <w:rFonts w:hint="default" w:ascii="Times New Roman" w:hAnsi="Times New Roman" w:cs="Times New Roman" w:eastAsiaTheme="minorEastAsia"/>
                <w:sz w:val="18"/>
                <w:szCs w:val="18"/>
                <w:highlight w:val="none"/>
              </w:rPr>
              <w:t>，土地整治1.12hm</w:t>
            </w:r>
            <w:r>
              <w:rPr>
                <w:rFonts w:hint="default" w:ascii="Times New Roman" w:hAnsi="Times New Roman" w:cs="Times New Roman" w:eastAsiaTheme="minorEastAsia"/>
                <w:sz w:val="18"/>
                <w:szCs w:val="18"/>
                <w:highlight w:val="none"/>
                <w:vertAlign w:val="superscript"/>
              </w:rPr>
              <w:t>2</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kern w:val="2"/>
                <w:sz w:val="18"/>
                <w:szCs w:val="18"/>
                <w:highlight w:val="none"/>
                <w:vertAlign w:val="superscript"/>
              </w:rPr>
            </w:pPr>
            <w:r>
              <w:rPr>
                <w:rFonts w:hint="default" w:ascii="Times New Roman" w:hAnsi="Times New Roman" w:cs="Times New Roman" w:eastAsiaTheme="minorEastAsia"/>
                <w:sz w:val="18"/>
                <w:szCs w:val="18"/>
                <w:highlight w:val="none"/>
              </w:rPr>
              <w:t>栽植乔木1867株，栽植灌木11200株，撒播草籽1.12hm</w:t>
            </w:r>
            <w:r>
              <w:rPr>
                <w:rFonts w:hint="default" w:ascii="Times New Roman" w:hAnsi="Times New Roman" w:cs="Times New Roman" w:eastAsiaTheme="minorEastAsia"/>
                <w:sz w:val="18"/>
                <w:szCs w:val="18"/>
                <w:highlight w:val="none"/>
                <w:vertAlign w:val="superscript"/>
              </w:rPr>
              <w:t>2</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防雨布覆盖480m</w:t>
            </w:r>
            <w:r>
              <w:rPr>
                <w:rFonts w:hint="default" w:ascii="Times New Roman" w:hAnsi="Times New Roman" w:cs="Times New Roman" w:eastAsiaTheme="minorEastAsia"/>
                <w:sz w:val="18"/>
                <w:szCs w:val="18"/>
                <w:highlight w:val="none"/>
                <w:vertAlign w:val="superscript"/>
              </w:rPr>
              <w:t>2</w:t>
            </w:r>
            <w:r>
              <w:rPr>
                <w:rFonts w:hint="default" w:ascii="Times New Roman" w:hAnsi="Times New Roman" w:cs="Times New Roman" w:eastAsiaTheme="minorEastAsia"/>
                <w:sz w:val="18"/>
                <w:szCs w:val="18"/>
                <w:highlight w:val="none"/>
              </w:rPr>
              <w:t>，填土编织袋拦挡250m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投资（万元）</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主体已列：21.18</w:t>
            </w:r>
          </w:p>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方案新增：26.72</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主体已列：0</w:t>
            </w:r>
          </w:p>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方案新增：24.18</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主体已列：0</w:t>
            </w:r>
          </w:p>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方案新增：</w:t>
            </w:r>
            <w:r>
              <w:rPr>
                <w:rFonts w:hint="default" w:ascii="Times New Roman" w:hAnsi="Times New Roman" w:cs="Times New Roman" w:eastAsiaTheme="minorEastAsia"/>
                <w:sz w:val="18"/>
                <w:szCs w:val="18"/>
                <w:highlight w:val="none"/>
                <w:lang w:bidi="ar"/>
              </w:rPr>
              <w:t>94.18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水土保持总投资（万元）</w:t>
            </w:r>
          </w:p>
        </w:tc>
        <w:tc>
          <w:tcPr>
            <w:tcW w:w="1397" w:type="pct"/>
            <w:gridSpan w:val="4"/>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230.28（方案新增209.</w:t>
            </w:r>
            <w:r>
              <w:rPr>
                <w:rFonts w:hint="eastAsia" w:ascii="Times New Roman" w:hAnsi="Times New Roman" w:cs="Times New Roman" w:eastAsiaTheme="minorEastAsia"/>
                <w:sz w:val="18"/>
                <w:szCs w:val="18"/>
                <w:highlight w:val="none"/>
                <w:lang w:val="en-US" w:eastAsia="zh-CN"/>
              </w:rPr>
              <w:t>10</w:t>
            </w:r>
            <w:r>
              <w:rPr>
                <w:rFonts w:hint="default" w:ascii="Times New Roman" w:hAnsi="Times New Roman" w:cs="Times New Roman" w:eastAsiaTheme="minorEastAsia"/>
                <w:sz w:val="18"/>
                <w:szCs w:val="18"/>
                <w:highlight w:val="none"/>
              </w:rPr>
              <w:t>）</w:t>
            </w:r>
          </w:p>
        </w:tc>
        <w:tc>
          <w:tcPr>
            <w:tcW w:w="950" w:type="pct"/>
            <w:gridSpan w:val="4"/>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独立费用（万元）</w:t>
            </w:r>
          </w:p>
        </w:tc>
        <w:tc>
          <w:tcPr>
            <w:tcW w:w="1402"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49"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监理费（万元）</w:t>
            </w:r>
          </w:p>
        </w:tc>
        <w:tc>
          <w:tcPr>
            <w:tcW w:w="445" w:type="pct"/>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0</w:t>
            </w:r>
          </w:p>
        </w:tc>
        <w:tc>
          <w:tcPr>
            <w:tcW w:w="951" w:type="pct"/>
            <w:gridSpan w:val="3"/>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监测费（万元）</w:t>
            </w:r>
          </w:p>
        </w:tc>
        <w:tc>
          <w:tcPr>
            <w:tcW w:w="556" w:type="pct"/>
            <w:gridSpan w:val="2"/>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11.98</w:t>
            </w:r>
          </w:p>
        </w:tc>
        <w:tc>
          <w:tcPr>
            <w:tcW w:w="863" w:type="pct"/>
            <w:gridSpan w:val="3"/>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补偿费（万元）</w:t>
            </w:r>
          </w:p>
        </w:tc>
        <w:tc>
          <w:tcPr>
            <w:tcW w:w="933" w:type="pct"/>
            <w:gridSpan w:val="3"/>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8.218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方案编制单位</w:t>
            </w:r>
          </w:p>
        </w:tc>
        <w:tc>
          <w:tcPr>
            <w:tcW w:w="1397"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重庆隆湖工程设计咨询有限公司</w:t>
            </w:r>
          </w:p>
        </w:tc>
        <w:tc>
          <w:tcPr>
            <w:tcW w:w="831" w:type="pct"/>
            <w:gridSpan w:val="3"/>
            <w:tcBorders>
              <w:left w:val="single" w:color="auto" w:sz="4"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建设单位</w:t>
            </w:r>
          </w:p>
        </w:tc>
        <w:tc>
          <w:tcPr>
            <w:tcW w:w="1521" w:type="pct"/>
            <w:gridSpan w:val="5"/>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国网重庆市电力公司北碚供电分公司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法定代表人</w:t>
            </w:r>
          </w:p>
        </w:tc>
        <w:tc>
          <w:tcPr>
            <w:tcW w:w="1397"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代数</w:t>
            </w:r>
          </w:p>
        </w:tc>
        <w:tc>
          <w:tcPr>
            <w:tcW w:w="831" w:type="pct"/>
            <w:gridSpan w:val="3"/>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法定代表人</w:t>
            </w:r>
          </w:p>
        </w:tc>
        <w:tc>
          <w:tcPr>
            <w:tcW w:w="1521" w:type="pct"/>
            <w:gridSpan w:val="5"/>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栗秋华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地址</w:t>
            </w:r>
          </w:p>
        </w:tc>
        <w:tc>
          <w:tcPr>
            <w:tcW w:w="1397"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重庆市渝北区新南路203号</w:t>
            </w:r>
          </w:p>
        </w:tc>
        <w:tc>
          <w:tcPr>
            <w:tcW w:w="831" w:type="pct"/>
            <w:gridSpan w:val="3"/>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地址</w:t>
            </w:r>
          </w:p>
        </w:tc>
        <w:tc>
          <w:tcPr>
            <w:tcW w:w="1521" w:type="pct"/>
            <w:gridSpan w:val="5"/>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br w:type="textWrapping"/>
            </w:r>
            <w:r>
              <w:rPr>
                <w:rFonts w:hint="default" w:ascii="Times New Roman" w:hAnsi="Times New Roman" w:cs="Times New Roman" w:eastAsiaTheme="minorEastAsia"/>
                <w:sz w:val="18"/>
                <w:szCs w:val="18"/>
                <w:highlight w:val="none"/>
              </w:rPr>
              <w:t>重庆市北碚区北温泉镇碚南大道203号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邮编</w:t>
            </w:r>
          </w:p>
        </w:tc>
        <w:tc>
          <w:tcPr>
            <w:tcW w:w="1397"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401147</w:t>
            </w:r>
          </w:p>
        </w:tc>
        <w:tc>
          <w:tcPr>
            <w:tcW w:w="831" w:type="pct"/>
            <w:gridSpan w:val="3"/>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邮编</w:t>
            </w:r>
          </w:p>
        </w:tc>
        <w:tc>
          <w:tcPr>
            <w:tcW w:w="1521" w:type="pct"/>
            <w:gridSpan w:val="5"/>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400711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联系人及电话</w:t>
            </w:r>
          </w:p>
        </w:tc>
        <w:tc>
          <w:tcPr>
            <w:tcW w:w="1397"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任相灏/17</w:t>
            </w:r>
            <w:r>
              <w:rPr>
                <w:rFonts w:hint="eastAsia" w:ascii="Times New Roman" w:hAnsi="Times New Roman" w:cs="Times New Roman" w:eastAsiaTheme="minorEastAsia"/>
                <w:sz w:val="18"/>
                <w:szCs w:val="18"/>
                <w:highlight w:val="none"/>
                <w:lang w:val="en-US" w:eastAsia="zh-CN"/>
              </w:rPr>
              <w:t>***</w:t>
            </w:r>
            <w:r>
              <w:rPr>
                <w:rFonts w:hint="default" w:ascii="Times New Roman" w:hAnsi="Times New Roman" w:cs="Times New Roman" w:eastAsiaTheme="minorEastAsia"/>
                <w:sz w:val="18"/>
                <w:szCs w:val="18"/>
                <w:highlight w:val="none"/>
              </w:rPr>
              <w:t>94</w:t>
            </w:r>
          </w:p>
        </w:tc>
        <w:tc>
          <w:tcPr>
            <w:tcW w:w="831" w:type="pct"/>
            <w:gridSpan w:val="3"/>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联系人及电话</w:t>
            </w:r>
          </w:p>
        </w:tc>
        <w:tc>
          <w:tcPr>
            <w:tcW w:w="1521" w:type="pct"/>
            <w:gridSpan w:val="5"/>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丁洋/19</w:t>
            </w:r>
            <w:r>
              <w:rPr>
                <w:rFonts w:hint="eastAsia" w:ascii="Times New Roman" w:hAnsi="Times New Roman" w:cs="Times New Roman" w:eastAsiaTheme="minorEastAsia"/>
                <w:sz w:val="18"/>
                <w:szCs w:val="18"/>
                <w:highlight w:val="none"/>
                <w:lang w:val="en-US" w:eastAsia="zh-CN"/>
              </w:rPr>
              <w:t>***</w:t>
            </w:r>
            <w:r>
              <w:rPr>
                <w:rFonts w:hint="default" w:ascii="Times New Roman" w:hAnsi="Times New Roman" w:cs="Times New Roman" w:eastAsiaTheme="minorEastAsia"/>
                <w:sz w:val="18"/>
                <w:szCs w:val="18"/>
                <w:highlight w:val="none"/>
              </w:rPr>
              <w:t>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传真</w:t>
            </w:r>
          </w:p>
        </w:tc>
        <w:tc>
          <w:tcPr>
            <w:tcW w:w="1397" w:type="pct"/>
            <w:gridSpan w:val="4"/>
            <w:tcBorders>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c>
          <w:tcPr>
            <w:tcW w:w="831" w:type="pct"/>
            <w:gridSpan w:val="3"/>
            <w:tcBorders>
              <w:lef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传真</w:t>
            </w:r>
          </w:p>
        </w:tc>
        <w:tc>
          <w:tcPr>
            <w:tcW w:w="1521" w:type="pct"/>
            <w:gridSpan w:val="5"/>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1249" w:type="pct"/>
            <w:gridSpan w:val="4"/>
            <w:tcBorders>
              <w:bottom w:val="single" w:color="auto" w:sz="12"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电子信箱</w:t>
            </w:r>
          </w:p>
        </w:tc>
        <w:tc>
          <w:tcPr>
            <w:tcW w:w="1397" w:type="pct"/>
            <w:gridSpan w:val="4"/>
            <w:tcBorders>
              <w:bottom w:val="single" w:color="auto" w:sz="12" w:space="0"/>
              <w:right w:val="single" w:color="auto" w:sz="4"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57</w:t>
            </w:r>
            <w:r>
              <w:rPr>
                <w:rFonts w:hint="eastAsia" w:ascii="Times New Roman" w:hAnsi="Times New Roman" w:cs="Times New Roman" w:eastAsiaTheme="minorEastAsia"/>
                <w:sz w:val="18"/>
                <w:szCs w:val="18"/>
                <w:highlight w:val="none"/>
                <w:lang w:val="en-US" w:eastAsia="zh-CN"/>
              </w:rPr>
              <w:t>***</w:t>
            </w:r>
            <w:r>
              <w:rPr>
                <w:rFonts w:hint="default" w:ascii="Times New Roman" w:hAnsi="Times New Roman" w:cs="Times New Roman" w:eastAsiaTheme="minorEastAsia"/>
                <w:sz w:val="18"/>
                <w:szCs w:val="18"/>
                <w:highlight w:val="none"/>
              </w:rPr>
              <w:t>16@qq.com</w:t>
            </w:r>
          </w:p>
        </w:tc>
        <w:tc>
          <w:tcPr>
            <w:tcW w:w="831" w:type="pct"/>
            <w:gridSpan w:val="3"/>
            <w:tcBorders>
              <w:left w:val="single" w:color="auto" w:sz="4" w:space="0"/>
              <w:bottom w:val="single" w:color="auto" w:sz="12"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电子信箱</w:t>
            </w:r>
          </w:p>
        </w:tc>
        <w:tc>
          <w:tcPr>
            <w:tcW w:w="1521" w:type="pct"/>
            <w:gridSpan w:val="5"/>
            <w:tcBorders>
              <w:bottom w:val="single" w:color="auto" w:sz="12" w:space="0"/>
            </w:tcBorders>
            <w:tcMar>
              <w:top w:w="0" w:type="dxa"/>
              <w:left w:w="28" w:type="dxa"/>
              <w:bottom w:w="0" w:type="dxa"/>
              <w:right w:w="28" w:type="dxa"/>
            </w:tcMar>
            <w:vAlign w:val="center"/>
          </w:tcPr>
          <w:p>
            <w:pPr>
              <w:snapToGrid w:val="0"/>
              <w:spacing w:line="240" w:lineRule="auto"/>
              <w:ind w:firstLine="0" w:firstLine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w:t>
            </w:r>
          </w:p>
        </w:tc>
      </w:tr>
    </w:tbl>
    <w:p>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spacing w:line="594" w:lineRule="exact"/>
        <w:jc w:val="left"/>
        <w:rPr>
          <w:rFonts w:ascii="方正黑体_GBK" w:hAnsi="Times New Roman" w:eastAsia="方正黑体_GBK"/>
          <w:color w:val="auto"/>
          <w:sz w:val="32"/>
          <w:szCs w:val="32"/>
        </w:rPr>
      </w:pPr>
      <w:r>
        <w:rPr>
          <w:rFonts w:hint="default" w:ascii="Times New Roman" w:hAnsi="Times New Roman" w:eastAsia="方正黑体_GBK" w:cs="Times New Roman"/>
          <w:color w:val="auto"/>
          <w:sz w:val="32"/>
          <w:szCs w:val="32"/>
        </w:rPr>
        <w:t>附件2</w:t>
      </w:r>
    </w:p>
    <w:p>
      <w:pPr>
        <w:spacing w:line="594" w:lineRule="exact"/>
        <w:jc w:val="left"/>
        <w:rPr>
          <w:rFonts w:hint="eastAsia" w:ascii="方正黑体_GBK" w:hAnsi="Times New Roman" w:eastAsia="方正黑体_GBK"/>
          <w:color w:val="auto"/>
          <w:sz w:val="32"/>
          <w:szCs w:val="32"/>
        </w:rPr>
      </w:pPr>
    </w:p>
    <w:p>
      <w:pPr>
        <w:spacing w:line="594" w:lineRule="exact"/>
        <w:jc w:val="center"/>
        <w:rPr>
          <w:rFonts w:hint="eastAsia" w:ascii="Times New Roman" w:hAnsi="Times New Roman" w:eastAsia="方正小标宋_GBK" w:cs="Times New Roman"/>
          <w:bCs/>
          <w:color w:val="auto"/>
          <w:sz w:val="44"/>
          <w:szCs w:val="44"/>
          <w:lang w:bidi="ar"/>
        </w:rPr>
      </w:pPr>
      <w:r>
        <w:rPr>
          <w:rFonts w:hint="eastAsia" w:ascii="Times New Roman" w:hAnsi="Times New Roman" w:eastAsia="方正小标宋_GBK" w:cs="Times New Roman"/>
          <w:bCs/>
          <w:color w:val="auto"/>
          <w:sz w:val="44"/>
          <w:szCs w:val="44"/>
          <w:lang w:eastAsia="zh-CN" w:bidi="ar"/>
        </w:rPr>
        <w:t>渝西高铁重庆李家沟牵220千伏</w:t>
      </w:r>
      <w:r>
        <w:rPr>
          <w:rFonts w:hint="eastAsia" w:ascii="Times New Roman" w:hAnsi="Times New Roman" w:eastAsia="方正小标宋_GBK" w:cs="Times New Roman"/>
          <w:bCs/>
          <w:color w:val="auto"/>
          <w:spacing w:val="-6"/>
          <w:sz w:val="44"/>
          <w:szCs w:val="44"/>
          <w:lang w:eastAsia="zh-CN" w:bidi="ar"/>
        </w:rPr>
        <w:t>外部供电工程</w:t>
      </w:r>
      <w:r>
        <w:rPr>
          <w:rFonts w:hint="eastAsia" w:ascii="Times New Roman" w:hAnsi="Times New Roman" w:eastAsia="方正小标宋_GBK" w:cs="Times New Roman"/>
          <w:bCs/>
          <w:color w:val="auto"/>
          <w:spacing w:val="-6"/>
          <w:sz w:val="44"/>
          <w:szCs w:val="44"/>
          <w:lang w:bidi="ar"/>
        </w:rPr>
        <w:t>水土保持方案报告书</w:t>
      </w:r>
      <w:r>
        <w:rPr>
          <w:rFonts w:ascii="Times New Roman" w:hAnsi="Times New Roman" w:eastAsia="方正小标宋_GBK" w:cs="Times New Roman"/>
          <w:color w:val="auto"/>
          <w:spacing w:val="-6"/>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FF0000"/>
          <w:sz w:val="32"/>
          <w:szCs w:val="32"/>
          <w:lang w:bidi="ar"/>
        </w:rPr>
      </w:pPr>
      <w:r>
        <w:rPr>
          <w:rFonts w:hint="eastAsia" w:ascii="Times New Roman" w:hAnsi="Times New Roman" w:eastAsia="方正仿宋_GBK" w:cs="Times New Roman"/>
          <w:color w:val="auto"/>
          <w:sz w:val="32"/>
          <w:szCs w:val="32"/>
          <w:lang w:bidi="ar"/>
        </w:rPr>
        <w:t>2025年12月23日，重庆市水利局组织召开了《渝西高铁重庆李家沟牵220千伏外部供电工程水土保持方案报告书》（以下简称《水保方案》）专家评审会。北碚区水利局、合川区水利局、国网重庆市电力公司北碚供电分公司（以下简称项目法人）、重庆隆湖工程设计咨询有限公司（以下简称报告编制单位）、国核电力规划设计研究院重庆有限公司（主体设计单位）的代表及特邀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《水利部办公厅关于印发生产建设项目水土保持方案审查要点的通知》（办水保</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《重庆市水利局关于进一步加强和规范生产建设项目水土保持方案审批的通知》（</w:t>
      </w:r>
      <w:r>
        <w:rPr>
          <w:rFonts w:hint="eastAsia" w:ascii="Times New Roman" w:hAnsi="Times New Roman" w:eastAsia="方正仿宋_GBK" w:cs="Times New Roman"/>
          <w:sz w:val="32"/>
          <w:szCs w:val="32"/>
        </w:rPr>
        <w:t>渝水〔2018〕267号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auto"/>
          <w:sz w:val="32"/>
          <w:szCs w:val="32"/>
          <w:lang w:bidi="ar"/>
        </w:rPr>
        <w:t>专家组对《水保方案》进行了质量评分，质量评定等级合格。报告编制单位会后对《水保方案》进行了修改补充，2026年</w:t>
      </w:r>
      <w:r>
        <w:rPr>
          <w:rFonts w:hint="eastAsia" w:ascii="Times New Roman" w:hAnsi="Times New Roman" w:eastAsia="方正仿宋_GBK" w:cs="Times New Roman"/>
          <w:color w:val="auto"/>
          <w:sz w:val="32"/>
          <w:szCs w:val="32"/>
          <w:lang w:val="en-US" w:eastAsia="zh-CN" w:bidi="ar"/>
        </w:rPr>
        <w:t>2</w:t>
      </w:r>
      <w:r>
        <w:rPr>
          <w:rFonts w:hint="eastAsia"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12</w:t>
      </w:r>
      <w:r>
        <w:rPr>
          <w:rFonts w:hint="eastAsia" w:ascii="Times New Roman" w:hAnsi="Times New Roman" w:eastAsia="方正仿宋_GBK" w:cs="Times New Roman"/>
          <w:color w:val="auto"/>
          <w:sz w:val="32"/>
          <w:szCs w:val="32"/>
          <w:lang w:bidi="ar"/>
        </w:rPr>
        <w:t>日，项目法人提交了修改完善后的《水保方案》。经专家组复核，形成专家评审意见如下</w:t>
      </w:r>
      <w:r>
        <w:rPr>
          <w:rFonts w:ascii="Times New Roman" w:hAnsi="Times New Roman" w:eastAsia="方正仿宋_GBK" w:cs="Times New Roman"/>
          <w:color w:val="auto"/>
          <w:sz w:val="32"/>
          <w:szCs w:val="32"/>
          <w:lang w:bidi="ar"/>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（二）同意方案设计水平年为2027年。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（三）同意水土流失防治责任范围界定，水土流失防治责任范围面积为5.87hm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，其中：合川区</w:t>
      </w:r>
      <w:r>
        <w:rPr>
          <w:rFonts w:hint="eastAsia" w:ascii="Times New Roman" w:hAnsi="Times New Roman" w:eastAsia="方正仿宋_GBK" w:cs="Times New Roman"/>
          <w:color w:val="auto"/>
          <w:sz w:val="32"/>
          <w:szCs w:val="32"/>
          <w:vertAlign w:val="baseline"/>
          <w:lang w:val="en-US" w:eastAsia="zh-CN"/>
        </w:rPr>
        <w:t>3.02</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，北碚区</w:t>
      </w:r>
      <w:r>
        <w:rPr>
          <w:rFonts w:hint="eastAsia" w:ascii="Times New Roman" w:hAnsi="Times New Roman" w:eastAsia="方正仿宋_GBK" w:cs="Times New Roman"/>
          <w:color w:val="auto"/>
          <w:sz w:val="32"/>
          <w:szCs w:val="32"/>
          <w:vertAlign w:val="baseline"/>
          <w:lang w:val="en-US" w:eastAsia="zh-CN"/>
        </w:rPr>
        <w:t>2.85</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（五）同意水土流失防治目标，其中：水土流失治理度97%，土壤流失控制比1.0，渣土防护率92%，表土保护率92%，林草植被恢复率97%，林草覆盖率25%</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（一）项目概况阐述较为清楚。</w:t>
      </w:r>
      <w:r>
        <w:rPr>
          <w:rFonts w:hint="eastAsia" w:ascii="Times New Roman" w:hAnsi="Times New Roman" w:eastAsia="方正仿宋_GBK" w:cs="Times New Roman"/>
          <w:color w:val="auto"/>
          <w:sz w:val="32"/>
          <w:szCs w:val="32"/>
          <w:lang w:bidi="ar"/>
        </w:rPr>
        <w:t>渝西高铁重庆李家沟牵220千伏外部供电工程</w:t>
      </w:r>
      <w:r>
        <w:rPr>
          <w:rFonts w:hint="eastAsia" w:ascii="Times New Roman" w:hAnsi="Times New Roman" w:eastAsia="方正仿宋_GBK" w:cs="Times New Roman"/>
          <w:color w:val="auto"/>
          <w:sz w:val="32"/>
          <w:szCs w:val="32"/>
          <w:lang w:eastAsia="zh-CN" w:bidi="ar"/>
        </w:rPr>
        <w:t>（以下简称项目）</w:t>
      </w:r>
      <w:r>
        <w:rPr>
          <w:rFonts w:hint="eastAsia" w:ascii="Times New Roman" w:hAnsi="Times New Roman" w:eastAsia="方正仿宋_GBK" w:cs="Times New Roman"/>
          <w:color w:val="auto"/>
          <w:sz w:val="32"/>
          <w:szCs w:val="32"/>
        </w:rPr>
        <w:t>位于重庆市北碚区、合川区，为新建、改扩建建设类项目，建设内容包括变电站间隔扩建工程和</w:t>
      </w:r>
      <w:r>
        <w:rPr>
          <w:rFonts w:hint="eastAsia" w:ascii="Times New Roman" w:hAnsi="Times New Roman" w:eastAsia="方正仿宋_GBK" w:cs="Times New Roman"/>
          <w:color w:val="auto"/>
          <w:sz w:val="32"/>
          <w:szCs w:val="32"/>
          <w:lang w:eastAsia="zh-CN"/>
        </w:rPr>
        <w:t>新建</w:t>
      </w:r>
      <w:r>
        <w:rPr>
          <w:rFonts w:hint="eastAsia" w:ascii="Times New Roman" w:hAnsi="Times New Roman" w:eastAsia="方正仿宋_GBK" w:cs="Times New Roman"/>
          <w:color w:val="auto"/>
          <w:sz w:val="32"/>
          <w:szCs w:val="32"/>
        </w:rPr>
        <w:t>线路工程两部分。变电站间隔扩建工程包括：星寨变电站间隔扩建工程（位于合川区三汇镇），在星寨220kV变电站扩建2个220kV架空出线间隔；江东变电站间隔扩建工程（位于北碚区东阳街道），在江东220kV变电站改扩建1个220kV架空出线间隔</w:t>
      </w:r>
      <w:r>
        <w:rPr>
          <w:rFonts w:hint="eastAsia" w:ascii="Times New Roman" w:hAnsi="Times New Roman" w:eastAsia="方正仿宋_GBK" w:cs="Times New Roman"/>
          <w:color w:val="auto"/>
          <w:sz w:val="32"/>
          <w:szCs w:val="32"/>
          <w:lang w:eastAsia="zh-CN"/>
        </w:rPr>
        <w:t>。新建</w:t>
      </w:r>
      <w:r>
        <w:rPr>
          <w:rFonts w:hint="eastAsia" w:ascii="Times New Roman" w:hAnsi="Times New Roman" w:eastAsia="方正仿宋_GBK" w:cs="Times New Roman"/>
          <w:color w:val="auto"/>
          <w:sz w:val="32"/>
          <w:szCs w:val="32"/>
        </w:rPr>
        <w:t>线路工程包括：</w:t>
      </w:r>
      <w:r>
        <w:rPr>
          <w:rFonts w:hint="eastAsia" w:ascii="Times New Roman" w:hAnsi="Times New Roman" w:eastAsia="方正仿宋_GBK" w:cs="Times New Roman"/>
          <w:color w:val="auto"/>
          <w:sz w:val="32"/>
          <w:szCs w:val="32"/>
          <w:lang w:eastAsia="zh-CN"/>
        </w:rPr>
        <w:t>新建</w:t>
      </w:r>
      <w:r>
        <w:rPr>
          <w:rFonts w:hint="eastAsia" w:ascii="Times New Roman" w:hAnsi="Times New Roman" w:eastAsia="方正仿宋_GBK" w:cs="Times New Roman"/>
          <w:color w:val="auto"/>
          <w:sz w:val="32"/>
          <w:szCs w:val="32"/>
        </w:rPr>
        <w:t>星寨～李家沟牵220kV线路工程，</w:t>
      </w:r>
      <w:r>
        <w:rPr>
          <w:rFonts w:hint="eastAsia" w:ascii="Times New Roman" w:hAnsi="Times New Roman" w:eastAsia="方正仿宋_GBK" w:cs="Times New Roman"/>
          <w:color w:val="auto"/>
          <w:sz w:val="32"/>
          <w:szCs w:val="32"/>
          <w:lang w:eastAsia="zh-CN"/>
        </w:rPr>
        <w:t>即</w:t>
      </w:r>
      <w:r>
        <w:rPr>
          <w:rFonts w:hint="eastAsia" w:ascii="Times New Roman" w:hAnsi="Times New Roman" w:eastAsia="方正仿宋_GBK" w:cs="Times New Roman"/>
          <w:color w:val="auto"/>
          <w:sz w:val="32"/>
          <w:szCs w:val="32"/>
        </w:rPr>
        <w:t>星寨～李家沟牵单回220kV架空线路18.</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km</w:t>
      </w:r>
      <w:r>
        <w:rPr>
          <w:rFonts w:hint="eastAsia" w:ascii="Times New Roman" w:hAnsi="Times New Roman" w:eastAsia="方正仿宋_GBK" w:cs="Times New Roman"/>
          <w:color w:val="auto"/>
          <w:sz w:val="32"/>
          <w:szCs w:val="32"/>
          <w:lang w:eastAsia="zh-CN"/>
        </w:rPr>
        <w:t>（含</w:t>
      </w:r>
      <w:r>
        <w:rPr>
          <w:rFonts w:hint="eastAsia" w:ascii="Times New Roman" w:hAnsi="Times New Roman" w:eastAsia="方正仿宋_GBK" w:cs="Times New Roman"/>
          <w:color w:val="auto"/>
          <w:sz w:val="32"/>
          <w:szCs w:val="32"/>
        </w:rPr>
        <w:t>临时线路0.1km</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杆塔5</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基</w:t>
      </w:r>
      <w:r>
        <w:rPr>
          <w:rFonts w:hint="eastAsia" w:ascii="Times New Roman" w:hAnsi="Times New Roman" w:eastAsia="方正仿宋_GBK" w:cs="Times New Roman"/>
          <w:color w:val="auto"/>
          <w:sz w:val="32"/>
          <w:szCs w:val="32"/>
          <w:lang w:eastAsia="zh-CN"/>
        </w:rPr>
        <w:t>（含临时塔基</w:t>
      </w:r>
      <w:r>
        <w:rPr>
          <w:rFonts w:hint="eastAsia" w:ascii="Times New Roman" w:hAnsi="Times New Roman" w:eastAsia="方正仿宋_GBK" w:cs="Times New Roman"/>
          <w:color w:val="auto"/>
          <w:sz w:val="32"/>
          <w:szCs w:val="32"/>
          <w:lang w:val="en-US" w:eastAsia="zh-CN"/>
        </w:rPr>
        <w:t>1基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新建江东～李家沟牵220kV线路工程，</w:t>
      </w:r>
      <w:r>
        <w:rPr>
          <w:rFonts w:hint="eastAsia" w:ascii="Times New Roman" w:hAnsi="Times New Roman" w:eastAsia="方正仿宋_GBK" w:cs="Times New Roman"/>
          <w:color w:val="auto"/>
          <w:sz w:val="32"/>
          <w:szCs w:val="32"/>
          <w:lang w:eastAsia="zh-CN"/>
        </w:rPr>
        <w:t>即</w:t>
      </w:r>
      <w:r>
        <w:rPr>
          <w:rFonts w:hint="eastAsia" w:ascii="Times New Roman" w:hAnsi="Times New Roman" w:eastAsia="方正仿宋_GBK" w:cs="Times New Roman"/>
          <w:color w:val="auto"/>
          <w:sz w:val="32"/>
          <w:szCs w:val="32"/>
        </w:rPr>
        <w:t>江东～李家沟220kV架空线路1</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km</w:t>
      </w:r>
      <w:r>
        <w:rPr>
          <w:rFonts w:hint="eastAsia" w:ascii="Times New Roman" w:hAnsi="Times New Roman" w:eastAsia="方正仿宋_GBK" w:cs="Times New Roman"/>
          <w:color w:val="auto"/>
          <w:sz w:val="32"/>
          <w:szCs w:val="32"/>
          <w:lang w:eastAsia="zh-CN"/>
        </w:rPr>
        <w:t>（含</w:t>
      </w:r>
      <w:r>
        <w:rPr>
          <w:rFonts w:hint="eastAsia" w:ascii="Times New Roman" w:hAnsi="Times New Roman" w:eastAsia="方正仿宋_GBK" w:cs="Times New Roman"/>
          <w:color w:val="auto"/>
          <w:sz w:val="32"/>
          <w:szCs w:val="32"/>
        </w:rPr>
        <w:t>临时线路0.9km</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，杆塔</w:t>
      </w:r>
      <w:r>
        <w:rPr>
          <w:rFonts w:hint="eastAsia" w:ascii="Times New Roman" w:hAnsi="Times New Roman" w:eastAsia="方正仿宋_GBK" w:cs="Times New Roman"/>
          <w:color w:val="auto"/>
          <w:sz w:val="32"/>
          <w:szCs w:val="32"/>
          <w:lang w:val="en-US" w:eastAsia="zh-CN"/>
        </w:rPr>
        <w:t>43</w:t>
      </w:r>
      <w:r>
        <w:rPr>
          <w:rFonts w:hint="eastAsia" w:ascii="Times New Roman" w:hAnsi="Times New Roman" w:eastAsia="方正仿宋_GBK" w:cs="Times New Roman"/>
          <w:color w:val="auto"/>
          <w:sz w:val="32"/>
          <w:szCs w:val="32"/>
        </w:rPr>
        <w:t>基</w:t>
      </w:r>
      <w:r>
        <w:rPr>
          <w:rFonts w:hint="eastAsia" w:ascii="Times New Roman" w:hAnsi="Times New Roman" w:eastAsia="方正仿宋_GBK" w:cs="Times New Roman"/>
          <w:color w:val="auto"/>
          <w:sz w:val="32"/>
          <w:szCs w:val="32"/>
          <w:lang w:eastAsia="zh-CN"/>
        </w:rPr>
        <w:t>（含临时塔基</w:t>
      </w:r>
      <w:r>
        <w:rPr>
          <w:rFonts w:hint="eastAsia" w:ascii="Times New Roman" w:hAnsi="Times New Roman" w:eastAsia="方正仿宋_GBK" w:cs="Times New Roman"/>
          <w:color w:val="auto"/>
          <w:sz w:val="32"/>
          <w:szCs w:val="32"/>
          <w:lang w:val="en-US" w:eastAsia="zh-CN"/>
        </w:rPr>
        <w:t>4基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。项目施工组织设计共布设牵张场0.80hm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/20处，跨越施工场地0.44hm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/11处，4m宽车行施工便道0.20hm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/491m/8条，1.5m宽人行施工便道1.00hm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/6706m/6</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rPr>
        <w:t>条，施工用水用电就近从沿线农户取用或自备发电机，施工建筑材料主要采用购买。</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本工程总占地面积5.87hm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，其中：永久占地1.35hm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，临时占地4.52hm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。土石方总挖方2.18万m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（含表土1.15万m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），总填方2.18万m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（含表土1.15万m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），无借方，无余方。本项目计划2026年3月开工，2027年6月完工，总工期16个月。项目总投资8544万元，其中土建投资6133.10万元。拆迁安置采取货币一次性补偿。</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（二）项目区</w:t>
      </w:r>
      <w:r>
        <w:rPr>
          <w:rFonts w:hint="eastAsia" w:ascii="Times New Roman" w:hAnsi="Times New Roman" w:eastAsia="方正仿宋_GBK" w:cs="Times New Roman"/>
          <w:color w:val="auto"/>
          <w:sz w:val="32"/>
          <w:szCs w:val="32"/>
          <w:lang w:eastAsia="zh-CN"/>
        </w:rPr>
        <w:t>自然概况</w:t>
      </w:r>
      <w:r>
        <w:rPr>
          <w:rFonts w:hint="eastAsia" w:ascii="Times New Roman" w:hAnsi="Times New Roman" w:eastAsia="方正仿宋_GBK" w:cs="Times New Roman"/>
          <w:color w:val="auto"/>
          <w:sz w:val="32"/>
          <w:szCs w:val="32"/>
        </w:rPr>
        <w:t>阐述较为清楚</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三、</w:t>
      </w:r>
      <w:r>
        <w:rPr>
          <w:rFonts w:hint="eastAsia" w:ascii="方正黑体_GBK" w:hAnsi="Calibri" w:eastAsia="方正黑体_GBK" w:cs="Times New Roman"/>
          <w:bCs/>
          <w:snapToGrid w:val="0"/>
          <w:color w:val="auto"/>
          <w:kern w:val="0"/>
          <w:sz w:val="32"/>
          <w:szCs w:val="32"/>
        </w:rPr>
        <w:t>项目水土保持</w:t>
      </w:r>
      <w:r>
        <w:rPr>
          <w:rFonts w:ascii="方正黑体_GBK" w:hAnsi="Calibri" w:eastAsia="方正黑体_GBK" w:cs="Times New Roman"/>
          <w:bCs/>
          <w:snapToGrid w:val="0"/>
          <w:color w:val="auto"/>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（一）基本同意对主体工程选址（线）水土保持评价。项目选址（线）无法避让重庆市水土流失重点治理区，</w:t>
      </w:r>
      <w:r>
        <w:rPr>
          <w:rFonts w:hint="eastAsia" w:ascii="Times New Roman" w:hAnsi="Times New Roman" w:eastAsia="方正仿宋_GBK" w:cs="方正仿宋_GBK"/>
          <w:b w:val="0"/>
          <w:color w:val="auto"/>
          <w:spacing w:val="0"/>
          <w:w w:val="100"/>
          <w:kern w:val="0"/>
          <w:sz w:val="32"/>
          <w:szCs w:val="32"/>
        </w:rPr>
        <w:t>方案已执行西南紫色土区建设类</w:t>
      </w:r>
      <w:r>
        <w:rPr>
          <w:rFonts w:hint="eastAsia" w:ascii="Times New Roman" w:hAnsi="Times New Roman" w:eastAsia="方正仿宋_GBK" w:cs="方正仿宋_GBK"/>
          <w:b w:val="0"/>
          <w:color w:val="auto"/>
          <w:spacing w:val="0"/>
          <w:w w:val="100"/>
          <w:kern w:val="0"/>
          <w:sz w:val="32"/>
          <w:szCs w:val="32"/>
          <w:lang w:eastAsia="zh-CN"/>
        </w:rPr>
        <w:t>项目</w:t>
      </w:r>
      <w:r>
        <w:rPr>
          <w:rFonts w:hint="eastAsia" w:ascii="Times New Roman" w:hAnsi="Times New Roman" w:eastAsia="方正仿宋_GBK" w:cs="方正仿宋_GBK"/>
          <w:b w:val="0"/>
          <w:color w:val="auto"/>
          <w:spacing w:val="0"/>
          <w:w w:val="100"/>
          <w:kern w:val="0"/>
          <w:sz w:val="32"/>
          <w:szCs w:val="32"/>
        </w:rPr>
        <w:t>水土流失一级防治标准，符合法律法规要求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（二）基本同意对项目建设方案与布局、工程占地、土石方平衡、施工方法与工艺等的水土保持评价。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（三）基本同意对主体工程设计中水土保持措施界定</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四、</w:t>
      </w:r>
      <w:r>
        <w:rPr>
          <w:rFonts w:ascii="方正黑体_GBK" w:hAnsi="Calibri" w:eastAsia="方正黑体_GBK" w:cs="Times New Roman"/>
          <w:bCs/>
          <w:snapToGrid w:val="0"/>
          <w:color w:val="auto"/>
          <w:kern w:val="0"/>
          <w:sz w:val="32"/>
          <w:szCs w:val="32"/>
        </w:rPr>
        <w:t>水土流失</w:t>
      </w:r>
      <w:r>
        <w:rPr>
          <w:rFonts w:hint="eastAsia" w:ascii="方正黑体_GBK" w:hAnsi="Calibri" w:eastAsia="方正黑体_GBK" w:cs="Times New Roman"/>
          <w:bCs/>
          <w:snapToGrid w:val="0"/>
          <w:color w:val="auto"/>
          <w:kern w:val="0"/>
          <w:sz w:val="32"/>
          <w:szCs w:val="32"/>
        </w:rPr>
        <w:t>分析</w:t>
      </w:r>
      <w:r>
        <w:rPr>
          <w:rFonts w:ascii="方正黑体_GBK" w:hAnsi="Calibri" w:eastAsia="方正黑体_GBK" w:cs="Times New Roman"/>
          <w:bCs/>
          <w:snapToGrid w:val="0"/>
          <w:color w:val="auto"/>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（一）基本同意对项目水土流失现状及影响因素分析。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（二）基本同意项目建设扰动地表面积为5.87hm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，损毁植被面积为4.46hm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（三）基本同意土壤流失量预测方法及结果，工程建设可能造成的土壤流失总量为539t，其中新增土壤流失量为327t。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FF0000"/>
          <w:kern w:val="0"/>
          <w:sz w:val="32"/>
          <w:szCs w:val="32"/>
        </w:rPr>
      </w:pPr>
      <w:r>
        <w:rPr>
          <w:rFonts w:hint="eastAsia" w:ascii="Times New Roman" w:hAnsi="Times New Roman" w:eastAsia="方正仿宋_GBK" w:cs="Times New Roman"/>
          <w:color w:val="auto"/>
          <w:sz w:val="32"/>
          <w:szCs w:val="32"/>
        </w:rPr>
        <w:t>（四）基本同意水土流失的危害分析和</w:t>
      </w:r>
      <w:bookmarkStart w:id="0" w:name="_GoBack"/>
      <w:bookmarkEnd w:id="0"/>
      <w:r>
        <w:rPr>
          <w:rFonts w:hint="eastAsia" w:ascii="Times New Roman" w:hAnsi="Times New Roman" w:eastAsia="方正仿宋_GBK" w:cs="Times New Roman"/>
          <w:color w:val="auto"/>
          <w:sz w:val="32"/>
          <w:szCs w:val="32"/>
        </w:rPr>
        <w:t>指导性意见</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五、</w:t>
      </w:r>
      <w:r>
        <w:rPr>
          <w:rFonts w:hint="eastAsia" w:ascii="方正黑体_GBK" w:hAnsi="Calibri" w:eastAsia="方正黑体_GBK" w:cs="Times New Roman"/>
          <w:bCs/>
          <w:snapToGrid w:val="0"/>
          <w:color w:val="auto"/>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（一）基本同意项目水土流失防治分区划分为变电站间隔扩建工程、塔基、牵张场、跨越施工场地、施工道路5个一级防治区。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（二）由主体工程设计中具有水保功能的措施和方案新增的水土保持措施所组成的水土流失防治体系基本合理。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（三）基本同意各防治区防治措施布局和新增水土保持措施典型设计。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变电站间隔扩建工程防治区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施工过程中对临时堆土采用防雨布覆盖。施工后期，配电装置区铺设碎石地坪。</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塔基工程防治区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施工前，对施工扰动区域内可剥离表土进行剥离，集中堆放于塔基施工区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平地塔基表土堆放区域四周采用填土编织袋拦挡</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并采用防雨布临时覆盖</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坡地和坡顶型塔基下边坡布设填土编织袋临时拦挡。施工过程中，在有汇水的塔基上边坡修建永久截水沟，下游接入周边自然沟道；对部分坡地和坡顶型塔基表土堆放量较大区域</w:t>
      </w:r>
      <w:r>
        <w:rPr>
          <w:rFonts w:hint="eastAsia" w:ascii="Times New Roman" w:hAnsi="Times New Roman" w:eastAsia="方正仿宋_GBK" w:cs="Times New Roman"/>
          <w:color w:val="auto"/>
          <w:sz w:val="32"/>
          <w:szCs w:val="32"/>
          <w:lang w:eastAsia="zh-CN"/>
        </w:rPr>
        <w:t>设</w:t>
      </w:r>
      <w:r>
        <w:rPr>
          <w:rFonts w:hint="eastAsia" w:ascii="Times New Roman" w:hAnsi="Times New Roman" w:eastAsia="方正仿宋_GBK" w:cs="Times New Roman"/>
          <w:color w:val="auto"/>
          <w:sz w:val="32"/>
          <w:szCs w:val="32"/>
        </w:rPr>
        <w:t>临时排水沟；对于部分较陡塔基下边坡修建堡坎，将开挖产生的余土填筑到坎内侧并对余土进行平整；遇降雨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对塔基施工产生的裸露边坡和临时堆土</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采用防雨布临时</w:t>
      </w:r>
      <w:r>
        <w:rPr>
          <w:rFonts w:hint="eastAsia" w:ascii="Times New Roman" w:hAnsi="Times New Roman" w:eastAsia="方正仿宋_GBK" w:cs="Times New Roman"/>
          <w:color w:val="auto"/>
          <w:sz w:val="32"/>
          <w:szCs w:val="32"/>
          <w:lang w:eastAsia="zh-CN"/>
        </w:rPr>
        <w:t>覆盖</w:t>
      </w:r>
      <w:r>
        <w:rPr>
          <w:rFonts w:hint="eastAsia" w:ascii="Times New Roman" w:hAnsi="Times New Roman" w:eastAsia="方正仿宋_GBK" w:cs="Times New Roman"/>
          <w:color w:val="auto"/>
          <w:sz w:val="32"/>
          <w:szCs w:val="32"/>
        </w:rPr>
        <w:t>。施工后期，对塔基施工场地进行土地整治并回覆表土，塔基永久占地采取撒播草籽防护，临时占地范围内占用耕地的</w:t>
      </w:r>
      <w:r>
        <w:rPr>
          <w:rFonts w:hint="eastAsia" w:ascii="Times New Roman" w:hAnsi="Times New Roman" w:eastAsia="方正仿宋_GBK" w:cs="Times New Roman"/>
          <w:color w:val="auto"/>
          <w:sz w:val="32"/>
          <w:szCs w:val="32"/>
          <w:lang w:eastAsia="zh-CN"/>
        </w:rPr>
        <w:t>进行</w:t>
      </w:r>
      <w:r>
        <w:rPr>
          <w:rFonts w:hint="eastAsia" w:ascii="Times New Roman" w:hAnsi="Times New Roman" w:eastAsia="方正仿宋_GBK" w:cs="Times New Roman"/>
          <w:color w:val="auto"/>
          <w:sz w:val="32"/>
          <w:szCs w:val="32"/>
        </w:rPr>
        <w:t>复耕，占用林草地的采用“乔灌草”形式恢复植被。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牵张场防治区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w:t>
      </w:r>
      <w:r>
        <w:rPr>
          <w:rFonts w:hint="eastAsia" w:ascii="Times New Roman" w:hAnsi="Times New Roman" w:eastAsia="方正仿宋_GBK" w:cs="Times New Roman"/>
          <w:color w:val="auto"/>
          <w:sz w:val="32"/>
          <w:szCs w:val="32"/>
          <w:lang w:eastAsia="zh-CN"/>
        </w:rPr>
        <w:t>对</w:t>
      </w:r>
      <w:r>
        <w:rPr>
          <w:rFonts w:hint="eastAsia" w:ascii="Times New Roman" w:hAnsi="Times New Roman" w:eastAsia="方正仿宋_GBK" w:cs="Times New Roman"/>
          <w:color w:val="auto"/>
          <w:sz w:val="32"/>
          <w:szCs w:val="32"/>
        </w:rPr>
        <w:t>牵张场扰动范围内可剥离表土进行表土剥离，集中堆放在牵张场空地，临时堆土外侧采用填土编织袋拦挡，顶部采用防雨布覆盖。施工后期，牵张场施工区域占用耕地的</w:t>
      </w:r>
      <w:r>
        <w:rPr>
          <w:rFonts w:hint="eastAsia" w:ascii="Times New Roman" w:hAnsi="Times New Roman" w:eastAsia="方正仿宋_GBK" w:cs="Times New Roman"/>
          <w:color w:val="auto"/>
          <w:sz w:val="32"/>
          <w:szCs w:val="32"/>
          <w:lang w:eastAsia="zh-CN"/>
        </w:rPr>
        <w:t>进行</w:t>
      </w:r>
      <w:r>
        <w:rPr>
          <w:rFonts w:hint="eastAsia" w:ascii="Times New Roman" w:hAnsi="Times New Roman" w:eastAsia="方正仿宋_GBK" w:cs="Times New Roman"/>
          <w:color w:val="auto"/>
          <w:sz w:val="32"/>
          <w:szCs w:val="32"/>
        </w:rPr>
        <w:t>复耕，占用林草地的采用“乔灌草”形式恢复植被。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跨越施工防治区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施工过程中，</w:t>
      </w:r>
      <w:r>
        <w:rPr>
          <w:rFonts w:hint="eastAsia" w:ascii="Times New Roman" w:hAnsi="Times New Roman" w:eastAsia="方正仿宋_GBK" w:cs="Times New Roman"/>
          <w:color w:val="auto"/>
          <w:sz w:val="32"/>
          <w:szCs w:val="32"/>
          <w:lang w:eastAsia="zh-CN"/>
        </w:rPr>
        <w:t>对</w:t>
      </w:r>
      <w:r>
        <w:rPr>
          <w:rFonts w:hint="eastAsia" w:ascii="Times New Roman" w:hAnsi="Times New Roman" w:eastAsia="方正仿宋_GBK" w:cs="Times New Roman"/>
          <w:color w:val="auto"/>
          <w:sz w:val="32"/>
          <w:szCs w:val="32"/>
        </w:rPr>
        <w:t>跨越施工场地占压区域底部铺垫彩条布。施工后期，跨越施工区域占用耕地的</w:t>
      </w:r>
      <w:r>
        <w:rPr>
          <w:rFonts w:hint="eastAsia" w:ascii="Times New Roman" w:hAnsi="Times New Roman" w:eastAsia="方正仿宋_GBK" w:cs="Times New Roman"/>
          <w:color w:val="auto"/>
          <w:sz w:val="32"/>
          <w:szCs w:val="32"/>
          <w:lang w:eastAsia="zh-CN"/>
        </w:rPr>
        <w:t>进行</w:t>
      </w:r>
      <w:r>
        <w:rPr>
          <w:rFonts w:hint="eastAsia" w:ascii="Times New Roman" w:hAnsi="Times New Roman" w:eastAsia="方正仿宋_GBK" w:cs="Times New Roman"/>
          <w:color w:val="auto"/>
          <w:sz w:val="32"/>
          <w:szCs w:val="32"/>
        </w:rPr>
        <w:t>复耕，占用林地的采用“乔灌草”形式恢复植被。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施工道路防治区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施工前，对车行施工道路区内表土进行剥离，沿线堆放在施工道路一侧，外侧采用填土编织袋拦挡。施工过程中，遇降雨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对裸露边坡及临时堆土采用防雨布临时覆盖。施工后期，车行施工道路进行土地整治并回覆表土，占用耕地的</w:t>
      </w:r>
      <w:r>
        <w:rPr>
          <w:rFonts w:hint="eastAsia" w:ascii="Times New Roman" w:hAnsi="Times New Roman" w:eastAsia="方正仿宋_GBK" w:cs="Times New Roman"/>
          <w:color w:val="auto"/>
          <w:sz w:val="32"/>
          <w:szCs w:val="32"/>
          <w:lang w:eastAsia="zh-CN"/>
        </w:rPr>
        <w:t>进行</w:t>
      </w:r>
      <w:r>
        <w:rPr>
          <w:rFonts w:hint="eastAsia" w:ascii="Times New Roman" w:hAnsi="Times New Roman" w:eastAsia="方正仿宋_GBK" w:cs="Times New Roman"/>
          <w:color w:val="auto"/>
          <w:sz w:val="32"/>
          <w:szCs w:val="32"/>
        </w:rPr>
        <w:t>复耕，占用林草地的采用“乔灌草”形式恢复植被；人抬施工道路进行土地整治，占用耕地的进行复耕，占用林地的采用“乔灌草”形式恢复植被。</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color w:val="FF0000"/>
          <w:kern w:val="0"/>
          <w:sz w:val="32"/>
          <w:szCs w:val="32"/>
        </w:rPr>
      </w:pPr>
      <w:r>
        <w:rPr>
          <w:rFonts w:hint="eastAsia" w:ascii="Times New Roman" w:hAnsi="Times New Roman" w:eastAsia="方正仿宋_GBK" w:cs="Times New Roman"/>
          <w:color w:val="auto"/>
          <w:sz w:val="32"/>
          <w:szCs w:val="32"/>
        </w:rPr>
        <w:t>（四）基本同意水土保持施工组织设计及施工时间安排</w:t>
      </w:r>
      <w:r>
        <w:rPr>
          <w:rFonts w:ascii="方正仿宋_GBK"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六</w:t>
      </w:r>
      <w:r>
        <w:rPr>
          <w:rFonts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ascii="方正仿宋_GBK" w:hAnsi="Calibri" w:eastAsia="方正仿宋_GBK" w:cs="Times New Roman"/>
          <w:bCs/>
          <w:snapToGrid w:val="0"/>
          <w:color w:val="auto"/>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七、水土保持投资</w:t>
      </w:r>
      <w:r>
        <w:rPr>
          <w:rFonts w:ascii="方正黑体_GBK" w:hAnsi="Calibri" w:eastAsia="方正黑体_GBK" w:cs="Times New Roman"/>
          <w:bCs/>
          <w:snapToGrid w:val="0"/>
          <w:color w:val="auto"/>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default" w:ascii="Times New Roman" w:hAnsi="Times New Roman" w:eastAsia="方正仿宋_GBK" w:cs="Times New Roman"/>
          <w:bCs/>
          <w:snapToGrid w:val="0"/>
          <w:color w:val="auto"/>
          <w:kern w:val="0"/>
          <w:sz w:val="32"/>
          <w:szCs w:val="32"/>
        </w:rPr>
        <w:t>（二）经审核，水土保持方案</w:t>
      </w:r>
      <w:r>
        <w:rPr>
          <w:rFonts w:hint="eastAsia" w:ascii="Times New Roman" w:hAnsi="Times New Roman" w:eastAsia="方正仿宋_GBK" w:cs="Times New Roman"/>
          <w:bCs/>
          <w:snapToGrid w:val="0"/>
          <w:color w:val="auto"/>
          <w:kern w:val="0"/>
          <w:sz w:val="32"/>
          <w:szCs w:val="32"/>
          <w:lang w:eastAsia="zh-CN"/>
        </w:rPr>
        <w:t>工程</w:t>
      </w:r>
      <w:r>
        <w:rPr>
          <w:rFonts w:hint="default" w:ascii="Times New Roman" w:hAnsi="Times New Roman" w:eastAsia="方正仿宋_GBK" w:cs="Times New Roman"/>
          <w:bCs/>
          <w:snapToGrid w:val="0"/>
          <w:color w:val="auto"/>
          <w:kern w:val="0"/>
          <w:sz w:val="32"/>
          <w:szCs w:val="32"/>
        </w:rPr>
        <w:t>静态总投资230.28万元，其中：主体已列21.18万元，方案新增209.10万元（工程措施26.72万元，植物措施24.18万元，监测措施11.98万元，施工临时措施94.18万元，独立费用32.45万元，基本预备费11.37万元，水土保持补偿费8.218万元）</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FF0000"/>
          <w:kern w:val="0"/>
          <w:sz w:val="32"/>
          <w:szCs w:val="32"/>
        </w:rPr>
      </w:pPr>
      <w:r>
        <w:rPr>
          <w:rFonts w:hint="eastAsia" w:ascii="方正仿宋_GBK" w:hAnsi="Calibri" w:eastAsia="方正仿宋_GBK" w:cs="Times New Roman"/>
          <w:bCs/>
          <w:snapToGrid w:val="0"/>
          <w:color w:val="auto"/>
          <w:kern w:val="0"/>
          <w:sz w:val="32"/>
          <w:szCs w:val="32"/>
        </w:rPr>
        <w:t>（三）效益分析方法正确，分析结果基本合理</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八、水土保持管理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基本同意方案中提出的组织管理、水土保持监测、水土保持监理、水土保持施工、水土保持设施验收等水土保持管理要求。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cs="Times New Roman"/>
          <w:color w:val="auto"/>
          <w:sz w:val="24"/>
          <w:szCs w:val="24"/>
        </w:rPr>
      </w:pPr>
      <w:r>
        <w:rPr>
          <w:rFonts w:ascii="Times New Roman" w:hAnsi="Times New Roman" w:eastAsia="方正仿宋_GBK" w:cs="Times New Roman"/>
          <w:color w:val="auto"/>
          <w:sz w:val="32"/>
          <w:szCs w:val="32"/>
        </w:rPr>
        <w:t>附</w:t>
      </w:r>
      <w:r>
        <w:rPr>
          <w:rFonts w:hint="eastAsia" w:ascii="Times New Roman" w:hAnsi="Times New Roman" w:eastAsia="方正仿宋_GBK" w:cs="Times New Roman"/>
          <w:color w:val="auto"/>
          <w:sz w:val="32"/>
          <w:szCs w:val="32"/>
        </w:rPr>
        <w:t>件</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lang w:eastAsia="zh-CN"/>
        </w:rPr>
        <w:t>渝西高铁重庆李家沟牵220千伏外部供电工程</w:t>
      </w:r>
      <w:r>
        <w:rPr>
          <w:rFonts w:hint="eastAsia" w:ascii="Times New Roman" w:hAnsi="Times New Roman" w:eastAsia="方正仿宋_GBK" w:cs="Times New Roman"/>
          <w:bCs/>
          <w:color w:val="auto"/>
          <w:sz w:val="32"/>
          <w:szCs w:val="32"/>
        </w:rPr>
        <w:t>水土保持方案投资估算</w:t>
      </w:r>
      <w:r>
        <w:rPr>
          <w:rFonts w:hint="eastAsia" w:ascii="Times New Roman" w:hAnsi="Times New Roman" w:eastAsia="方正仿宋_GBK" w:cs="Times New Roman"/>
          <w:color w:val="auto"/>
          <w:sz w:val="32"/>
          <w:szCs w:val="32"/>
        </w:rPr>
        <w:t>审核表</w:t>
      </w:r>
    </w:p>
    <w:p>
      <w:pPr>
        <w:widowControl/>
        <w:spacing w:line="600" w:lineRule="exact"/>
        <w:ind w:left="1380" w:leftChars="200" w:hanging="960" w:hangingChars="3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kern w:val="2"/>
          <w:sz w:val="32"/>
          <w:szCs w:val="32"/>
          <w:lang w:val="en-US" w:eastAsia="zh-CN"/>
        </w:rPr>
        <w:t xml:space="preserve">                </w:t>
      </w:r>
      <w:r>
        <w:rPr>
          <w:rFonts w:ascii="Times New Roman" w:hAnsi="Times New Roman" w:eastAsia="方正仿宋_GBK" w:cs="Times New Roman"/>
          <w:color w:val="auto"/>
          <w:sz w:val="32"/>
          <w:szCs w:val="32"/>
        </w:rPr>
        <w:t xml:space="preserve"> </w:t>
      </w:r>
      <w:r>
        <w:rPr>
          <w:rFonts w:ascii="等线" w:hAnsi="等线" w:eastAsia="等线" w:cs="Times New Roman"/>
          <w:color w:val="auto"/>
          <w:sz w:val="21"/>
          <w:szCs w:val="22"/>
        </w:rPr>
        <w:drawing>
          <wp:anchor distT="0" distB="0" distL="114300" distR="114300" simplePos="0" relativeHeight="251659264" behindDoc="1" locked="0" layoutInCell="1" allowOverlap="1">
            <wp:simplePos x="0" y="0"/>
            <wp:positionH relativeFrom="column">
              <wp:posOffset>4678045</wp:posOffset>
            </wp:positionH>
            <wp:positionV relativeFrom="paragraph">
              <wp:posOffset>78105</wp:posOffset>
            </wp:positionV>
            <wp:extent cx="596900" cy="316230"/>
            <wp:effectExtent l="0" t="0" r="12700" b="3810"/>
            <wp:wrapNone/>
            <wp:docPr id="1" name="图片 2" descr="陈晓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陈晓燕"/>
                    <pic:cNvPicPr>
                      <a:picLocks noChangeAspect="1"/>
                    </pic:cNvPicPr>
                  </pic:nvPicPr>
                  <pic:blipFill>
                    <a:blip r:embed="rId8"/>
                    <a:stretch>
                      <a:fillRect/>
                    </a:stretch>
                  </pic:blipFill>
                  <pic:spPr>
                    <a:xfrm>
                      <a:off x="0" y="0"/>
                      <a:ext cx="596900" cy="316230"/>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专家组组长</w:t>
      </w:r>
      <w:r>
        <w:rPr>
          <w:rFonts w:hint="eastAsia" w:ascii="Times New Roman" w:hAnsi="Times New Roman" w:eastAsia="方正仿宋_GBK" w:cs="Times New Roman"/>
          <w:color w:val="auto"/>
          <w:sz w:val="32"/>
          <w:szCs w:val="32"/>
          <w:lang w:eastAsia="zh-CN"/>
        </w:rPr>
        <w:t>：</w:t>
      </w:r>
    </w:p>
    <w:p>
      <w:pPr>
        <w:widowControl/>
        <w:spacing w:line="600" w:lineRule="exact"/>
        <w:ind w:left="1378" w:leftChars="656" w:firstLine="4160" w:firstLineChars="1300"/>
        <w:rPr>
          <w:rFonts w:hint="eastAsia"/>
          <w:color w:val="auto"/>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12</w:t>
      </w:r>
      <w:r>
        <w:rPr>
          <w:rFonts w:ascii="Times New Roman" w:hAnsi="Times New Roman" w:eastAsia="方正仿宋_GBK" w:cs="Times New Roman"/>
          <w:color w:val="auto"/>
          <w:sz w:val="32"/>
          <w:szCs w:val="32"/>
        </w:rPr>
        <w:t>日</w:t>
      </w:r>
    </w:p>
    <w:p>
      <w:pPr>
        <w:spacing w:line="400" w:lineRule="exact"/>
        <w:rPr>
          <w:rFonts w:hint="eastAsia" w:ascii="方正黑体简体" w:hAnsi="方正黑体简体" w:eastAsia="方正黑体简体" w:cs="方正黑体简体"/>
          <w:color w:val="auto"/>
          <w:kern w:val="0"/>
          <w:sz w:val="32"/>
          <w:szCs w:val="32"/>
          <w:lang w:bidi="ar"/>
        </w:rPr>
      </w:pPr>
      <w:r>
        <w:rPr>
          <w:rFonts w:hint="eastAsia" w:ascii="方正黑体简体" w:hAnsi="方正黑体简体" w:eastAsia="方正黑体简体" w:cs="方正黑体简体"/>
          <w:color w:val="auto"/>
          <w:sz w:val="32"/>
          <w:szCs w:val="32"/>
        </w:rPr>
        <w:t>附件</w:t>
      </w:r>
    </w:p>
    <w:p>
      <w:pPr>
        <w:spacing w:line="400" w:lineRule="exact"/>
        <w:jc w:val="center"/>
        <w:rPr>
          <w:rFonts w:hint="eastAsia" w:ascii="Times New Roman" w:hAnsi="Times New Roman" w:eastAsia="方正小标宋_GBK" w:cs="Times New Roman"/>
          <w:bCs/>
          <w:color w:val="auto"/>
          <w:sz w:val="36"/>
          <w:szCs w:val="36"/>
          <w:lang w:eastAsia="zh-CN"/>
        </w:rPr>
      </w:pPr>
    </w:p>
    <w:p>
      <w:pPr>
        <w:spacing w:line="400" w:lineRule="exact"/>
        <w:jc w:val="center"/>
        <w:rPr>
          <w:rFonts w:hint="eastAsia" w:ascii="Times New Roman" w:hAnsi="Times New Roman" w:eastAsia="方正小标宋_GBK" w:cs="Times New Roman"/>
          <w:bCs/>
          <w:color w:val="auto"/>
          <w:sz w:val="36"/>
          <w:szCs w:val="36"/>
          <w:lang w:eastAsia="zh-CN"/>
        </w:rPr>
      </w:pPr>
      <w:r>
        <w:rPr>
          <w:rFonts w:hint="eastAsia" w:ascii="Times New Roman" w:hAnsi="Times New Roman" w:eastAsia="方正小标宋_GBK" w:cs="Times New Roman"/>
          <w:bCs/>
          <w:color w:val="auto"/>
          <w:sz w:val="36"/>
          <w:szCs w:val="36"/>
          <w:lang w:eastAsia="zh-CN"/>
        </w:rPr>
        <w:t>渝西高铁重庆李家沟牵220千伏外部供电工程</w:t>
      </w:r>
    </w:p>
    <w:p>
      <w:pPr>
        <w:spacing w:line="400" w:lineRule="exact"/>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小标宋_GBK" w:cs="Times New Roman"/>
          <w:bCs/>
          <w:color w:val="auto"/>
          <w:sz w:val="36"/>
          <w:szCs w:val="36"/>
        </w:rPr>
        <w:t>水土保持方案投资估算审核表</w:t>
      </w:r>
    </w:p>
    <w:p>
      <w:pPr>
        <w:spacing w:line="400" w:lineRule="exact"/>
        <w:jc w:val="center"/>
        <w:rPr>
          <w:rFonts w:ascii="Times New Roman" w:hAnsi="Times New Roman" w:eastAsia="宋体" w:cs="Times New Roman"/>
          <w:color w:val="auto"/>
          <w:kern w:val="0"/>
          <w:sz w:val="20"/>
          <w:szCs w:val="20"/>
          <w:lang w:bidi="ar"/>
        </w:rPr>
      </w:pPr>
      <w:r>
        <w:rPr>
          <w:rFonts w:hint="eastAsia" w:ascii="Times New Roman" w:hAnsi="Times New Roman" w:eastAsia="宋体" w:cs="Times New Roman"/>
          <w:color w:val="FF0000"/>
          <w:kern w:val="0"/>
          <w:sz w:val="20"/>
          <w:szCs w:val="20"/>
          <w:lang w:val="en-US" w:eastAsia="zh-CN" w:bidi="ar"/>
        </w:rPr>
        <w:t xml:space="preserve">                                                                       </w:t>
      </w:r>
      <w:r>
        <w:rPr>
          <w:rFonts w:hint="default" w:ascii="Times New Roman" w:hAnsi="Times New Roman" w:eastAsia="宋体" w:cs="Times New Roman"/>
          <w:color w:val="FF0000"/>
          <w:kern w:val="0"/>
          <w:sz w:val="20"/>
          <w:szCs w:val="20"/>
          <w:lang w:val="en" w:eastAsia="zh-CN" w:bidi="ar"/>
        </w:rPr>
        <w:t xml:space="preserve">    </w:t>
      </w:r>
      <w:r>
        <w:rPr>
          <w:rFonts w:hint="default" w:ascii="Times New Roman" w:hAnsi="Times New Roman" w:eastAsia="宋体" w:cs="Times New Roman"/>
          <w:color w:val="auto"/>
          <w:kern w:val="0"/>
          <w:sz w:val="20"/>
          <w:szCs w:val="20"/>
          <w:lang w:val="en" w:eastAsia="zh-CN" w:bidi="ar"/>
        </w:rPr>
        <w:t xml:space="preserve">    </w:t>
      </w:r>
      <w:r>
        <w:rPr>
          <w:rFonts w:hint="eastAsia" w:ascii="Times New Roman" w:hAnsi="Times New Roman" w:eastAsia="宋体" w:cs="Times New Roman"/>
          <w:color w:val="auto"/>
          <w:kern w:val="0"/>
          <w:sz w:val="20"/>
          <w:szCs w:val="20"/>
          <w:lang w:bidi="ar"/>
        </w:rPr>
        <w:t>单位</w:t>
      </w:r>
      <w:r>
        <w:rPr>
          <w:rFonts w:ascii="Times New Roman" w:hAnsi="Times New Roman" w:eastAsia="宋体" w:cs="Times New Roman"/>
          <w:color w:val="auto"/>
          <w:kern w:val="0"/>
          <w:sz w:val="20"/>
          <w:szCs w:val="20"/>
          <w:lang w:bidi="ar"/>
        </w:rPr>
        <w:t>：万元</w:t>
      </w:r>
    </w:p>
    <w:tbl>
      <w:tblPr>
        <w:tblStyle w:val="10"/>
        <w:tblW w:w="89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17"/>
        <w:gridCol w:w="2632"/>
        <w:gridCol w:w="1500"/>
        <w:gridCol w:w="1364"/>
        <w:gridCol w:w="1131"/>
        <w:gridCol w:w="14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1" w:hRule="atLeast"/>
          <w:tblHeader/>
          <w:jc w:val="center"/>
        </w:trPr>
        <w:tc>
          <w:tcPr>
            <w:tcW w:w="817" w:type="dxa"/>
            <w:vMerge w:val="restart"/>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序号</w:t>
            </w:r>
          </w:p>
        </w:tc>
        <w:tc>
          <w:tcPr>
            <w:tcW w:w="2632" w:type="dxa"/>
            <w:vMerge w:val="restart"/>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工程或费用名称</w:t>
            </w:r>
          </w:p>
        </w:tc>
        <w:tc>
          <w:tcPr>
            <w:tcW w:w="3995" w:type="dxa"/>
            <w:gridSpan w:val="3"/>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审核投资</w:t>
            </w:r>
          </w:p>
        </w:tc>
        <w:tc>
          <w:tcPr>
            <w:tcW w:w="1457" w:type="dxa"/>
            <w:vMerge w:val="restart"/>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0" w:hRule="atLeast"/>
          <w:tblHeader/>
          <w:jc w:val="center"/>
        </w:trPr>
        <w:tc>
          <w:tcPr>
            <w:tcW w:w="817" w:type="dxa"/>
            <w:vMerge w:val="continue"/>
            <w:tcBorders>
              <w:tl2br w:val="nil"/>
              <w:tr2bl w:val="nil"/>
            </w:tcBorders>
            <w:noWrap w:val="0"/>
            <w:vAlign w:val="center"/>
          </w:tcPr>
          <w:p>
            <w:pPr>
              <w:widowControl/>
              <w:jc w:val="left"/>
              <w:rPr>
                <w:rFonts w:hint="eastAsia" w:ascii="宋体" w:hAnsi="宋体" w:eastAsia="宋体" w:cs="宋体"/>
                <w:color w:val="auto"/>
                <w:kern w:val="2"/>
                <w:sz w:val="21"/>
                <w:szCs w:val="22"/>
                <w:highlight w:val="none"/>
                <w:lang w:val="en-US" w:eastAsia="zh-CN" w:bidi="ar-SA"/>
              </w:rPr>
            </w:pPr>
          </w:p>
        </w:tc>
        <w:tc>
          <w:tcPr>
            <w:tcW w:w="2632" w:type="dxa"/>
            <w:vMerge w:val="continue"/>
            <w:tcBorders>
              <w:tl2br w:val="nil"/>
              <w:tr2bl w:val="nil"/>
            </w:tcBorders>
            <w:noWrap w:val="0"/>
            <w:vAlign w:val="center"/>
          </w:tcPr>
          <w:p>
            <w:pPr>
              <w:widowControl/>
              <w:jc w:val="left"/>
              <w:rPr>
                <w:rFonts w:hint="eastAsia" w:ascii="宋体" w:hAnsi="宋体" w:eastAsia="宋体" w:cs="宋体"/>
                <w:color w:val="auto"/>
                <w:kern w:val="2"/>
                <w:sz w:val="21"/>
                <w:szCs w:val="22"/>
                <w:highlight w:val="none"/>
                <w:lang w:val="en-US" w:eastAsia="zh-CN" w:bidi="ar-SA"/>
              </w:rPr>
            </w:pPr>
          </w:p>
        </w:tc>
        <w:tc>
          <w:tcPr>
            <w:tcW w:w="1500"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方案新增</w:t>
            </w:r>
          </w:p>
        </w:tc>
        <w:tc>
          <w:tcPr>
            <w:tcW w:w="1364"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主体已列</w:t>
            </w:r>
          </w:p>
        </w:tc>
        <w:tc>
          <w:tcPr>
            <w:tcW w:w="1131"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合计</w:t>
            </w:r>
          </w:p>
        </w:tc>
        <w:tc>
          <w:tcPr>
            <w:tcW w:w="1457" w:type="dxa"/>
            <w:vMerge w:val="continue"/>
            <w:tcBorders>
              <w:tl2br w:val="nil"/>
              <w:tr2bl w:val="nil"/>
            </w:tcBorders>
            <w:noWrap w:val="0"/>
            <w:vAlign w:val="center"/>
          </w:tcPr>
          <w:p>
            <w:pPr>
              <w:widowControl/>
              <w:jc w:val="left"/>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　第一部分：工程措施</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26.72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21.18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47.90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一</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变电站间隔扩建工程</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0.95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0.95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二</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塔基区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20.55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20.23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40.78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三</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牵张场区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4.86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4.86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四</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跨越施工场地区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0.05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0.05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五</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施工道路区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1.26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1.26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　第二部分：植物措施</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24.18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24.18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一</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变电站间隔扩建工程</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二</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塔基区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10.56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10.56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三</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牵张场区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3.96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3.96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四</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跨越施工场地区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2.72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2.72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五</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施工道路区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6.94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6.94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第三部分：监测措施</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11.98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11.98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一</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土建投资</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二</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设备及安装</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2.83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2.83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三</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观测运行</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9.15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9.15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第四部分：临时措施</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94.18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94.18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一</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变电站间隔扩建工程</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0.44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0.44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二</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塔基区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65.12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65.12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三</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牵张场区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16.92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16.92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四</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跨越施工场地区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3.70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3.70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五</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施工道路区</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6.74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6.74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六</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其他临时工程</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1.26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1.26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第五部分：独立费用</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32.45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32.45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一</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技术咨询费</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23.85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23.95 </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二</w:t>
            </w:r>
          </w:p>
        </w:tc>
        <w:tc>
          <w:tcPr>
            <w:tcW w:w="2632" w:type="dxa"/>
            <w:tcBorders>
              <w:tl2br w:val="nil"/>
              <w:tr2bl w:val="nil"/>
            </w:tcBorders>
            <w:noWrap w:val="0"/>
            <w:vAlign w:val="center"/>
          </w:tcPr>
          <w:p>
            <w:pPr>
              <w:widowControl/>
              <w:autoSpaceDE w:val="0"/>
              <w:autoSpaceDN w:val="0"/>
              <w:spacing w:line="240" w:lineRule="exact"/>
              <w:ind w:firstLine="210" w:firstLineChars="100"/>
              <w:jc w:val="left"/>
              <w:textAlignment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工程管理费</w:t>
            </w:r>
          </w:p>
        </w:tc>
        <w:tc>
          <w:tcPr>
            <w:tcW w:w="1500"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8.60 </w:t>
            </w:r>
          </w:p>
        </w:tc>
        <w:tc>
          <w:tcPr>
            <w:tcW w:w="1364"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autoSpaceDE w:val="0"/>
              <w:autoSpaceDN w:val="0"/>
              <w:spacing w:line="240" w:lineRule="exact"/>
              <w:ind w:firstLine="0" w:firstLineChars="0"/>
              <w:jc w:val="center"/>
              <w:textAlignment w:val="center"/>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8.60</w:t>
            </w:r>
          </w:p>
        </w:tc>
        <w:tc>
          <w:tcPr>
            <w:tcW w:w="1457" w:type="dxa"/>
            <w:tcBorders>
              <w:tl2br w:val="nil"/>
              <w:tr2bl w:val="nil"/>
            </w:tcBorders>
            <w:noWrap w:val="0"/>
            <w:vAlign w:val="center"/>
          </w:tcPr>
          <w:p>
            <w:pPr>
              <w:widowControl/>
              <w:jc w:val="center"/>
              <w:rPr>
                <w:rFonts w:hint="eastAsia" w:ascii="宋体" w:hAnsi="宋体" w:eastAsia="宋体" w:cs="宋体"/>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Ⅰ</w:t>
            </w:r>
          </w:p>
        </w:tc>
        <w:tc>
          <w:tcPr>
            <w:tcW w:w="2632" w:type="dxa"/>
            <w:tcBorders>
              <w:tl2br w:val="nil"/>
              <w:tr2bl w:val="nil"/>
            </w:tcBorders>
            <w:noWrap w:val="0"/>
            <w:vAlign w:val="center"/>
          </w:tcPr>
          <w:p>
            <w:pPr>
              <w:widowControl/>
              <w:ind w:firstLine="211" w:firstLineChars="100"/>
              <w:jc w:val="left"/>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第一至五部分合计</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189.51</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21.18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210.69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Ⅱ</w:t>
            </w:r>
          </w:p>
        </w:tc>
        <w:tc>
          <w:tcPr>
            <w:tcW w:w="2632" w:type="dxa"/>
            <w:tcBorders>
              <w:tl2br w:val="nil"/>
              <w:tr2bl w:val="nil"/>
            </w:tcBorders>
            <w:noWrap w:val="0"/>
            <w:vAlign w:val="center"/>
          </w:tcPr>
          <w:p>
            <w:pPr>
              <w:widowControl/>
              <w:ind w:firstLine="211" w:firstLineChars="100"/>
              <w:jc w:val="left"/>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基本预备费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11.37 </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11.37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81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Ⅲ</w:t>
            </w:r>
          </w:p>
        </w:tc>
        <w:tc>
          <w:tcPr>
            <w:tcW w:w="2632" w:type="dxa"/>
            <w:tcBorders>
              <w:tl2br w:val="nil"/>
              <w:tr2bl w:val="nil"/>
            </w:tcBorders>
            <w:noWrap w:val="0"/>
            <w:vAlign w:val="center"/>
          </w:tcPr>
          <w:p>
            <w:pPr>
              <w:widowControl/>
              <w:ind w:firstLine="211" w:firstLineChars="100"/>
              <w:jc w:val="left"/>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水土保持补偿费</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8.218</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0.00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8.218 </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3449" w:type="dxa"/>
            <w:gridSpan w:val="2"/>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水土保持总投资</w:t>
            </w:r>
          </w:p>
        </w:tc>
        <w:tc>
          <w:tcPr>
            <w:tcW w:w="1500"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209.10</w:t>
            </w:r>
          </w:p>
        </w:tc>
        <w:tc>
          <w:tcPr>
            <w:tcW w:w="1364"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 xml:space="preserve">21.18 </w:t>
            </w:r>
          </w:p>
        </w:tc>
        <w:tc>
          <w:tcPr>
            <w:tcW w:w="1131" w:type="dxa"/>
            <w:tcBorders>
              <w:tl2br w:val="nil"/>
              <w:tr2bl w:val="nil"/>
            </w:tcBorders>
            <w:noWrap w:val="0"/>
            <w:vAlign w:val="center"/>
          </w:tcPr>
          <w:p>
            <w:pPr>
              <w:widowControl/>
              <w:jc w:val="center"/>
              <w:rPr>
                <w:rFonts w:hint="default" w:ascii="Times New Roman" w:hAnsi="Times New Roman" w:eastAsia="宋体" w:cs="Times New Roman"/>
                <w:b/>
                <w:bCs/>
                <w:color w:val="auto"/>
                <w:kern w:val="2"/>
                <w:sz w:val="21"/>
                <w:szCs w:val="22"/>
                <w:highlight w:val="none"/>
                <w:lang w:val="en-US" w:eastAsia="zh-CN" w:bidi="ar-SA"/>
              </w:rPr>
            </w:pPr>
            <w:r>
              <w:rPr>
                <w:rFonts w:hint="default" w:ascii="Times New Roman" w:hAnsi="Times New Roman" w:eastAsia="宋体" w:cs="Times New Roman"/>
                <w:b/>
                <w:bCs/>
                <w:color w:val="auto"/>
                <w:kern w:val="2"/>
                <w:sz w:val="21"/>
                <w:szCs w:val="22"/>
                <w:highlight w:val="none"/>
                <w:lang w:val="en-US" w:eastAsia="zh-CN" w:bidi="ar-SA"/>
              </w:rPr>
              <w:t>230.28</w:t>
            </w:r>
          </w:p>
        </w:tc>
        <w:tc>
          <w:tcPr>
            <w:tcW w:w="1457" w:type="dxa"/>
            <w:tcBorders>
              <w:tl2br w:val="nil"/>
              <w:tr2bl w:val="nil"/>
            </w:tcBorders>
            <w:noWrap w:val="0"/>
            <w:vAlign w:val="center"/>
          </w:tcPr>
          <w:p>
            <w:pPr>
              <w:widowControl/>
              <w:jc w:val="center"/>
              <w:rPr>
                <w:rFonts w:hint="eastAsia" w:ascii="宋体" w:hAnsi="宋体" w:eastAsia="宋体" w:cs="宋体"/>
                <w:b/>
                <w:bCs/>
                <w:color w:val="auto"/>
                <w:kern w:val="2"/>
                <w:sz w:val="21"/>
                <w:szCs w:val="22"/>
                <w:highlight w:val="none"/>
                <w:lang w:val="en-US" w:eastAsia="zh-CN" w:bidi="ar-SA"/>
              </w:rPr>
            </w:pPr>
          </w:p>
        </w:tc>
      </w:tr>
    </w:tbl>
    <w:p>
      <w:pPr>
        <w:spacing w:line="594" w:lineRule="exact"/>
        <w:jc w:val="both"/>
        <w:rPr>
          <w:rFonts w:hint="eastAsia" w:ascii="Times New Roman" w:hAnsi="Times New Roman" w:eastAsia="方正小标宋_GBK"/>
          <w:color w:val="FF0000"/>
          <w:sz w:val="15"/>
          <w:szCs w:val="15"/>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3"/>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3"/>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3"/>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BD6CF5C"/>
    <w:rsid w:val="1D71D595"/>
    <w:rsid w:val="1F9FA41B"/>
    <w:rsid w:val="2DFB35DB"/>
    <w:rsid w:val="37976650"/>
    <w:rsid w:val="3B6DE0EA"/>
    <w:rsid w:val="3D5B9BA8"/>
    <w:rsid w:val="3DFFE0CB"/>
    <w:rsid w:val="3F1FC717"/>
    <w:rsid w:val="3FFF2986"/>
    <w:rsid w:val="43FEC05E"/>
    <w:rsid w:val="4F7BA04B"/>
    <w:rsid w:val="54FB7B18"/>
    <w:rsid w:val="5C51146C"/>
    <w:rsid w:val="5DB75B96"/>
    <w:rsid w:val="5DE6A532"/>
    <w:rsid w:val="5EFE2E2A"/>
    <w:rsid w:val="5F5F26A1"/>
    <w:rsid w:val="69DFF4FF"/>
    <w:rsid w:val="6D7BE9D6"/>
    <w:rsid w:val="6EBBAAB7"/>
    <w:rsid w:val="6FDF1A4C"/>
    <w:rsid w:val="71EE10CD"/>
    <w:rsid w:val="76F79F18"/>
    <w:rsid w:val="77D77542"/>
    <w:rsid w:val="77F766CF"/>
    <w:rsid w:val="7BBB70D7"/>
    <w:rsid w:val="7CF5B894"/>
    <w:rsid w:val="7DDFF8A4"/>
    <w:rsid w:val="7DF37FA8"/>
    <w:rsid w:val="7DFF1191"/>
    <w:rsid w:val="7EFD9E20"/>
    <w:rsid w:val="7F1D378F"/>
    <w:rsid w:val="7F7BD41E"/>
    <w:rsid w:val="7F7F2803"/>
    <w:rsid w:val="7FFC42F7"/>
    <w:rsid w:val="83FF2E68"/>
    <w:rsid w:val="8F5F710F"/>
    <w:rsid w:val="9DAA5F44"/>
    <w:rsid w:val="9EFCA69E"/>
    <w:rsid w:val="AFBD777C"/>
    <w:rsid w:val="B7B971D8"/>
    <w:rsid w:val="B7C628FB"/>
    <w:rsid w:val="BED790B1"/>
    <w:rsid w:val="BEFE32AD"/>
    <w:rsid w:val="BFBFBCC0"/>
    <w:rsid w:val="CB6BB40B"/>
    <w:rsid w:val="D7A25556"/>
    <w:rsid w:val="DB6F3191"/>
    <w:rsid w:val="DC546BB6"/>
    <w:rsid w:val="DED782E6"/>
    <w:rsid w:val="DF7F9546"/>
    <w:rsid w:val="DFF3780B"/>
    <w:rsid w:val="E7DB5BFA"/>
    <w:rsid w:val="EEC8D5EC"/>
    <w:rsid w:val="EFD4A11D"/>
    <w:rsid w:val="EFFBF710"/>
    <w:rsid w:val="F28B2029"/>
    <w:rsid w:val="F2FE282B"/>
    <w:rsid w:val="F3F89C23"/>
    <w:rsid w:val="F3FED0B4"/>
    <w:rsid w:val="F9F6876B"/>
    <w:rsid w:val="F9FD29CF"/>
    <w:rsid w:val="FAFF84FC"/>
    <w:rsid w:val="FBAABC5C"/>
    <w:rsid w:val="FBAF04CF"/>
    <w:rsid w:val="FBF387C8"/>
    <w:rsid w:val="FDE419AA"/>
    <w:rsid w:val="FE5ED254"/>
    <w:rsid w:val="FEBF5266"/>
    <w:rsid w:val="FEFF0266"/>
    <w:rsid w:val="FF1F7107"/>
    <w:rsid w:val="FF7B014E"/>
    <w:rsid w:val="FF7E7199"/>
    <w:rsid w:val="FFFBB379"/>
    <w:rsid w:val="FFFF052D"/>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annotation text"/>
    <w:unhideWhenUsed/>
    <w:qFormat/>
    <w:uiPriority w:val="99"/>
    <w:pPr>
      <w:widowControl w:val="0"/>
      <w:spacing w:line="360" w:lineRule="auto"/>
      <w:ind w:firstLine="200" w:firstLineChars="200"/>
      <w:jc w:val="left"/>
    </w:pPr>
    <w:rPr>
      <w:rFonts w:ascii="Times New Roman" w:hAnsi="宋体" w:eastAsia="方正仿宋_GB2312" w:cs="Times New Roman"/>
      <w:sz w:val="24"/>
      <w:szCs w:val="24"/>
      <w:lang w:val="en-US" w:eastAsia="zh-CN" w:bidi="ar-SA"/>
    </w:rPr>
  </w:style>
  <w:style w:type="paragraph" w:styleId="6">
    <w:name w:val="Body Text Indent"/>
    <w:basedOn w:val="1"/>
    <w:link w:val="20"/>
    <w:semiHidden/>
    <w:unhideWhenUsed/>
    <w:qFormat/>
    <w:uiPriority w:val="99"/>
    <w:pPr>
      <w:spacing w:after="120"/>
      <w:ind w:left="420" w:leftChars="200"/>
    </w:p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1">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3">
    <w:name w:val="page number"/>
    <w:basedOn w:val="12"/>
    <w:qFormat/>
    <w:uiPriority w:val="0"/>
  </w:style>
  <w:style w:type="character" w:styleId="14">
    <w:name w:val="annotation reference"/>
    <w:semiHidden/>
    <w:unhideWhenUsed/>
    <w:qFormat/>
    <w:uiPriority w:val="99"/>
    <w:rPr>
      <w:sz w:val="21"/>
      <w:szCs w:val="21"/>
    </w:rPr>
  </w:style>
  <w:style w:type="paragraph" w:customStyle="1" w:styleId="15">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页眉 字符"/>
    <w:link w:val="8"/>
    <w:qFormat/>
    <w:uiPriority w:val="99"/>
    <w:rPr>
      <w:sz w:val="18"/>
      <w:szCs w:val="18"/>
    </w:rPr>
  </w:style>
  <w:style w:type="character" w:customStyle="1" w:styleId="18">
    <w:name w:val="页脚 字符"/>
    <w:link w:val="7"/>
    <w:qFormat/>
    <w:uiPriority w:val="99"/>
    <w:rPr>
      <w:sz w:val="18"/>
      <w:szCs w:val="18"/>
    </w:rPr>
  </w:style>
  <w:style w:type="paragraph" w:customStyle="1" w:styleId="19">
    <w:name w:val="0正文"/>
    <w:basedOn w:val="6"/>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20">
    <w:name w:val="正文文本缩进 字符"/>
    <w:basedOn w:val="12"/>
    <w:link w:val="6"/>
    <w:semiHidden/>
    <w:qFormat/>
    <w:uiPriority w:val="99"/>
  </w:style>
  <w:style w:type="character" w:customStyle="1" w:styleId="21">
    <w:name w:val="正文啊 Char"/>
    <w:link w:val="22"/>
    <w:qFormat/>
    <w:uiPriority w:val="0"/>
    <w:rPr>
      <w:rFonts w:ascii="仿宋_GB2312" w:hAnsi="Times New Roman" w:eastAsia="仿宋_GB2312" w:cs="Times New Roman"/>
      <w:kern w:val="0"/>
      <w:sz w:val="28"/>
      <w:szCs w:val="22"/>
      <w:lang w:val="en-US" w:eastAsia="zh-CN" w:bidi="ar-SA"/>
    </w:rPr>
  </w:style>
  <w:style w:type="paragraph" w:customStyle="1" w:styleId="22">
    <w:name w:val="正文啊"/>
    <w:link w:val="21"/>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3">
    <w:name w:val="font31"/>
    <w:qFormat/>
    <w:uiPriority w:val="0"/>
    <w:rPr>
      <w:rFonts w:hint="default" w:ascii="Times New Roman" w:hAnsi="Times New Roman" w:cs="Times New Roman"/>
      <w:color w:val="000000"/>
      <w:sz w:val="16"/>
      <w:szCs w:val="16"/>
      <w:u w:val="none"/>
    </w:rPr>
  </w:style>
  <w:style w:type="character" w:customStyle="1" w:styleId="24">
    <w:name w:val="font21"/>
    <w:qFormat/>
    <w:uiPriority w:val="0"/>
    <w:rPr>
      <w:rFonts w:hint="default" w:ascii="仿宋_GB2312" w:eastAsia="仿宋_GB2312" w:cs="仿宋_GB2312"/>
      <w:b/>
      <w:bCs/>
      <w:color w:val="000000"/>
      <w:sz w:val="18"/>
      <w:szCs w:val="18"/>
      <w:u w:val="none"/>
    </w:rPr>
  </w:style>
  <w:style w:type="character" w:customStyle="1" w:styleId="25">
    <w:name w:val="font11"/>
    <w:qFormat/>
    <w:uiPriority w:val="0"/>
    <w:rPr>
      <w:rFonts w:hint="default" w:ascii="楷体_GB2312" w:eastAsia="楷体_GB2312" w:cs="楷体_GB2312"/>
      <w:b/>
      <w:bCs/>
      <w:color w:val="000000"/>
      <w:sz w:val="18"/>
      <w:szCs w:val="18"/>
      <w:u w:val="none"/>
    </w:rPr>
  </w:style>
  <w:style w:type="character" w:customStyle="1" w:styleId="26">
    <w:name w:val="font61"/>
    <w:qFormat/>
    <w:uiPriority w:val="0"/>
    <w:rPr>
      <w:rFonts w:ascii="黑体" w:hAnsi="宋体" w:eastAsia="黑体" w:cs="黑体"/>
      <w:color w:val="000000"/>
      <w:sz w:val="28"/>
      <w:szCs w:val="28"/>
      <w:u w:val="none"/>
    </w:rPr>
  </w:style>
  <w:style w:type="character" w:customStyle="1" w:styleId="27">
    <w:name w:val="font71"/>
    <w:qFormat/>
    <w:uiPriority w:val="0"/>
    <w:rPr>
      <w:rFonts w:hint="default" w:ascii="Times New Roman" w:hAnsi="Times New Roman" w:cs="Times New Roman"/>
      <w:color w:val="000000"/>
      <w:sz w:val="20"/>
      <w:szCs w:val="20"/>
      <w:u w:val="none"/>
    </w:rPr>
  </w:style>
  <w:style w:type="paragraph" w:customStyle="1" w:styleId="28">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9">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30">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31">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2">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3">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4">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表格5号1"/>
    <w:basedOn w:val="1"/>
    <w:next w:val="1"/>
    <w:qFormat/>
    <w:uiPriority w:val="1"/>
    <w:pPr>
      <w:autoSpaceDE w:val="0"/>
      <w:autoSpaceDN w:val="0"/>
      <w:spacing w:line="240" w:lineRule="exact"/>
      <w:ind w:firstLine="0" w:firstLineChars="0"/>
      <w:jc w:val="center"/>
    </w:pPr>
    <w:rPr>
      <w:rFonts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1275</Words>
  <Characters>7272</Characters>
  <Lines>60</Lines>
  <Paragraphs>17</Paragraphs>
  <TotalTime>20</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2020-11-01T07:08:00Z</dcterms:created>
  <dc:creator>张艺馨</dc:creator>
  <cp:lastModifiedBy>Administrator</cp:lastModifiedBy>
  <dcterms:modified xsi:type="dcterms:W3CDTF">2026-02-24T02:47:06Z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3AC7C0F69C1A42CCD4498D69B63BCB0C_43</vt:lpwstr>
  </property>
</Properties>
</file>