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lang w:eastAsia="zh-CN"/>
        </w:rPr>
      </w:pPr>
      <w:r>
        <w:rPr>
          <w:rFonts w:ascii="Times New Roman" w:hAnsi="Times New Roman" w:eastAsia="方正小标宋_GBK"/>
          <w:sz w:val="44"/>
          <w:szCs w:val="44"/>
        </w:rPr>
        <w:t>关于</w:t>
      </w:r>
      <w:r>
        <w:rPr>
          <w:rFonts w:hint="eastAsia" w:ascii="Times New Roman" w:hAnsi="Times New Roman" w:eastAsia="方正小标宋_GBK"/>
          <w:sz w:val="44"/>
          <w:szCs w:val="44"/>
          <w:lang w:eastAsia="zh-CN"/>
        </w:rPr>
        <w:t>G50沪渝高速垫江至长寿段改扩建工程</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重庆渝东高速公路有限公</w:t>
      </w:r>
      <w:bookmarkStart w:id="2" w:name="_GoBack"/>
      <w:bookmarkEnd w:id="2"/>
      <w:r>
        <w:rPr>
          <w:rFonts w:hint="eastAsia" w:ascii="方正仿宋_GBK" w:eastAsia="方正仿宋_GBK"/>
          <w:sz w:val="32"/>
          <w:szCs w:val="32"/>
          <w:lang w:eastAsia="zh-CN"/>
        </w:rPr>
        <w:t>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G50沪渝高速垫江至长寿段改扩建工程</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2020-500000-48-01-152543</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G50沪渝高速垫江至长寿段改扩建工程</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（一）方案编制依据的法律法规、部委规章、规范性文件、规范标准和技术文件及资料采用基本正确。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（二）同意方案设计水平年为2029年。</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（三）同意水土流失防治责任范围界定，水土流失防治责任范围面积为460.09hm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，其中：垫江县124.62hm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、长寿区335.47hm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adjustRightInd w:val="0"/>
        <w:snapToGrid w:val="0"/>
        <w:spacing w:line="600" w:lineRule="exact"/>
        <w:ind w:firstLine="645"/>
        <w:rPr>
          <w:rFonts w:ascii="Times New Roman" w:hAnsi="Times New Roman" w:eastAsia="方正仿宋_GBK"/>
          <w:bCs/>
          <w:color w:val="auto"/>
          <w:sz w:val="32"/>
          <w:szCs w:val="32"/>
          <w:lang w:bidi="ar"/>
        </w:rPr>
      </w:pPr>
      <w:r>
        <w:rPr>
          <w:rFonts w:hint="eastAsia" w:ascii="Times New Roman" w:hAnsi="Times New Roman" w:eastAsia="方正仿宋_GBK"/>
          <w:bCs/>
          <w:color w:val="auto"/>
          <w:sz w:val="32"/>
          <w:szCs w:val="32"/>
          <w:lang w:bidi="ar"/>
        </w:rPr>
        <w:t>水土保持方案工程静态总投资30351.87万元，其中：主体已列22358.52万元，方案新增7993.35万元（工程措施3884.48万元，植物措施575.10万元，监测措施239.68万元，施工临时措施1361.61万元，独立费用872.36万元，基本预备费415.99万元，水土保持补偿费644.126万元）。</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三同时</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制度。</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snapToGrid w:val="0"/>
          <w:color w:val="auto"/>
          <w:kern w:val="0"/>
          <w:sz w:val="32"/>
          <w:szCs w:val="32"/>
        </w:rPr>
        <w:t>（七）</w:t>
      </w:r>
      <w:r>
        <w:rPr>
          <w:rFonts w:hint="eastAsia" w:ascii="Times New Roman" w:hAnsi="Times New Roman" w:eastAsia="方正仿宋_GBK"/>
          <w:snapToGrid w:val="0"/>
          <w:color w:val="auto"/>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color w:val="auto"/>
          <w:kern w:val="0"/>
          <w:sz w:val="32"/>
          <w:szCs w:val="32"/>
          <w:lang w:eastAsia="zh-CN"/>
        </w:rPr>
        <w:t>《生产建设项目水土保持方案管理办法》（</w:t>
      </w:r>
      <w:r>
        <w:rPr>
          <w:rFonts w:hint="eastAsia" w:ascii="Times New Roman" w:hAnsi="Times New Roman" w:eastAsia="方正仿宋_GBK"/>
          <w:snapToGrid w:val="0"/>
          <w:color w:val="auto"/>
          <w:kern w:val="0"/>
          <w:sz w:val="32"/>
          <w:szCs w:val="32"/>
        </w:rPr>
        <w:t>水利部</w:t>
      </w:r>
      <w:r>
        <w:rPr>
          <w:rFonts w:hint="eastAsia" w:ascii="Times New Roman" w:hAnsi="Times New Roman" w:eastAsia="方正仿宋_GBK"/>
          <w:snapToGrid w:val="0"/>
          <w:color w:val="auto"/>
          <w:kern w:val="0"/>
          <w:sz w:val="32"/>
          <w:szCs w:val="32"/>
          <w:lang w:eastAsia="zh-CN"/>
        </w:rPr>
        <w:t>令</w:t>
      </w:r>
      <w:r>
        <w:rPr>
          <w:rFonts w:hint="eastAsia" w:ascii="Times New Roman" w:hAnsi="Times New Roman" w:eastAsia="方正仿宋_GBK"/>
          <w:snapToGrid w:val="0"/>
          <w:color w:val="auto"/>
          <w:kern w:val="0"/>
          <w:sz w:val="32"/>
          <w:szCs w:val="32"/>
        </w:rPr>
        <w:t>第53号</w:t>
      </w:r>
      <w:r>
        <w:rPr>
          <w:rFonts w:hint="eastAsia" w:ascii="Times New Roman" w:hAnsi="Times New Roman" w:eastAsia="方正仿宋_GBK"/>
          <w:snapToGrid w:val="0"/>
          <w:color w:val="auto"/>
          <w:kern w:val="0"/>
          <w:sz w:val="32"/>
          <w:szCs w:val="32"/>
          <w:lang w:eastAsia="zh-CN"/>
        </w:rPr>
        <w:t>发布）</w:t>
      </w:r>
      <w:r>
        <w:rPr>
          <w:rFonts w:hint="eastAsia" w:ascii="Times New Roman" w:hAnsi="Times New Roman" w:eastAsia="方正仿宋_GBK"/>
          <w:snapToGrid w:val="0"/>
          <w:color w:val="auto"/>
          <w:kern w:val="0"/>
          <w:sz w:val="32"/>
          <w:szCs w:val="32"/>
        </w:rPr>
        <w:t>规定办理。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（九）</w:t>
      </w:r>
      <w:r>
        <w:rPr>
          <w:rFonts w:ascii="Times New Roman" w:hAnsi="Times New Roman" w:eastAsia="方正仿宋_GBK"/>
          <w:color w:val="auto"/>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color w:val="auto"/>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w:t>
      </w:r>
      <w:r>
        <w:rPr>
          <w:rFonts w:hint="eastAsia" w:ascii="Times New Roman" w:hAnsi="Times New Roman" w:eastAsia="方正仿宋_GBK"/>
          <w:snapToGrid w:val="0"/>
          <w:color w:val="auto"/>
          <w:kern w:val="0"/>
          <w:sz w:val="32"/>
          <w:szCs w:val="32"/>
          <w:lang w:eastAsia="zh-CN"/>
        </w:rPr>
        <w:t>水土保持方案自批准之日起满</w:t>
      </w:r>
      <w:r>
        <w:rPr>
          <w:rFonts w:hint="eastAsia" w:ascii="Times New Roman" w:hAnsi="Times New Roman" w:eastAsia="方正仿宋_GBK"/>
          <w:snapToGrid w:val="0"/>
          <w:color w:val="auto"/>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color w:val="auto"/>
          <w:kern w:val="0"/>
          <w:sz w:val="32"/>
          <w:szCs w:val="32"/>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.G50沪渝高速垫江至长寿段改扩建工程</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G50沪渝高速垫江至长寿段改扩建工程</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auto"/>
          <w:kern w:val="0"/>
          <w:sz w:val="32"/>
          <w:szCs w:val="32"/>
        </w:rPr>
      </w:pPr>
    </w:p>
    <w:p>
      <w:pPr>
        <w:pStyle w:val="4"/>
        <w:ind w:left="0" w:leftChars="0" w:firstLine="0" w:firstLineChars="0"/>
        <w:rPr>
          <w:rFonts w:ascii="Times New Roman" w:hAnsi="Times New Roman" w:eastAsia="方正仿宋_GBK"/>
          <w:snapToGrid w:val="0"/>
          <w:color w:val="auto"/>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spacing w:line="594" w:lineRule="exact"/>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pacing w:val="-6"/>
          <w:sz w:val="36"/>
          <w:szCs w:val="36"/>
          <w:lang w:eastAsia="zh-CN"/>
        </w:rPr>
      </w:pP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pacing w:val="-6"/>
          <w:sz w:val="30"/>
          <w:szCs w:val="30"/>
        </w:rPr>
      </w:pPr>
      <w:r>
        <w:rPr>
          <w:rFonts w:hint="eastAsia" w:ascii="Times New Roman" w:hAnsi="Times New Roman" w:eastAsia="方正小标宋_GBK" w:cs="Times New Roman"/>
          <w:b w:val="0"/>
          <w:bCs/>
          <w:color w:val="auto"/>
          <w:spacing w:val="-6"/>
          <w:sz w:val="36"/>
          <w:szCs w:val="36"/>
          <w:lang w:eastAsia="zh-CN"/>
        </w:rPr>
        <w:t>G50沪渝高速垫江至长寿段改扩建工程</w:t>
      </w:r>
      <w:r>
        <w:rPr>
          <w:rFonts w:hint="default" w:ascii="Times New Roman" w:hAnsi="Times New Roman" w:eastAsia="方正小标宋_GBK" w:cs="Times New Roman"/>
          <w:b w:val="0"/>
          <w:bCs/>
          <w:color w:val="auto"/>
          <w:spacing w:val="-6"/>
          <w:sz w:val="36"/>
          <w:szCs w:val="36"/>
        </w:rPr>
        <w:t>水土保持方案特性表</w:t>
      </w:r>
    </w:p>
    <w:tbl>
      <w:tblPr>
        <w:tblStyle w:val="9"/>
        <w:tblW w:w="94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46"/>
        <w:gridCol w:w="1801"/>
        <w:gridCol w:w="301"/>
        <w:gridCol w:w="482"/>
        <w:gridCol w:w="1099"/>
        <w:gridCol w:w="1367"/>
        <w:gridCol w:w="600"/>
        <w:gridCol w:w="1100"/>
        <w:gridCol w:w="13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项目名称</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G50沪渝高速垫江至长寿段改扩建工程</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流域管理机构</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涉及省</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涉及地市或个数</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涉及县或个数</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长寿区、垫江县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项目规模</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主线45.621km</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总投资（万元）</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513430</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土建投资（万元）</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305508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动工时间</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2026年1月</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完工时间</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2028年12月</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设计水平年</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2029年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工程占地（hm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801"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lang w:bidi="zh-CN"/>
              </w:rPr>
            </w:pPr>
            <w:r>
              <w:rPr>
                <w:rFonts w:hint="eastAsia" w:cs="Times New Roman"/>
                <w:color w:val="auto"/>
                <w:szCs w:val="21"/>
                <w:lang w:bidi="zh-CN"/>
              </w:rPr>
              <w:t>460.09</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永久占地（hm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eastAsia" w:cs="Times New Roman"/>
                <w:color w:val="auto"/>
                <w:szCs w:val="21"/>
                <w:lang w:bidi="zh-CN"/>
              </w:rPr>
              <w:t>380.56</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临时占地（hm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eastAsia" w:cs="Times New Roman"/>
                <w:color w:val="auto"/>
                <w:szCs w:val="21"/>
                <w:lang w:bidi="zh-CN"/>
              </w:rPr>
              <w:t>79.53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vMerge w:val="restart"/>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土石方量（万m</w:t>
            </w:r>
            <w:r>
              <w:rPr>
                <w:rFonts w:hint="default" w:ascii="Times New Roman" w:hAnsi="Times New Roman" w:cs="Times New Roman"/>
                <w:color w:val="auto"/>
                <w:kern w:val="0"/>
                <w:szCs w:val="21"/>
                <w:vertAlign w:val="superscript"/>
              </w:rPr>
              <w:t>3</w:t>
            </w:r>
            <w:r>
              <w:rPr>
                <w:rFonts w:hint="default" w:ascii="Times New Roman" w:hAnsi="Times New Roman" w:cs="Times New Roman"/>
                <w:color w:val="auto"/>
                <w:kern w:val="0"/>
                <w:szCs w:val="21"/>
              </w:rPr>
              <w:t>）</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挖方</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填方</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借方</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1882" w:type="dxa"/>
            <w:gridSpan w:val="3"/>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458.87</w:t>
            </w:r>
          </w:p>
        </w:tc>
        <w:tc>
          <w:tcPr>
            <w:tcW w:w="1367" w:type="dxa"/>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387.51</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1324" w:type="dxa"/>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71.36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重点防治区名称</w:t>
            </w:r>
          </w:p>
        </w:tc>
        <w:tc>
          <w:tcPr>
            <w:tcW w:w="6273" w:type="dxa"/>
            <w:gridSpan w:val="7"/>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三峡库区国家级水土流失重点</w:t>
            </w:r>
            <w:r>
              <w:rPr>
                <w:rFonts w:hint="eastAsia" w:cs="Times New Roman"/>
                <w:color w:val="auto"/>
                <w:kern w:val="0"/>
                <w:szCs w:val="21"/>
                <w:lang w:val="en-US" w:eastAsia="zh-CN"/>
              </w:rPr>
              <w:t>治理</w:t>
            </w:r>
            <w:r>
              <w:rPr>
                <w:rFonts w:hint="default" w:ascii="Times New Roman" w:hAnsi="Times New Roman" w:cs="Times New Roman"/>
                <w:color w:val="auto"/>
                <w:kern w:val="0"/>
                <w:szCs w:val="21"/>
              </w:rPr>
              <w:t>区/</w:t>
            </w:r>
          </w:p>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地貌类型</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侵蚀堆积河谷地貌及构造剥蚀丘陵地貌</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水土保持区划</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土壤侵蚀类型</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水力侵蚀</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土壤侵蚀强度</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防治责任范围面积（hm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w:t>
            </w:r>
          </w:p>
        </w:tc>
        <w:tc>
          <w:tcPr>
            <w:tcW w:w="1882" w:type="dxa"/>
            <w:gridSpan w:val="3"/>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kern w:val="0"/>
                <w:szCs w:val="21"/>
                <w:lang w:eastAsia="zh-CN"/>
              </w:rPr>
              <w:t>460.09</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容许土壤流失量〔t/（km</w:t>
            </w:r>
            <w:r>
              <w:rPr>
                <w:rFonts w:hint="default" w:ascii="Times New Roman" w:hAnsi="Times New Roman" w:cs="Times New Roman"/>
                <w:color w:val="auto"/>
                <w:kern w:val="0"/>
                <w:szCs w:val="21"/>
                <w:vertAlign w:val="superscript"/>
              </w:rPr>
              <w:t>2</w:t>
            </w:r>
            <w:r>
              <w:rPr>
                <w:rFonts w:hint="default" w:ascii="Times New Roman" w:hAnsi="Times New Roman" w:cs="Times New Roman"/>
                <w:color w:val="auto"/>
                <w:kern w:val="0"/>
                <w:szCs w:val="21"/>
              </w:rPr>
              <w:t>•a）〕</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土壤流失预测总量（万t）</w:t>
            </w:r>
          </w:p>
        </w:tc>
        <w:tc>
          <w:tcPr>
            <w:tcW w:w="1882" w:type="dxa"/>
            <w:gridSpan w:val="3"/>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szCs w:val="21"/>
                <w:lang w:eastAsia="zh-CN"/>
              </w:rPr>
              <w:t>11.02</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新增土壤流失量（万t）</w:t>
            </w:r>
          </w:p>
        </w:tc>
        <w:tc>
          <w:tcPr>
            <w:tcW w:w="1324" w:type="dxa"/>
            <w:tcBorders>
              <w:tl2br w:val="nil"/>
              <w:tr2bl w:val="nil"/>
            </w:tcBorders>
            <w:noWrap w:val="0"/>
            <w:vAlign w:val="center"/>
          </w:tcPr>
          <w:p>
            <w:pPr>
              <w:pStyle w:val="34"/>
              <w:tabs>
                <w:tab w:val="left" w:pos="3828"/>
              </w:tabs>
              <w:jc w:val="center"/>
              <w:rPr>
                <w:rFonts w:hint="eastAsia" w:ascii="Times New Roman" w:hAnsi="Times New Roman" w:eastAsia="仿宋_GB2312" w:cs="Times New Roman"/>
                <w:color w:val="auto"/>
                <w:kern w:val="0"/>
                <w:szCs w:val="21"/>
                <w:lang w:eastAsia="zh-CN"/>
              </w:rPr>
            </w:pPr>
            <w:r>
              <w:rPr>
                <w:rFonts w:hint="eastAsia" w:cs="Times New Roman"/>
                <w:color w:val="auto"/>
                <w:szCs w:val="21"/>
                <w:lang w:eastAsia="zh-CN"/>
              </w:rPr>
              <w:t>10.04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4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水土流失防治标准执行等级</w:t>
            </w:r>
          </w:p>
        </w:tc>
        <w:tc>
          <w:tcPr>
            <w:tcW w:w="6273" w:type="dxa"/>
            <w:gridSpan w:val="7"/>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西南紫色土区一级标准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restart"/>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w:t>
            </w:r>
          </w:p>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指标</w:t>
            </w:r>
          </w:p>
        </w:tc>
        <w:tc>
          <w:tcPr>
            <w:tcW w:w="2447"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水土流失治理度（%）</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97</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土壤流失控制比</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2447"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渣土挡护率（%）</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92</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表土保护率（%）</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2447"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林草植被恢复率（%）</w:t>
            </w:r>
          </w:p>
        </w:tc>
        <w:tc>
          <w:tcPr>
            <w:tcW w:w="1882"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97</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林草覆盖率（%）</w:t>
            </w:r>
          </w:p>
        </w:tc>
        <w:tc>
          <w:tcPr>
            <w:tcW w:w="1324"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restart"/>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防治措施及工程量</w:t>
            </w: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防治分区</w:t>
            </w:r>
          </w:p>
        </w:tc>
        <w:tc>
          <w:tcPr>
            <w:tcW w:w="258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工程措施</w:t>
            </w:r>
          </w:p>
        </w:tc>
        <w:tc>
          <w:tcPr>
            <w:tcW w:w="3066"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植物措施</w:t>
            </w:r>
          </w:p>
        </w:tc>
        <w:tc>
          <w:tcPr>
            <w:tcW w:w="2424"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路基工程防治区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排水沟41336m，边沟29586m，截水沟11045m，急流槽4589m，拱形骨架护坡</w:t>
            </w:r>
            <w:r>
              <w:rPr>
                <w:rFonts w:hint="eastAsia" w:cs="Times New Roman"/>
                <w:color w:val="auto"/>
                <w:szCs w:val="21"/>
                <w:lang w:eastAsia="zh-CN"/>
              </w:rPr>
              <w:t>24435</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，锚杆（索）格梁</w:t>
            </w:r>
            <w:r>
              <w:rPr>
                <w:rFonts w:hint="eastAsia" w:cs="Times New Roman"/>
                <w:color w:val="auto"/>
                <w:szCs w:val="21"/>
                <w:lang w:eastAsia="zh-CN"/>
              </w:rPr>
              <w:t>5500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，实心六棱块护坡</w:t>
            </w:r>
            <w:r>
              <w:rPr>
                <w:rFonts w:hint="eastAsia" w:cs="Times New Roman"/>
                <w:color w:val="auto"/>
                <w:szCs w:val="21"/>
                <w:lang w:eastAsia="zh-CN"/>
              </w:rPr>
              <w:t>149</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，衬砌拱护坡22386m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b/>
                <w:bCs/>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4.88</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4.49</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喷播植草</w:t>
            </w:r>
            <w:r>
              <w:rPr>
                <w:rFonts w:hint="eastAsia" w:cs="Times New Roman"/>
                <w:color w:val="auto"/>
                <w:szCs w:val="21"/>
                <w:lang w:eastAsia="zh-CN"/>
              </w:rPr>
              <w:t>33570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，三维网喷播植草</w:t>
            </w:r>
            <w:r>
              <w:rPr>
                <w:rFonts w:hint="eastAsia" w:cs="Times New Roman"/>
                <w:color w:val="auto"/>
                <w:szCs w:val="21"/>
                <w:lang w:eastAsia="zh-CN"/>
              </w:rPr>
              <w:t>57705</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，挂铁丝网喷混植生基材</w:t>
            </w:r>
            <w:r>
              <w:rPr>
                <w:rFonts w:hint="eastAsia" w:cs="Times New Roman"/>
                <w:color w:val="auto"/>
                <w:szCs w:val="21"/>
                <w:lang w:eastAsia="zh-CN"/>
              </w:rPr>
              <w:t>45976</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，衬砌拱</w:t>
            </w:r>
            <w:r>
              <w:rPr>
                <w:rFonts w:hint="default" w:ascii="Times New Roman" w:hAnsi="Times New Roman" w:cs="Times New Roman"/>
                <w:bCs/>
                <w:color w:val="auto"/>
                <w:szCs w:val="21"/>
                <w:u w:val="none"/>
              </w:rPr>
              <w:t>喷播草灌</w:t>
            </w:r>
            <w:r>
              <w:rPr>
                <w:rFonts w:hint="eastAsia" w:cs="Times New Roman"/>
                <w:color w:val="auto"/>
                <w:szCs w:val="21"/>
                <w:lang w:eastAsia="zh-CN"/>
              </w:rPr>
              <w:t>128823</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，框架内挂铁丝网喷播基材植草61126m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，实心六棱块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w:t>
            </w:r>
            <w:r>
              <w:rPr>
                <w:rFonts w:hint="eastAsia" w:cs="Times New Roman"/>
                <w:color w:val="auto"/>
                <w:szCs w:val="21"/>
                <w:lang w:eastAsia="zh-CN"/>
              </w:rPr>
              <w:t>452</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，拱形骨架植草</w:t>
            </w:r>
            <w:r>
              <w:rPr>
                <w:rFonts w:hint="eastAsia" w:cs="Times New Roman"/>
                <w:color w:val="auto"/>
                <w:szCs w:val="21"/>
                <w:lang w:eastAsia="zh-CN"/>
              </w:rPr>
              <w:t>16598</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、植生袋</w:t>
            </w:r>
            <w:r>
              <w:rPr>
                <w:rFonts w:hint="eastAsia" w:cs="Times New Roman"/>
                <w:color w:val="auto"/>
                <w:szCs w:val="21"/>
                <w:lang w:eastAsia="zh-CN"/>
              </w:rPr>
              <w:t>76902</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，撒播草灌</w:t>
            </w:r>
            <w:r>
              <w:rPr>
                <w:rFonts w:hint="eastAsia" w:cs="Times New Roman"/>
                <w:color w:val="auto"/>
                <w:szCs w:val="21"/>
                <w:lang w:eastAsia="zh-CN"/>
              </w:rPr>
              <w:t>12799</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，三角梅8055株，栾树88株，杜英118株，撒播狗牙根</w:t>
            </w:r>
            <w:r>
              <w:rPr>
                <w:rFonts w:hint="eastAsia" w:cs="Times New Roman"/>
                <w:color w:val="auto"/>
                <w:szCs w:val="21"/>
                <w:lang w:eastAsia="zh-CN"/>
              </w:rPr>
              <w:t>9229</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临时排水沟70922m，临时沉砂池30座，临时拦挡1</w:t>
            </w:r>
            <w:r>
              <w:rPr>
                <w:rFonts w:hint="eastAsia" w:cs="Times New Roman"/>
                <w:color w:val="auto"/>
                <w:szCs w:val="21"/>
                <w:lang w:val="en-US" w:eastAsia="zh-CN"/>
              </w:rPr>
              <w:t>0113</w:t>
            </w:r>
            <w:r>
              <w:rPr>
                <w:rFonts w:hint="default" w:ascii="Times New Roman" w:hAnsi="Times New Roman" w:cs="Times New Roman"/>
                <w:color w:val="auto"/>
                <w:szCs w:val="21"/>
              </w:rPr>
              <w:t>m，临时苫盖28.46hm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桥梁工程防治区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eastAsia="zh-CN"/>
              </w:rPr>
              <w:t>0.32</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，表土回填0.</w:t>
            </w:r>
            <w:r>
              <w:rPr>
                <w:rFonts w:hint="eastAsia" w:cs="Times New Roman"/>
                <w:color w:val="auto"/>
                <w:szCs w:val="21"/>
                <w:lang w:val="en-US" w:eastAsia="zh-CN"/>
              </w:rPr>
              <w:t>13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eastAsia" w:cs="Times New Roman"/>
                <w:color w:val="auto"/>
                <w:szCs w:val="21"/>
                <w:lang w:val="en-US" w:eastAsia="zh-CN"/>
              </w:rPr>
              <w:t>场地平整1.33</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撒播草籽</w:t>
            </w:r>
            <w:r>
              <w:rPr>
                <w:rFonts w:hint="eastAsia" w:cs="Times New Roman"/>
                <w:color w:val="auto"/>
                <w:szCs w:val="21"/>
                <w:lang w:eastAsia="zh-CN"/>
              </w:rPr>
              <w:t>1.53</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eastAsia" w:ascii="Times New Roman" w:hAnsi="Times New Roman" w:eastAsia="仿宋_GB2312" w:cs="Times New Roman"/>
                <w:color w:val="auto"/>
                <w:kern w:val="0"/>
                <w:szCs w:val="21"/>
                <w:vertAlign w:val="baseline"/>
                <w:lang w:val="en-US" w:eastAsia="zh-CN"/>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临时沉砂池47座，</w:t>
            </w:r>
            <w:r>
              <w:rPr>
                <w:rFonts w:hint="eastAsia" w:cs="Times New Roman"/>
                <w:color w:val="auto"/>
                <w:szCs w:val="21"/>
                <w:lang w:eastAsia="zh-CN"/>
              </w:rPr>
              <w:t>泥浆晾晒池</w:t>
            </w:r>
            <w:r>
              <w:rPr>
                <w:rFonts w:hint="default" w:ascii="Times New Roman" w:hAnsi="Times New Roman" w:cs="Times New Roman"/>
                <w:color w:val="auto"/>
                <w:szCs w:val="21"/>
              </w:rPr>
              <w:t>32</w:t>
            </w:r>
            <w:r>
              <w:rPr>
                <w:rFonts w:hint="eastAsia" w:cs="Times New Roman"/>
                <w:color w:val="auto"/>
                <w:szCs w:val="21"/>
                <w:lang w:val="en-US" w:eastAsia="zh-CN"/>
              </w:rPr>
              <w:t>处</w:t>
            </w:r>
            <w:r>
              <w:rPr>
                <w:rFonts w:hint="default" w:ascii="Times New Roman" w:hAnsi="Times New Roman" w:cs="Times New Roman"/>
                <w:color w:val="auto"/>
                <w:szCs w:val="21"/>
              </w:rPr>
              <w:t>，</w:t>
            </w:r>
            <w:r>
              <w:rPr>
                <w:rFonts w:hint="eastAsia" w:cs="Times New Roman"/>
                <w:color w:val="auto"/>
                <w:szCs w:val="21"/>
                <w:lang w:val="en-US" w:eastAsia="zh-CN"/>
              </w:rPr>
              <w:t>临时排水沟200m，</w:t>
            </w:r>
            <w:r>
              <w:rPr>
                <w:rFonts w:hint="default" w:ascii="Times New Roman" w:hAnsi="Times New Roman" w:cs="Times New Roman"/>
                <w:color w:val="auto"/>
                <w:szCs w:val="21"/>
              </w:rPr>
              <w:t>临时拦挡980m，临时苫盖2.22hm</w:t>
            </w:r>
            <w:r>
              <w:rPr>
                <w:rFonts w:hint="default" w:ascii="Times New Roman" w:hAnsi="Times New Roman" w:cs="Times New Roman"/>
                <w:color w:val="auto"/>
                <w:szCs w:val="21"/>
                <w:vertAlign w:val="superscript"/>
              </w:rPr>
              <w:t>2</w:t>
            </w:r>
            <w:r>
              <w:rPr>
                <w:rFonts w:hint="eastAsia" w:cs="Times New Roman"/>
                <w:color w:val="auto"/>
                <w:szCs w:val="21"/>
                <w:vertAlign w:val="superscript"/>
                <w:lang w:val="en-US" w:eastAsia="zh"/>
              </w:rPr>
              <w:t xml:space="preserve"> </w:t>
            </w:r>
            <w:r>
              <w:rPr>
                <w:rFonts w:hint="eastAsia" w:cs="Times New Roman"/>
                <w:color w:val="auto"/>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互通立交</w:t>
            </w:r>
            <w:r>
              <w:rPr>
                <w:rFonts w:hint="default" w:ascii="Times New Roman" w:hAnsi="Times New Roman" w:cs="Times New Roman"/>
                <w:color w:val="auto"/>
                <w:kern w:val="0"/>
                <w:szCs w:val="21"/>
              </w:rPr>
              <w:t>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w:t>
            </w:r>
            <w:r>
              <w:rPr>
                <w:rFonts w:hint="eastAsia" w:cs="Times New Roman"/>
                <w:color w:val="auto"/>
                <w:szCs w:val="21"/>
                <w:lang w:eastAsia="zh-CN"/>
              </w:rPr>
              <w:t>37999</w:t>
            </w:r>
            <w:r>
              <w:rPr>
                <w:rFonts w:hint="default" w:ascii="Times New Roman" w:hAnsi="Times New Roman" w:cs="Times New Roman"/>
                <w:color w:val="auto"/>
                <w:szCs w:val="21"/>
              </w:rPr>
              <w:t>m，边沟</w:t>
            </w:r>
            <w:r>
              <w:rPr>
                <w:rFonts w:hint="eastAsia" w:cs="Times New Roman"/>
                <w:color w:val="auto"/>
                <w:szCs w:val="21"/>
                <w:lang w:eastAsia="zh-CN"/>
              </w:rPr>
              <w:t>20951</w:t>
            </w:r>
            <w:r>
              <w:rPr>
                <w:rFonts w:hint="default" w:ascii="Times New Roman" w:hAnsi="Times New Roman" w:cs="Times New Roman"/>
                <w:color w:val="auto"/>
                <w:szCs w:val="21"/>
              </w:rPr>
              <w:t>m，截水沟4313m，急流槽</w:t>
            </w:r>
            <w:r>
              <w:rPr>
                <w:rFonts w:hint="eastAsia" w:cs="Times New Roman"/>
                <w:color w:val="auto"/>
                <w:szCs w:val="21"/>
                <w:lang w:eastAsia="zh-CN"/>
              </w:rPr>
              <w:t>2035</w:t>
            </w:r>
            <w:r>
              <w:rPr>
                <w:rFonts w:hint="default" w:ascii="Times New Roman" w:hAnsi="Times New Roman" w:cs="Times New Roman"/>
                <w:color w:val="auto"/>
                <w:szCs w:val="21"/>
              </w:rPr>
              <w:t>m，拱形骨架护坡10270m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，锚杆（索）格梁406m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，实心六棱块护坡232m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，空心六棱块护坡150m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，衬砌拱护坡13049m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8.03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7.89</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喷播植草63553m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，三维网喷播植草46623m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，挂铁丝网喷混植生基材10144m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，框架内挂铁丝网喷播基材植草4976m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，衬砌拱</w:t>
            </w:r>
            <w:r>
              <w:rPr>
                <w:rFonts w:hint="default" w:ascii="Times New Roman" w:hAnsi="Times New Roman" w:cs="Times New Roman"/>
                <w:bCs/>
                <w:color w:val="auto"/>
                <w:szCs w:val="21"/>
                <w:u w:val="none"/>
              </w:rPr>
              <w:t>喷播草灌</w:t>
            </w:r>
            <w:r>
              <w:rPr>
                <w:rFonts w:hint="default" w:ascii="Times New Roman" w:hAnsi="Times New Roman" w:cs="Times New Roman"/>
                <w:color w:val="auto"/>
                <w:szCs w:val="21"/>
              </w:rPr>
              <w:t>81337m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、香樟885株、夹竹桃495株，实心六棱块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植草182m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，空心六棱块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植草1072m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，拱形骨架植生袋46498m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，撒播草灌10105m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，三角梅7218株，黄葛树183株，重阳木242株，杜英265株，天竺桂466株，刺槐469株，栾树291株，美人梅614株，紫叶李602株，日本晚樱599株，木芙蓉株267株，撒播狗牙根171444m。</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临时排水沟58949m，临时沉砂池32座，临时拦挡2850m，临时苫盖27.98hm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沿线设施防治区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w:t>
            </w:r>
            <w:r>
              <w:rPr>
                <w:rFonts w:hint="eastAsia" w:cs="Times New Roman"/>
                <w:color w:val="auto"/>
                <w:szCs w:val="21"/>
                <w:lang w:eastAsia="zh-CN"/>
              </w:rPr>
              <w:t>5972</w:t>
            </w:r>
            <w:r>
              <w:rPr>
                <w:rFonts w:hint="default" w:ascii="Times New Roman" w:hAnsi="Times New Roman" w:cs="Times New Roman"/>
                <w:color w:val="auto"/>
                <w:szCs w:val="21"/>
              </w:rPr>
              <w:t>m，边沟</w:t>
            </w:r>
            <w:r>
              <w:rPr>
                <w:rFonts w:hint="eastAsia" w:cs="Times New Roman"/>
                <w:color w:val="auto"/>
                <w:szCs w:val="21"/>
                <w:lang w:eastAsia="zh-CN"/>
              </w:rPr>
              <w:t>4510</w:t>
            </w:r>
            <w:r>
              <w:rPr>
                <w:rFonts w:hint="default" w:ascii="Times New Roman" w:hAnsi="Times New Roman" w:cs="Times New Roman"/>
                <w:color w:val="auto"/>
                <w:szCs w:val="21"/>
              </w:rPr>
              <w:t>m，截水沟251m，急流槽150m，拱形骨架护坡</w:t>
            </w:r>
            <w:r>
              <w:rPr>
                <w:rFonts w:hint="eastAsia" w:cs="Times New Roman"/>
                <w:color w:val="auto"/>
                <w:szCs w:val="21"/>
                <w:lang w:eastAsia="zh-CN"/>
              </w:rPr>
              <w:t>2961</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，锚杆（索）格梁</w:t>
            </w:r>
            <w:r>
              <w:rPr>
                <w:rFonts w:hint="eastAsia" w:cs="Times New Roman"/>
                <w:color w:val="auto"/>
                <w:szCs w:val="21"/>
                <w:lang w:eastAsia="zh-CN"/>
              </w:rPr>
              <w:t>146</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，实心六棱块护坡8m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，衬砌拱护坡1067m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2.22</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2.90</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bookmarkStart w:id="0" w:name="OLE_LINK10"/>
            <w:bookmarkStart w:id="1" w:name="OLE_LINK7"/>
            <w:r>
              <w:rPr>
                <w:rFonts w:hint="default" w:ascii="Times New Roman" w:hAnsi="Times New Roman" w:cs="Times New Roman"/>
                <w:b/>
                <w:bCs/>
                <w:color w:val="auto"/>
                <w:szCs w:val="21"/>
              </w:rPr>
              <w:t>主体设计：</w:t>
            </w:r>
            <w:bookmarkEnd w:id="0"/>
            <w:bookmarkEnd w:id="1"/>
            <w:r>
              <w:rPr>
                <w:rFonts w:hint="default" w:ascii="Times New Roman" w:hAnsi="Times New Roman" w:cs="Times New Roman"/>
                <w:color w:val="auto"/>
                <w:szCs w:val="21"/>
              </w:rPr>
              <w:t>喷播植草9970m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，三维网喷播植草</w:t>
            </w:r>
            <w:r>
              <w:rPr>
                <w:rFonts w:hint="eastAsia" w:cs="Times New Roman"/>
                <w:color w:val="auto"/>
                <w:szCs w:val="21"/>
                <w:lang w:eastAsia="zh-CN"/>
              </w:rPr>
              <w:t>8557</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，挂铁丝网喷混植生基材559m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，框架内挂铁丝网喷播基材植草1642m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，衬砌拱</w:t>
            </w:r>
            <w:r>
              <w:rPr>
                <w:rFonts w:hint="default" w:ascii="Times New Roman" w:hAnsi="Times New Roman" w:cs="Times New Roman"/>
                <w:bCs/>
                <w:color w:val="auto"/>
                <w:szCs w:val="21"/>
                <w:u w:val="none"/>
              </w:rPr>
              <w:t>喷播草灌</w:t>
            </w:r>
            <w:r>
              <w:rPr>
                <w:rFonts w:hint="default" w:ascii="Times New Roman" w:hAnsi="Times New Roman" w:cs="Times New Roman"/>
                <w:color w:val="auto"/>
                <w:szCs w:val="21"/>
              </w:rPr>
              <w:t>5140m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、夹竹桃147株，实心六棱块</w:t>
            </w:r>
            <w:r>
              <w:rPr>
                <w:rFonts w:hint="default" w:ascii="Times New Roman" w:hAnsi="Times New Roman" w:cs="Times New Roman"/>
                <w:bCs/>
                <w:color w:val="auto"/>
                <w:kern w:val="0"/>
                <w:szCs w:val="21"/>
              </w:rPr>
              <w:t>喷播</w:t>
            </w:r>
            <w:r>
              <w:rPr>
                <w:rFonts w:hint="default" w:ascii="Times New Roman" w:hAnsi="Times New Roman" w:cs="Times New Roman"/>
                <w:color w:val="auto"/>
                <w:szCs w:val="21"/>
              </w:rPr>
              <w:t>植草28m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，拱形骨架植生袋13160m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，撒播草灌10406m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，香樟178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、银杏178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、栾树148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、杜英49株、桂花340</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、广玉兰221</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、杨梅187</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、日本晚樱444</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、紫叶李344</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、紫薇434</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、毛叶杜鹃268</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、金森女贞球370</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、红叶石楠442</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、三角梅1935</w:t>
            </w:r>
            <w:r>
              <w:rPr>
                <w:rFonts w:hint="default" w:ascii="Times New Roman" w:hAnsi="Times New Roman" w:cs="Times New Roman"/>
                <w:color w:val="auto"/>
                <w:spacing w:val="-6"/>
                <w:szCs w:val="21"/>
              </w:rPr>
              <w:t>株</w:t>
            </w:r>
            <w:r>
              <w:rPr>
                <w:rFonts w:hint="default" w:ascii="Times New Roman" w:hAnsi="Times New Roman" w:cs="Times New Roman"/>
                <w:color w:val="auto"/>
                <w:szCs w:val="21"/>
              </w:rPr>
              <w:t>、金边大叶黄杨1955m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、红叶石楠2177m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、夏鹃13934m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、金森女贞866 m</w:t>
            </w:r>
            <w:r>
              <w:rPr>
                <w:rFonts w:hint="default" w:ascii="Times New Roman" w:hAnsi="Times New Roman" w:cs="Times New Roman"/>
                <w:color w:val="auto"/>
                <w:szCs w:val="21"/>
                <w:vertAlign w:val="superscript"/>
              </w:rPr>
              <w:t>2</w:t>
            </w:r>
            <w:r>
              <w:rPr>
                <w:rFonts w:hint="default" w:ascii="Times New Roman" w:hAnsi="Times New Roman" w:cs="Times New Roman"/>
                <w:color w:val="auto"/>
                <w:spacing w:val="-6"/>
                <w:szCs w:val="21"/>
              </w:rPr>
              <w:t>、</w:t>
            </w:r>
            <w:r>
              <w:rPr>
                <w:rFonts w:hint="default" w:ascii="Times New Roman" w:hAnsi="Times New Roman" w:cs="Times New Roman"/>
                <w:color w:val="auto"/>
                <w:szCs w:val="21"/>
              </w:rPr>
              <w:t>铺草皮51439m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，撒播狗牙根2183m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临时排水沟10482m、临时沉砂池12座、临时拦挡1250m、临时苫盖3.91hm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改移工程防治区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排水沟24496m。</w:t>
            </w:r>
          </w:p>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7.02</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，复耕0.20hm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，场地平整0.35hm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，表土回填1.</w:t>
            </w:r>
            <w:r>
              <w:rPr>
                <w:rFonts w:hint="eastAsia" w:cs="Times New Roman"/>
                <w:color w:val="auto"/>
                <w:szCs w:val="21"/>
                <w:lang w:val="en-US" w:eastAsia="zh-CN"/>
              </w:rPr>
              <w:t>67</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b/>
                <w:bCs/>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喷播植草</w:t>
            </w:r>
            <w:r>
              <w:rPr>
                <w:rFonts w:hint="default" w:ascii="Times New Roman" w:hAnsi="Times New Roman" w:cs="Times New Roman"/>
                <w:color w:val="auto"/>
                <w:sz w:val="21"/>
                <w:szCs w:val="21"/>
              </w:rPr>
              <w:t>158001</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b/>
                <w:bCs/>
                <w:color w:val="auto"/>
                <w:szCs w:val="21"/>
              </w:rPr>
              <w:t>。</w:t>
            </w:r>
          </w:p>
          <w:p>
            <w:pPr>
              <w:pStyle w:val="34"/>
              <w:tabs>
                <w:tab w:val="left" w:pos="3828"/>
              </w:tabs>
              <w:jc w:val="left"/>
              <w:rPr>
                <w:rFonts w:hint="eastAsia" w:ascii="Times New Roman" w:hAnsi="Times New Roman" w:eastAsia="仿宋_GB2312" w:cs="Times New Roman"/>
                <w:b/>
                <w:bCs/>
                <w:color w:val="auto"/>
                <w:szCs w:val="21"/>
                <w:lang w:eastAsia="zh-CN"/>
              </w:rPr>
            </w:pPr>
            <w:r>
              <w:rPr>
                <w:rFonts w:hint="default" w:ascii="Times New Roman" w:hAnsi="Times New Roman" w:cs="Times New Roman"/>
                <w:b/>
                <w:bCs/>
                <w:color w:val="auto"/>
                <w:szCs w:val="21"/>
              </w:rPr>
              <w:t>方案新增：</w:t>
            </w:r>
            <w:r>
              <w:rPr>
                <w:rFonts w:hint="eastAsia" w:cs="Times New Roman"/>
                <w:color w:val="auto"/>
                <w:szCs w:val="21"/>
                <w:lang w:val="en-US" w:eastAsia="zh-CN"/>
              </w:rPr>
              <w:t>撒播草籽0.15</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eastAsia" w:cs="Times New Roman"/>
                <w:color w:val="auto"/>
                <w:szCs w:val="21"/>
                <w:lang w:val="en-US" w:eastAsia="zh-CN"/>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临时排水沟24496m，临时拦挡2580m，临时苫盖16.96hm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施工生产生活区防治区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2.63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3.80</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，场地平整14.65hm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，复耕</w:t>
            </w:r>
            <w:r>
              <w:rPr>
                <w:rFonts w:hint="eastAsia" w:cs="Times New Roman"/>
                <w:color w:val="auto"/>
                <w:szCs w:val="21"/>
                <w:lang w:val="en-US" w:eastAsia="zh-CN"/>
              </w:rPr>
              <w:t>6.87</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植乔木</w:t>
            </w:r>
            <w:r>
              <w:rPr>
                <w:rFonts w:hint="eastAsia" w:cs="Times New Roman"/>
                <w:color w:val="auto"/>
                <w:szCs w:val="21"/>
                <w:lang w:eastAsia="zh-CN"/>
              </w:rPr>
              <w:t>3112</w:t>
            </w:r>
            <w:r>
              <w:rPr>
                <w:rFonts w:hint="default" w:ascii="Times New Roman" w:hAnsi="Times New Roman" w:cs="Times New Roman"/>
                <w:color w:val="auto"/>
                <w:szCs w:val="21"/>
              </w:rPr>
              <w:t>株，植灌木</w:t>
            </w:r>
            <w:r>
              <w:rPr>
                <w:rFonts w:hint="eastAsia" w:cs="Times New Roman"/>
                <w:color w:val="auto"/>
                <w:szCs w:val="21"/>
                <w:lang w:eastAsia="zh-CN"/>
              </w:rPr>
              <w:t>8644</w:t>
            </w:r>
            <w:r>
              <w:rPr>
                <w:rFonts w:hint="default" w:ascii="Times New Roman" w:hAnsi="Times New Roman" w:cs="Times New Roman"/>
                <w:color w:val="auto"/>
                <w:szCs w:val="21"/>
              </w:rPr>
              <w:t>株，撒播草籽</w:t>
            </w:r>
            <w:r>
              <w:rPr>
                <w:rFonts w:hint="eastAsia" w:cs="Times New Roman"/>
                <w:color w:val="auto"/>
                <w:szCs w:val="21"/>
                <w:lang w:eastAsia="zh-CN"/>
              </w:rPr>
              <w:t>7.78</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临时沉砂池</w:t>
            </w:r>
            <w:r>
              <w:rPr>
                <w:rFonts w:hint="eastAsia" w:cs="Times New Roman"/>
                <w:color w:val="auto"/>
                <w:szCs w:val="21"/>
                <w:lang w:val="en-US" w:eastAsia="zh-CN"/>
              </w:rPr>
              <w:t>17</w:t>
            </w:r>
            <w:r>
              <w:rPr>
                <w:rFonts w:hint="default" w:ascii="Times New Roman" w:hAnsi="Times New Roman" w:cs="Times New Roman"/>
                <w:color w:val="auto"/>
                <w:szCs w:val="21"/>
              </w:rPr>
              <w:t>座，临时排水沟</w:t>
            </w:r>
            <w:r>
              <w:rPr>
                <w:rFonts w:hint="eastAsia" w:cs="Times New Roman"/>
                <w:color w:val="auto"/>
                <w:szCs w:val="21"/>
                <w:lang w:val="en-US" w:eastAsia="zh-CN"/>
              </w:rPr>
              <w:t>3718</w:t>
            </w:r>
            <w:r>
              <w:rPr>
                <w:rFonts w:hint="default" w:ascii="Times New Roman" w:hAnsi="Times New Roman" w:cs="Times New Roman"/>
                <w:color w:val="auto"/>
                <w:szCs w:val="21"/>
              </w:rPr>
              <w:t>m，临时苫盖2.30hm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施工便道防治区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排水沟</w:t>
            </w:r>
            <w:r>
              <w:rPr>
                <w:rFonts w:hint="eastAsia" w:cs="Times New Roman"/>
                <w:color w:val="auto"/>
                <w:szCs w:val="21"/>
                <w:lang w:val="en-US" w:eastAsia="zh-CN"/>
              </w:rPr>
              <w:t>6574</w:t>
            </w:r>
            <w:r>
              <w:rPr>
                <w:rFonts w:hint="default" w:ascii="Times New Roman" w:hAnsi="Times New Roman" w:cs="Times New Roman"/>
                <w:color w:val="auto"/>
                <w:szCs w:val="21"/>
              </w:rPr>
              <w:t>m。</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排水沟46010m，表土剥离</w:t>
            </w:r>
            <w:r>
              <w:rPr>
                <w:rFonts w:hint="eastAsia" w:cs="Times New Roman"/>
                <w:color w:val="auto"/>
                <w:szCs w:val="21"/>
                <w:lang w:val="en-US" w:eastAsia="zh-CN"/>
              </w:rPr>
              <w:t>7.43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，表土回填</w:t>
            </w:r>
            <w:r>
              <w:rPr>
                <w:rFonts w:hint="eastAsia" w:cs="Times New Roman"/>
                <w:color w:val="auto"/>
                <w:szCs w:val="21"/>
                <w:lang w:val="en-US" w:eastAsia="zh-CN"/>
              </w:rPr>
              <w:t>10.83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eastAsia" w:cs="Times New Roman"/>
                <w:color w:val="auto"/>
                <w:szCs w:val="21"/>
                <w:lang w:val="en-US" w:eastAsia="zh-CN"/>
              </w:rPr>
              <w:t>场地平整42.34hm</w:t>
            </w:r>
            <w:r>
              <w:rPr>
                <w:rFonts w:hint="eastAsia" w:cs="Times New Roman"/>
                <w:color w:val="auto"/>
                <w:szCs w:val="21"/>
                <w:vertAlign w:val="superscript"/>
                <w:lang w:val="en-US" w:eastAsia="zh-CN"/>
              </w:rPr>
              <w:t>2</w:t>
            </w:r>
            <w:r>
              <w:rPr>
                <w:rFonts w:hint="eastAsia" w:cs="Times New Roman"/>
                <w:color w:val="auto"/>
                <w:szCs w:val="21"/>
                <w:vertAlign w:val="baseline"/>
                <w:lang w:val="en-US" w:eastAsia="zh-CN"/>
              </w:rPr>
              <w:t>，</w:t>
            </w:r>
            <w:r>
              <w:rPr>
                <w:rFonts w:hint="default" w:ascii="Times New Roman" w:hAnsi="Times New Roman" w:cs="Times New Roman"/>
                <w:color w:val="auto"/>
                <w:szCs w:val="21"/>
              </w:rPr>
              <w:t>复耕17.</w:t>
            </w:r>
            <w:r>
              <w:rPr>
                <w:rFonts w:hint="eastAsia" w:cs="Times New Roman"/>
                <w:color w:val="auto"/>
                <w:szCs w:val="21"/>
                <w:lang w:val="en-US" w:eastAsia="zh-CN"/>
              </w:rPr>
              <w:t>00</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三维网喷播植草</w:t>
            </w:r>
            <w:r>
              <w:rPr>
                <w:rFonts w:hint="eastAsia" w:cs="Times New Roman"/>
                <w:color w:val="auto"/>
                <w:szCs w:val="21"/>
                <w:lang w:val="en-US" w:eastAsia="zh-CN"/>
              </w:rPr>
              <w:t>66374</w:t>
            </w:r>
            <w:r>
              <w:rPr>
                <w:rFonts w:hint="default" w:ascii="Times New Roman" w:hAnsi="Times New Roman" w:cs="Times New Roman"/>
                <w:color w:val="auto"/>
                <w:szCs w:val="21"/>
              </w:rPr>
              <w:t>m</w:t>
            </w:r>
            <w:r>
              <w:rPr>
                <w:rFonts w:hint="eastAsia" w:cs="Times New Roman"/>
                <w:color w:val="auto"/>
                <w:szCs w:val="21"/>
                <w:vertAlign w:val="superscript"/>
                <w:lang w:val="en-US" w:eastAsia="zh-CN"/>
              </w:rPr>
              <w:t>2</w:t>
            </w:r>
            <w:r>
              <w:rPr>
                <w:rFonts w:hint="default" w:ascii="Times New Roman" w:hAnsi="Times New Roman" w:cs="Times New Roman"/>
                <w:color w:val="auto"/>
                <w:szCs w:val="21"/>
              </w:rPr>
              <w:t>。</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喷播植草9.27hm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，植乔木</w:t>
            </w:r>
            <w:r>
              <w:rPr>
                <w:rFonts w:hint="eastAsia" w:cs="Times New Roman"/>
                <w:color w:val="auto"/>
                <w:szCs w:val="21"/>
                <w:lang w:eastAsia="zh-CN"/>
              </w:rPr>
              <w:t>10136</w:t>
            </w:r>
            <w:r>
              <w:rPr>
                <w:rFonts w:hint="default" w:ascii="Times New Roman" w:hAnsi="Times New Roman" w:cs="Times New Roman"/>
                <w:color w:val="auto"/>
                <w:szCs w:val="21"/>
              </w:rPr>
              <w:t>株，植灌木</w:t>
            </w:r>
            <w:r>
              <w:rPr>
                <w:rFonts w:hint="eastAsia" w:cs="Times New Roman"/>
                <w:color w:val="auto"/>
                <w:szCs w:val="21"/>
                <w:lang w:eastAsia="zh-CN"/>
              </w:rPr>
              <w:t>63350</w:t>
            </w:r>
            <w:r>
              <w:rPr>
                <w:rFonts w:hint="default" w:ascii="Times New Roman" w:hAnsi="Times New Roman" w:cs="Times New Roman"/>
                <w:color w:val="auto"/>
                <w:szCs w:val="21"/>
              </w:rPr>
              <w:t>株，撒播草籽</w:t>
            </w:r>
            <w:r>
              <w:rPr>
                <w:rFonts w:hint="eastAsia" w:cs="Times New Roman"/>
                <w:color w:val="auto"/>
                <w:szCs w:val="21"/>
                <w:lang w:eastAsia="zh-CN"/>
              </w:rPr>
              <w:t>25.34</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临时拦挡5896m，临时苫盖23.72hm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，临时沉砂池46座。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弃渣场防治区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挡渣墙205m，截水沟4706m，排水盲沟</w:t>
            </w:r>
            <w:r>
              <w:rPr>
                <w:rFonts w:hint="eastAsia" w:cs="Times New Roman"/>
                <w:color w:val="auto"/>
                <w:szCs w:val="21"/>
                <w:lang w:eastAsia="zh-CN"/>
              </w:rPr>
              <w:t>1521</w:t>
            </w:r>
            <w:r>
              <w:rPr>
                <w:rFonts w:hint="default" w:ascii="Times New Roman" w:hAnsi="Times New Roman" w:cs="Times New Roman"/>
                <w:color w:val="auto"/>
                <w:szCs w:val="21"/>
              </w:rPr>
              <w:t>m，平台排水沟7</w:t>
            </w:r>
            <w:r>
              <w:rPr>
                <w:rFonts w:hint="eastAsia" w:cs="Times New Roman"/>
                <w:color w:val="auto"/>
                <w:szCs w:val="21"/>
                <w:lang w:val="en-US" w:eastAsia="zh-CN"/>
              </w:rPr>
              <w:t>35</w:t>
            </w:r>
            <w:r>
              <w:rPr>
                <w:rFonts w:hint="default" w:ascii="Times New Roman" w:hAnsi="Times New Roman" w:cs="Times New Roman"/>
                <w:color w:val="auto"/>
                <w:szCs w:val="21"/>
              </w:rPr>
              <w:t>m，复耕1.36hm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，沉砂池12座。</w:t>
            </w:r>
          </w:p>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表土剥离</w:t>
            </w:r>
            <w:r>
              <w:rPr>
                <w:rFonts w:hint="eastAsia" w:cs="Times New Roman"/>
                <w:color w:val="auto"/>
                <w:szCs w:val="21"/>
                <w:lang w:val="en-US" w:eastAsia="zh-CN"/>
              </w:rPr>
              <w:t>2.03</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eastAsia" w:cs="Times New Roman"/>
                <w:color w:val="auto"/>
                <w:szCs w:val="21"/>
                <w:lang w:val="en-US" w:eastAsia="zh-CN"/>
              </w:rPr>
              <w:t>场地平整10.55hm</w:t>
            </w:r>
            <w:r>
              <w:rPr>
                <w:rFonts w:hint="eastAsia" w:cs="Times New Roman"/>
                <w:color w:val="auto"/>
                <w:szCs w:val="21"/>
                <w:vertAlign w:val="superscript"/>
                <w:lang w:val="en-US" w:eastAsia="zh-CN"/>
              </w:rPr>
              <w:t>2</w:t>
            </w:r>
            <w:r>
              <w:rPr>
                <w:rFonts w:hint="eastAsia" w:cs="Times New Roman"/>
                <w:color w:val="auto"/>
                <w:szCs w:val="21"/>
                <w:vertAlign w:val="baseline"/>
                <w:lang w:val="en-US" w:eastAsia="zh-CN"/>
              </w:rPr>
              <w:t>，</w:t>
            </w:r>
            <w:r>
              <w:rPr>
                <w:rFonts w:hint="default" w:ascii="Times New Roman" w:hAnsi="Times New Roman" w:cs="Times New Roman"/>
                <w:color w:val="auto"/>
                <w:szCs w:val="21"/>
              </w:rPr>
              <w:t>表土回填</w:t>
            </w:r>
            <w:r>
              <w:rPr>
                <w:rFonts w:hint="eastAsia" w:cs="Times New Roman"/>
                <w:color w:val="auto"/>
                <w:szCs w:val="21"/>
                <w:lang w:val="en-US" w:eastAsia="zh-CN"/>
              </w:rPr>
              <w:t>2.85</w:t>
            </w:r>
            <w:r>
              <w:rPr>
                <w:rFonts w:hint="default" w:ascii="Times New Roman" w:hAnsi="Times New Roman" w:cs="Times New Roman"/>
                <w:color w:val="auto"/>
                <w:szCs w:val="21"/>
              </w:rPr>
              <w:t>万m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vertAlign w:val="superscript"/>
              </w:rPr>
            </w:pPr>
            <w:r>
              <w:rPr>
                <w:rFonts w:hint="default" w:ascii="Times New Roman" w:hAnsi="Times New Roman" w:cs="Times New Roman"/>
                <w:b/>
                <w:bCs/>
                <w:color w:val="auto"/>
                <w:szCs w:val="21"/>
              </w:rPr>
              <w:t>主体设计：</w:t>
            </w:r>
            <w:r>
              <w:rPr>
                <w:rFonts w:hint="default" w:ascii="Times New Roman" w:hAnsi="Times New Roman" w:cs="Times New Roman"/>
                <w:color w:val="auto"/>
                <w:szCs w:val="21"/>
              </w:rPr>
              <w:t>植乔木</w:t>
            </w:r>
            <w:r>
              <w:rPr>
                <w:rFonts w:hint="eastAsia" w:cs="Times New Roman"/>
                <w:color w:val="auto"/>
                <w:szCs w:val="21"/>
                <w:lang w:val="en-US" w:eastAsia="zh-CN"/>
              </w:rPr>
              <w:t>2472</w:t>
            </w:r>
            <w:r>
              <w:rPr>
                <w:rFonts w:hint="default" w:ascii="Times New Roman" w:hAnsi="Times New Roman" w:cs="Times New Roman"/>
                <w:color w:val="auto"/>
                <w:szCs w:val="21"/>
              </w:rPr>
              <w:t>株，</w:t>
            </w:r>
            <w:r>
              <w:rPr>
                <w:rFonts w:hint="eastAsia" w:cs="Times New Roman"/>
                <w:color w:val="auto"/>
                <w:szCs w:val="21"/>
                <w:lang w:val="en-US" w:eastAsia="zh-CN"/>
              </w:rPr>
              <w:t>植灌木15451株，</w:t>
            </w:r>
            <w:r>
              <w:rPr>
                <w:rFonts w:hint="default" w:ascii="Times New Roman" w:hAnsi="Times New Roman" w:cs="Times New Roman"/>
                <w:color w:val="auto"/>
                <w:szCs w:val="21"/>
              </w:rPr>
              <w:t>撒播草籽9.19hm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临时挡水埂653m，临时</w:t>
            </w:r>
            <w:r>
              <w:rPr>
                <w:rFonts w:hint="default" w:ascii="Times New Roman" w:hAnsi="Times New Roman" w:cs="Times New Roman"/>
                <w:color w:val="auto"/>
                <w:szCs w:val="21"/>
                <w:lang w:val="en-US" w:eastAsia="zh-CN"/>
              </w:rPr>
              <w:t>截水沟4706</w:t>
            </w:r>
            <w:r>
              <w:rPr>
                <w:rFonts w:hint="default" w:ascii="Times New Roman" w:hAnsi="Times New Roman" w:cs="Times New Roman"/>
                <w:color w:val="auto"/>
                <w:szCs w:val="21"/>
              </w:rPr>
              <w:t>m，临时苫盖3.49hm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dxa"/>
            <w:vMerge w:val="continue"/>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p>
        </w:tc>
        <w:tc>
          <w:tcPr>
            <w:tcW w:w="646"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表土堆放场防治区</w:t>
            </w:r>
          </w:p>
        </w:tc>
        <w:tc>
          <w:tcPr>
            <w:tcW w:w="2584" w:type="dxa"/>
            <w:gridSpan w:val="3"/>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eastAsia" w:cs="Times New Roman"/>
                <w:color w:val="auto"/>
                <w:szCs w:val="21"/>
                <w:lang w:val="en-US" w:eastAsia="zh-CN"/>
              </w:rPr>
              <w:t>场地平整8.54hm</w:t>
            </w:r>
            <w:r>
              <w:rPr>
                <w:rFonts w:hint="eastAsia" w:cs="Times New Roman"/>
                <w:color w:val="auto"/>
                <w:szCs w:val="21"/>
                <w:vertAlign w:val="superscript"/>
                <w:lang w:val="en-US" w:eastAsia="zh-CN"/>
              </w:rPr>
              <w:t>2</w:t>
            </w:r>
            <w:r>
              <w:rPr>
                <w:rFonts w:hint="eastAsia" w:cs="Times New Roman"/>
                <w:color w:val="auto"/>
                <w:szCs w:val="21"/>
                <w:vertAlign w:val="baseline"/>
                <w:lang w:val="en-US" w:eastAsia="zh-CN"/>
              </w:rPr>
              <w:t>，</w:t>
            </w:r>
            <w:r>
              <w:rPr>
                <w:rFonts w:hint="default" w:ascii="Times New Roman" w:hAnsi="Times New Roman" w:cs="Times New Roman"/>
                <w:color w:val="auto"/>
                <w:szCs w:val="21"/>
              </w:rPr>
              <w:t>复耕</w:t>
            </w:r>
            <w:r>
              <w:rPr>
                <w:rFonts w:hint="eastAsia" w:cs="Times New Roman"/>
                <w:color w:val="auto"/>
                <w:szCs w:val="21"/>
                <w:lang w:val="en-US" w:eastAsia="zh-CN"/>
              </w:rPr>
              <w:t>2.67</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3066" w:type="dxa"/>
            <w:gridSpan w:val="3"/>
            <w:tcBorders>
              <w:tl2br w:val="nil"/>
              <w:tr2bl w:val="nil"/>
            </w:tcBorders>
            <w:noWrap w:val="0"/>
            <w:vAlign w:val="center"/>
          </w:tcPr>
          <w:p>
            <w:pPr>
              <w:tabs>
                <w:tab w:val="left" w:pos="3828"/>
              </w:tabs>
              <w:spacing w:line="240" w:lineRule="auto"/>
              <w:ind w:firstLine="0" w:firstLineChars="0"/>
              <w:jc w:val="left"/>
              <w:rPr>
                <w:rFonts w:hint="default" w:ascii="Times New Roman" w:hAnsi="Times New Roman" w:eastAsia="仿宋_GB2312" w:cs="Times New Roman"/>
                <w:color w:val="auto"/>
                <w:kern w:val="0"/>
                <w:sz w:val="21"/>
                <w:szCs w:val="21"/>
              </w:rPr>
            </w:pPr>
            <w:r>
              <w:rPr>
                <w:rFonts w:hint="default" w:ascii="Times New Roman" w:hAnsi="Times New Roman" w:eastAsia="仿宋_GB2312" w:cs="Times New Roman"/>
                <w:b/>
                <w:bCs/>
                <w:color w:val="auto"/>
                <w:sz w:val="21"/>
                <w:szCs w:val="21"/>
              </w:rPr>
              <w:t>方案新增：</w:t>
            </w:r>
            <w:r>
              <w:rPr>
                <w:rFonts w:hint="default" w:ascii="Times New Roman" w:hAnsi="Times New Roman" w:eastAsia="仿宋_GB2312" w:cs="Times New Roman"/>
                <w:color w:val="auto"/>
                <w:sz w:val="21"/>
                <w:szCs w:val="21"/>
              </w:rPr>
              <w:t>植乔木</w:t>
            </w:r>
            <w:r>
              <w:rPr>
                <w:rFonts w:hint="eastAsia" w:ascii="Times New Roman" w:hAnsi="Times New Roman" w:eastAsia="仿宋_GB2312" w:cs="Times New Roman"/>
                <w:color w:val="auto"/>
                <w:sz w:val="21"/>
                <w:szCs w:val="21"/>
                <w:lang w:eastAsia="zh-CN"/>
              </w:rPr>
              <w:t>5711</w:t>
            </w:r>
            <w:r>
              <w:rPr>
                <w:rFonts w:hint="default" w:ascii="Times New Roman" w:hAnsi="Times New Roman" w:eastAsia="仿宋_GB2312" w:cs="Times New Roman"/>
                <w:color w:val="auto"/>
                <w:sz w:val="21"/>
                <w:szCs w:val="21"/>
              </w:rPr>
              <w:t>株，撒播草籽</w:t>
            </w:r>
            <w:r>
              <w:rPr>
                <w:rFonts w:hint="eastAsia" w:ascii="Times New Roman" w:hAnsi="Times New Roman" w:eastAsia="仿宋_GB2312" w:cs="Times New Roman"/>
                <w:color w:val="auto"/>
                <w:sz w:val="21"/>
                <w:szCs w:val="21"/>
                <w:lang w:val="en-US" w:eastAsia="zh-CN"/>
              </w:rPr>
              <w:t>5.87</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r>
              <w:rPr>
                <w:rFonts w:hint="default" w:ascii="Times New Roman" w:hAnsi="Times New Roman" w:eastAsia="仿宋_GB2312" w:cs="Times New Roman"/>
                <w:color w:val="auto"/>
                <w:sz w:val="21"/>
                <w:szCs w:val="21"/>
              </w:rPr>
              <w:t>。</w:t>
            </w:r>
          </w:p>
        </w:tc>
        <w:tc>
          <w:tcPr>
            <w:tcW w:w="2424" w:type="dxa"/>
            <w:gridSpan w:val="2"/>
            <w:tcBorders>
              <w:tl2br w:val="nil"/>
              <w:tr2bl w:val="nil"/>
            </w:tcBorders>
            <w:noWrap w:val="0"/>
            <w:vAlign w:val="center"/>
          </w:tcPr>
          <w:p>
            <w:pPr>
              <w:pStyle w:val="34"/>
              <w:tabs>
                <w:tab w:val="left" w:pos="3828"/>
              </w:tabs>
              <w:jc w:val="left"/>
              <w:rPr>
                <w:rFonts w:hint="default" w:ascii="Times New Roman" w:hAnsi="Times New Roman" w:cs="Times New Roman"/>
                <w:color w:val="auto"/>
                <w:kern w:val="0"/>
                <w:szCs w:val="21"/>
              </w:rPr>
            </w:pPr>
            <w:r>
              <w:rPr>
                <w:rFonts w:hint="default" w:ascii="Times New Roman" w:hAnsi="Times New Roman" w:cs="Times New Roman"/>
                <w:b/>
                <w:bCs/>
                <w:color w:val="auto"/>
                <w:szCs w:val="21"/>
              </w:rPr>
              <w:t>方案新增：</w:t>
            </w:r>
            <w:r>
              <w:rPr>
                <w:rFonts w:hint="default" w:ascii="Times New Roman" w:hAnsi="Times New Roman" w:cs="Times New Roman"/>
                <w:color w:val="auto"/>
                <w:szCs w:val="21"/>
              </w:rPr>
              <w:t>临时排水沟</w:t>
            </w:r>
            <w:r>
              <w:rPr>
                <w:rFonts w:hint="eastAsia" w:cs="Times New Roman"/>
                <w:color w:val="auto"/>
                <w:szCs w:val="21"/>
                <w:lang w:eastAsia="zh-CN"/>
              </w:rPr>
              <w:t>1662</w:t>
            </w:r>
            <w:r>
              <w:rPr>
                <w:rFonts w:hint="default" w:ascii="Times New Roman" w:hAnsi="Times New Roman" w:cs="Times New Roman"/>
                <w:color w:val="auto"/>
                <w:szCs w:val="21"/>
              </w:rPr>
              <w:t>m，临时沉砂池</w:t>
            </w:r>
            <w:r>
              <w:rPr>
                <w:rFonts w:hint="eastAsia" w:cs="Times New Roman"/>
                <w:color w:val="auto"/>
                <w:szCs w:val="21"/>
                <w:lang w:val="en-US" w:eastAsia="zh-CN"/>
              </w:rPr>
              <w:t>94</w:t>
            </w:r>
            <w:r>
              <w:rPr>
                <w:rFonts w:hint="default" w:ascii="Times New Roman" w:hAnsi="Times New Roman" w:cs="Times New Roman"/>
                <w:color w:val="auto"/>
                <w:szCs w:val="21"/>
              </w:rPr>
              <w:t>座，临时拦挡</w:t>
            </w:r>
            <w:r>
              <w:rPr>
                <w:rFonts w:hint="eastAsia" w:cs="Times New Roman"/>
                <w:color w:val="auto"/>
                <w:szCs w:val="21"/>
                <w:lang w:eastAsia="zh-CN"/>
              </w:rPr>
              <w:t>1662</w:t>
            </w:r>
            <w:r>
              <w:rPr>
                <w:rFonts w:hint="default" w:ascii="Times New Roman" w:hAnsi="Times New Roman" w:cs="Times New Roman"/>
                <w:color w:val="auto"/>
                <w:szCs w:val="21"/>
              </w:rPr>
              <w:t>m，临时苫盖</w:t>
            </w:r>
            <w:r>
              <w:rPr>
                <w:rFonts w:hint="eastAsia" w:cs="Times New Roman"/>
                <w:color w:val="auto"/>
                <w:szCs w:val="21"/>
                <w:lang w:eastAsia="zh-CN"/>
              </w:rPr>
              <w:t>8.86</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，临时撒播草籽防护</w:t>
            </w:r>
            <w:r>
              <w:rPr>
                <w:rFonts w:hint="eastAsia" w:cs="Times New Roman"/>
                <w:color w:val="auto"/>
                <w:szCs w:val="21"/>
                <w:lang w:eastAsia="zh-CN"/>
              </w:rPr>
              <w:t>8.86</w:t>
            </w:r>
            <w:r>
              <w:rPr>
                <w:rFonts w:hint="default" w:ascii="Times New Roman" w:hAnsi="Times New Roman" w:cs="Times New Roman"/>
                <w:color w:val="auto"/>
                <w:szCs w:val="21"/>
              </w:rPr>
              <w:t>hm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投资（万元）</w:t>
            </w:r>
          </w:p>
        </w:tc>
        <w:tc>
          <w:tcPr>
            <w:tcW w:w="2584" w:type="dxa"/>
            <w:gridSpan w:val="3"/>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21343.89</w:t>
            </w:r>
          </w:p>
        </w:tc>
        <w:tc>
          <w:tcPr>
            <w:tcW w:w="3066" w:type="dxa"/>
            <w:gridSpan w:val="3"/>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5474.21</w:t>
            </w:r>
          </w:p>
        </w:tc>
        <w:tc>
          <w:tcPr>
            <w:tcW w:w="2424" w:type="dxa"/>
            <w:gridSpan w:val="2"/>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1361.61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水土保持总投资（万元）</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szCs w:val="21"/>
                <w:lang w:val="en-US" w:eastAsia="zh-CN"/>
              </w:rPr>
              <w:t>30351.87</w:t>
            </w:r>
          </w:p>
        </w:tc>
        <w:tc>
          <w:tcPr>
            <w:tcW w:w="3067"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r>
              <w:rPr>
                <w:rFonts w:hint="default" w:ascii="Times New Roman" w:hAnsi="Times New Roman" w:cs="Times New Roman"/>
                <w:color w:val="auto"/>
                <w:szCs w:val="21"/>
              </w:rPr>
              <w:t>独立费用（万元）</w:t>
            </w:r>
          </w:p>
        </w:tc>
        <w:tc>
          <w:tcPr>
            <w:tcW w:w="1324" w:type="dxa"/>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szCs w:val="21"/>
                <w:lang w:val="en-US" w:eastAsia="zh-CN"/>
              </w:rPr>
              <w:t>872.36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监理费（万元）</w:t>
            </w:r>
          </w:p>
        </w:tc>
        <w:tc>
          <w:tcPr>
            <w:tcW w:w="2102" w:type="dxa"/>
            <w:gridSpan w:val="2"/>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kern w:val="0"/>
                <w:szCs w:val="21"/>
                <w:lang w:val="en-US" w:eastAsia="zh-CN" w:bidi="ar"/>
              </w:rPr>
              <w:t>522.25</w:t>
            </w:r>
          </w:p>
        </w:tc>
        <w:tc>
          <w:tcPr>
            <w:tcW w:w="1581"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r>
              <w:rPr>
                <w:rFonts w:hint="default" w:ascii="Times New Roman" w:hAnsi="Times New Roman" w:cs="Times New Roman"/>
                <w:color w:val="auto"/>
                <w:szCs w:val="21"/>
              </w:rPr>
              <w:t>监测费（万元）</w:t>
            </w:r>
          </w:p>
        </w:tc>
        <w:tc>
          <w:tcPr>
            <w:tcW w:w="1367" w:type="dxa"/>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default" w:ascii="Times New Roman" w:hAnsi="Times New Roman" w:cs="Times New Roman"/>
                <w:color w:val="auto"/>
                <w:szCs w:val="21"/>
              </w:rPr>
              <w:t>2</w:t>
            </w:r>
            <w:r>
              <w:rPr>
                <w:rFonts w:hint="eastAsia" w:cs="Times New Roman"/>
                <w:color w:val="auto"/>
                <w:szCs w:val="21"/>
                <w:lang w:val="en-US" w:eastAsia="zh-CN"/>
              </w:rPr>
              <w:t>39.68</w:t>
            </w:r>
          </w:p>
        </w:tc>
        <w:tc>
          <w:tcPr>
            <w:tcW w:w="1700"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szCs w:val="21"/>
              </w:rPr>
            </w:pPr>
            <w:r>
              <w:rPr>
                <w:rFonts w:hint="default" w:ascii="Times New Roman" w:hAnsi="Times New Roman" w:cs="Times New Roman"/>
                <w:color w:val="auto"/>
                <w:szCs w:val="21"/>
              </w:rPr>
              <w:t>补偿费（万元）</w:t>
            </w:r>
          </w:p>
        </w:tc>
        <w:tc>
          <w:tcPr>
            <w:tcW w:w="1324" w:type="dxa"/>
            <w:tcBorders>
              <w:tl2br w:val="nil"/>
              <w:tr2bl w:val="nil"/>
            </w:tcBorders>
            <w:noWrap w:val="0"/>
            <w:vAlign w:val="center"/>
          </w:tcPr>
          <w:p>
            <w:pPr>
              <w:pStyle w:val="34"/>
              <w:tabs>
                <w:tab w:val="left" w:pos="3828"/>
              </w:tabs>
              <w:jc w:val="center"/>
              <w:rPr>
                <w:rFonts w:hint="default" w:ascii="Times New Roman" w:hAnsi="Times New Roman" w:eastAsia="仿宋_GB2312" w:cs="Times New Roman"/>
                <w:color w:val="auto"/>
                <w:szCs w:val="21"/>
                <w:lang w:val="en-US" w:eastAsia="zh-CN"/>
              </w:rPr>
            </w:pPr>
            <w:r>
              <w:rPr>
                <w:rFonts w:hint="eastAsia" w:cs="Times New Roman"/>
                <w:color w:val="auto"/>
                <w:szCs w:val="21"/>
                <w:lang w:val="en-US" w:eastAsia="zh-CN"/>
              </w:rPr>
              <w:t>644.126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方案编制单位</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中铁长江交通设计集团有限公司</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建设单位</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重庆渝东高速公路有限公司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法定代表人</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钟芸</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法定代表人</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汪天举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地址</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w:t>
            </w:r>
            <w:r>
              <w:rPr>
                <w:rFonts w:hint="eastAsia" w:cs="Times New Roman"/>
                <w:color w:val="auto"/>
                <w:kern w:val="0"/>
                <w:szCs w:val="21"/>
                <w:lang w:eastAsia="zh-CN"/>
              </w:rPr>
              <w:t>两江新区</w:t>
            </w:r>
            <w:r>
              <w:rPr>
                <w:rFonts w:hint="default" w:ascii="Times New Roman" w:hAnsi="Times New Roman" w:cs="Times New Roman"/>
                <w:color w:val="auto"/>
                <w:kern w:val="0"/>
                <w:szCs w:val="21"/>
              </w:rPr>
              <w:t>财富大道17号财富2号C栋</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地址</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重庆市</w:t>
            </w:r>
            <w:r>
              <w:rPr>
                <w:rFonts w:hint="eastAsia" w:cs="Times New Roman"/>
                <w:color w:val="auto"/>
                <w:kern w:val="0"/>
                <w:szCs w:val="21"/>
                <w:lang w:eastAsia="zh-CN"/>
              </w:rPr>
              <w:t>两江新区</w:t>
            </w:r>
            <w:r>
              <w:rPr>
                <w:rFonts w:hint="default" w:ascii="Times New Roman" w:hAnsi="Times New Roman" w:cs="Times New Roman"/>
                <w:color w:val="auto"/>
                <w:kern w:val="0"/>
                <w:szCs w:val="21"/>
              </w:rPr>
              <w:t>新南路52号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邮编</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401121</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邮编</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401120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联系人及电话</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张波/17</w:t>
            </w:r>
            <w:r>
              <w:rPr>
                <w:rFonts w:hint="eastAsia" w:cs="Times New Roman"/>
                <w:color w:val="auto"/>
                <w:kern w:val="0"/>
                <w:szCs w:val="21"/>
                <w:lang w:val="en-US" w:eastAsia="zh-CN"/>
              </w:rPr>
              <w:t>***</w:t>
            </w:r>
            <w:r>
              <w:rPr>
                <w:rFonts w:hint="default" w:ascii="Times New Roman" w:hAnsi="Times New Roman" w:cs="Times New Roman"/>
                <w:color w:val="auto"/>
                <w:kern w:val="0"/>
                <w:szCs w:val="21"/>
              </w:rPr>
              <w:t>58</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联系人及电话</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廖能武/13</w:t>
            </w:r>
            <w:r>
              <w:rPr>
                <w:rFonts w:hint="eastAsia" w:cs="Times New Roman"/>
                <w:color w:val="auto"/>
                <w:kern w:val="0"/>
                <w:szCs w:val="21"/>
                <w:lang w:val="en-US" w:eastAsia="zh-CN"/>
              </w:rPr>
              <w:t>***</w:t>
            </w:r>
            <w:r>
              <w:rPr>
                <w:rFonts w:hint="default" w:ascii="Times New Roman" w:hAnsi="Times New Roman" w:cs="Times New Roman"/>
                <w:color w:val="auto"/>
                <w:kern w:val="0"/>
                <w:szCs w:val="21"/>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传真</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023-63</w:t>
            </w:r>
            <w:r>
              <w:rPr>
                <w:rFonts w:hint="eastAsia" w:cs="Times New Roman"/>
                <w:color w:val="auto"/>
                <w:kern w:val="0"/>
                <w:szCs w:val="21"/>
                <w:lang w:val="en-US" w:eastAsia="zh-CN"/>
              </w:rPr>
              <w:t>***</w:t>
            </w:r>
            <w:r>
              <w:rPr>
                <w:rFonts w:hint="default" w:ascii="Times New Roman" w:hAnsi="Times New Roman" w:cs="Times New Roman"/>
                <w:color w:val="auto"/>
                <w:kern w:val="0"/>
                <w:szCs w:val="21"/>
              </w:rPr>
              <w:t>66</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传真</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45" w:type="dxa"/>
            <w:gridSpan w:val="2"/>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电子信箱</w:t>
            </w:r>
          </w:p>
        </w:tc>
        <w:tc>
          <w:tcPr>
            <w:tcW w:w="3683" w:type="dxa"/>
            <w:gridSpan w:val="4"/>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73</w:t>
            </w:r>
            <w:r>
              <w:rPr>
                <w:rFonts w:hint="eastAsia" w:cs="Times New Roman"/>
                <w:color w:val="auto"/>
                <w:kern w:val="0"/>
                <w:szCs w:val="21"/>
                <w:lang w:val="en-US" w:eastAsia="zh-CN"/>
              </w:rPr>
              <w:t>***</w:t>
            </w:r>
            <w:r>
              <w:rPr>
                <w:rFonts w:hint="default" w:ascii="Times New Roman" w:hAnsi="Times New Roman" w:cs="Times New Roman"/>
                <w:color w:val="auto"/>
                <w:kern w:val="0"/>
                <w:szCs w:val="21"/>
              </w:rPr>
              <w:t>02@qq.com</w:t>
            </w:r>
          </w:p>
        </w:tc>
        <w:tc>
          <w:tcPr>
            <w:tcW w:w="1367" w:type="dxa"/>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电子信箱</w:t>
            </w:r>
          </w:p>
        </w:tc>
        <w:tc>
          <w:tcPr>
            <w:tcW w:w="3024" w:type="dxa"/>
            <w:gridSpan w:val="3"/>
            <w:tcBorders>
              <w:tl2br w:val="nil"/>
              <w:tr2bl w:val="nil"/>
            </w:tcBorders>
            <w:noWrap w:val="0"/>
            <w:vAlign w:val="center"/>
          </w:tcPr>
          <w:p>
            <w:pPr>
              <w:pStyle w:val="34"/>
              <w:tabs>
                <w:tab w:val="left" w:pos="3828"/>
              </w:tabs>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bl>
    <w:p>
      <w:pPr>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rPr>
        <w:t>附件2</w:t>
      </w:r>
    </w:p>
    <w:p>
      <w:pPr>
        <w:spacing w:line="594" w:lineRule="exact"/>
        <w:jc w:val="left"/>
        <w:rPr>
          <w:rFonts w:hint="eastAsia" w:ascii="方正黑体_GBK" w:hAnsi="Times New Roman" w:eastAsia="方正黑体_GBK"/>
          <w:color w:val="FF0000"/>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G50沪渝高速垫江至长寿段改扩建工程</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12</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3</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G50沪渝高速垫江至长寿段改扩建工程水土保持方案报告书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长寿区水利局、垫江县水利局、</w:t>
      </w:r>
      <w:r>
        <w:rPr>
          <w:rFonts w:hint="eastAsia" w:ascii="Times New Roman" w:hAnsi="Times New Roman" w:eastAsia="方正仿宋_GBK" w:cs="Times New Roman"/>
          <w:sz w:val="32"/>
          <w:szCs w:val="32"/>
        </w:rPr>
        <w:t>重庆渝东高速公路有限公司</w:t>
      </w:r>
      <w:r>
        <w:rPr>
          <w:rFonts w:hint="eastAsia" w:ascii="Times New Roman" w:hAnsi="Times New Roman" w:eastAsia="方正仿宋_GBK" w:cs="Times New Roman"/>
          <w:sz w:val="32"/>
          <w:szCs w:val="32"/>
          <w:lang w:bidi="ar"/>
        </w:rPr>
        <w:t>（以下简称项目法人）、</w:t>
      </w:r>
      <w:r>
        <w:rPr>
          <w:rFonts w:hint="eastAsia" w:ascii="Times New Roman" w:hAnsi="Times New Roman" w:eastAsia="方正仿宋_GBK" w:cs="Times New Roman"/>
          <w:sz w:val="32"/>
          <w:szCs w:val="32"/>
        </w:rPr>
        <w:t>中铁长江交通设计集团有限公司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中交第二公路勘察设计研究院有限公司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w:t>
      </w:r>
      <w:r>
        <w:rPr>
          <w:rFonts w:hint="eastAsia" w:ascii="Times New Roman" w:hAnsi="Times New Roman" w:eastAsia="方正仿宋_GBK" w:cs="Times New Roman"/>
          <w:sz w:val="32"/>
          <w:szCs w:val="32"/>
          <w:lang w:eastAsia="zh-CN"/>
        </w:rPr>
        <w:t>进行了现场踏勘，</w:t>
      </w:r>
      <w:r>
        <w:rPr>
          <w:rFonts w:ascii="Times New Roman" w:hAnsi="Times New Roman" w:eastAsia="方正仿宋_GBK" w:cs="Times New Roman"/>
          <w:sz w:val="32"/>
          <w:szCs w:val="32"/>
          <w:lang w:bidi="ar"/>
        </w:rPr>
        <w:t>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4</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29</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460.09hm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，其中：垫江县124.62hm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、长寿区335.47hm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G50沪渝高速垫江至长寿段改扩建工程</w:t>
      </w:r>
      <w:r>
        <w:rPr>
          <w:rFonts w:hint="eastAsia" w:ascii="Times New Roman" w:hAnsi="Times New Roman" w:eastAsia="方正仿宋_GB2312" w:cs="Times New Roman"/>
          <w:color w:val="auto"/>
          <w:sz w:val="32"/>
          <w:szCs w:val="32"/>
          <w:lang w:val="en-US" w:eastAsia="zh-CN"/>
        </w:rPr>
        <w:t>（以下简称项目）</w:t>
      </w:r>
      <w:r>
        <w:rPr>
          <w:rFonts w:hint="default" w:ascii="Times New Roman" w:hAnsi="Times New Roman" w:eastAsia="方正仿宋_GB2312" w:cs="Times New Roman"/>
          <w:color w:val="auto"/>
          <w:sz w:val="32"/>
          <w:szCs w:val="32"/>
          <w:lang w:val="en-US" w:eastAsia="zh-CN"/>
        </w:rPr>
        <w:t>位于垫江县和长寿区，起于垫江县太平镇，终点位于长寿区</w:t>
      </w:r>
      <w:r>
        <w:rPr>
          <w:rFonts w:hint="eastAsia" w:ascii="Times New Roman" w:hAnsi="Times New Roman" w:eastAsia="方正仿宋_GB2312" w:cs="Times New Roman"/>
          <w:color w:val="auto"/>
          <w:sz w:val="32"/>
          <w:szCs w:val="32"/>
          <w:lang w:val="en-US" w:eastAsia="zh-CN"/>
        </w:rPr>
        <w:t>渡舟街道</w:t>
      </w:r>
      <w:r>
        <w:rPr>
          <w:rFonts w:hint="default" w:ascii="Times New Roman" w:hAnsi="Times New Roman" w:eastAsia="方正仿宋_GB2312" w:cs="Times New Roman"/>
          <w:color w:val="auto"/>
          <w:sz w:val="32"/>
          <w:szCs w:val="32"/>
          <w:lang w:val="en-US" w:eastAsia="zh-CN"/>
        </w:rPr>
        <w:t>太平村。项目路线全长45.621km，其中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垫江段11.116km，长寿段34.505km。项目全线采用沿老路改扩建，包括两侧拼宽和左幅整幅拼宽方案。项目太平枢纽至云台互通段采用双向六车道，路基宽度35m；云台互通至长梁枢纽段采用双向八车道，路基宽度41m。项目共设置桥梁1</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896km/32座（其中双侧拼宽22座，拆除新建10座），互通立交7座；改扩建垫江服务区1处，新建渡舟监控分中心1处，新建石堰养护工区1处，改扩建及新建匝道收费站4处；涵洞62处，通道127道，天桥48处；改路24.496km/114处，改沟（渠）3.202km/21处。</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根据建设需要，项目布设施工便道43.71hm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/63.44</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lang w:val="en-US" w:eastAsia="zh-CN"/>
        </w:rPr>
        <w:t>km；施工生产生活区14.65hm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/24处；弃渣场12.63hm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/8处；表土堆放场</w:t>
      </w:r>
      <w:r>
        <w:rPr>
          <w:rFonts w:hint="eastAsia" w:ascii="Times New Roman" w:hAnsi="Times New Roman" w:eastAsia="方正仿宋_GB2312" w:cs="Times New Roman"/>
          <w:color w:val="auto"/>
          <w:sz w:val="32"/>
          <w:szCs w:val="32"/>
          <w:lang w:val="en-US" w:eastAsia="zh-CN"/>
        </w:rPr>
        <w:t>13.82</w:t>
      </w:r>
      <w:r>
        <w:rPr>
          <w:rFonts w:hint="default" w:ascii="Times New Roman" w:hAnsi="Times New Roman" w:eastAsia="方正仿宋_GB2312" w:cs="Times New Roman"/>
          <w:color w:val="auto"/>
          <w:sz w:val="32"/>
          <w:szCs w:val="32"/>
          <w:lang w:val="en-US" w:eastAsia="zh-CN"/>
        </w:rPr>
        <w:t>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/237处。工程占地460.09hm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永久占地380.56hm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，临时占地79.53hm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。项目挖方458.87万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（含表土剥离34.56万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），填方387.51万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（含表土回覆34.56万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），余方71.36万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，不对外借方。余方全部运至规划弃渣场集中堆放。项目计划2026年1月开工，2028年12月完工，工期36个月。工程总投资513430万元，其中土建投资305508万元。</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（二）拆迁安置与专项设施改（迁）建阐述较清楚</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阐述基本清楚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color w:val="auto"/>
          <w:sz w:val="32"/>
          <w:szCs w:val="32"/>
        </w:rPr>
        <w:t>项目选址（线）涉及</w:t>
      </w:r>
      <w:r>
        <w:rPr>
          <w:rFonts w:hint="eastAsia" w:ascii="Times New Roman" w:hAnsi="Times New Roman" w:eastAsia="方正仿宋_GBK" w:cs="Times New Roman"/>
          <w:color w:val="auto"/>
          <w:sz w:val="32"/>
          <w:szCs w:val="32"/>
          <w:lang w:eastAsia="zh-CN"/>
        </w:rPr>
        <w:t>三峡库区国家级水土流失重点治理区和</w:t>
      </w:r>
      <w:r>
        <w:rPr>
          <w:rFonts w:hint="eastAsia" w:ascii="Times New Roman" w:hAnsi="Times New Roman" w:eastAsia="方正仿宋_GBK" w:cs="Times New Roman"/>
          <w:color w:val="auto"/>
          <w:sz w:val="32"/>
          <w:szCs w:val="32"/>
        </w:rPr>
        <w:t>重庆市水土流失重点</w:t>
      </w:r>
      <w:r>
        <w:rPr>
          <w:rFonts w:hint="eastAsia" w:ascii="Times New Roman" w:hAnsi="Times New Roman" w:eastAsia="方正仿宋_GBK" w:cs="Times New Roman"/>
          <w:color w:val="auto"/>
          <w:sz w:val="32"/>
          <w:szCs w:val="32"/>
          <w:lang w:eastAsia="zh-CN"/>
        </w:rPr>
        <w:t>治理</w:t>
      </w:r>
      <w:r>
        <w:rPr>
          <w:rFonts w:hint="eastAsia"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rPr>
        <w:t>已执行</w:t>
      </w:r>
      <w:r>
        <w:rPr>
          <w:rFonts w:hint="default"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水土流失</w:t>
      </w:r>
      <w:r>
        <w:rPr>
          <w:rFonts w:hint="default" w:ascii="Times New Roman" w:hAnsi="Times New Roman" w:eastAsia="方正仿宋_GBK" w:cs="Times New Roman"/>
          <w:color w:val="auto"/>
          <w:sz w:val="32"/>
          <w:szCs w:val="32"/>
        </w:rPr>
        <w:t>一级</w:t>
      </w:r>
      <w:r>
        <w:rPr>
          <w:rFonts w:hint="eastAsia" w:ascii="Times New Roman" w:hAnsi="Times New Roman" w:eastAsia="方正仿宋_GBK" w:cs="Times New Roman"/>
          <w:color w:val="auto"/>
          <w:sz w:val="32"/>
          <w:szCs w:val="32"/>
        </w:rPr>
        <w:t>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（三）基本同意对弃渣场选址的分析与评价。项目布设</w:t>
      </w:r>
      <w:r>
        <w:rPr>
          <w:rFonts w:hint="eastAsia" w:ascii="Times New Roman" w:hAnsi="Times New Roman" w:eastAsia="方正仿宋_GBK" w:cs="Times New Roman"/>
          <w:sz w:val="32"/>
          <w:szCs w:val="32"/>
          <w:lang w:val="en-US" w:eastAsia="zh-CN"/>
        </w:rPr>
        <w:t>4级</w:t>
      </w:r>
      <w:r>
        <w:rPr>
          <w:rFonts w:hint="eastAsia" w:ascii="Times New Roman" w:hAnsi="Times New Roman" w:eastAsia="方正仿宋_GBK" w:cs="Times New Roman"/>
          <w:sz w:val="32"/>
          <w:szCs w:val="32"/>
        </w:rPr>
        <w:t>弃渣场</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处</w:t>
      </w:r>
      <w:r>
        <w:rPr>
          <w:rFonts w:hint="eastAsia" w:ascii="Times New Roman" w:hAnsi="Times New Roman" w:eastAsia="方正仿宋_GBK" w:cs="Times New Roman"/>
          <w:sz w:val="32"/>
          <w:szCs w:val="32"/>
          <w:lang w:eastAsia="zh-CN"/>
        </w:rPr>
        <w:t>（长寿区境内</w:t>
      </w:r>
      <w:r>
        <w:rPr>
          <w:rFonts w:hint="eastAsia" w:ascii="Times New Roman" w:hAnsi="Times New Roman" w:eastAsia="方正仿宋_GBK" w:cs="Times New Roman"/>
          <w:sz w:val="32"/>
          <w:szCs w:val="32"/>
          <w:lang w:val="en-US" w:eastAsia="zh-CN"/>
        </w:rPr>
        <w:t>4处、垫江县境内1处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5级弃渣场3处（均在长寿区境内），</w:t>
      </w:r>
      <w:r>
        <w:rPr>
          <w:rFonts w:hint="eastAsia" w:ascii="Times New Roman" w:hAnsi="Times New Roman" w:eastAsia="方正仿宋_GBK" w:cs="Times New Roman"/>
          <w:sz w:val="32"/>
          <w:szCs w:val="32"/>
          <w:lang w:eastAsia="zh-CN"/>
        </w:rPr>
        <w:t>分别</w:t>
      </w:r>
      <w:r>
        <w:rPr>
          <w:rFonts w:hint="eastAsia" w:ascii="Times New Roman" w:hAnsi="Times New Roman" w:eastAsia="方正仿宋_GBK" w:cs="Times New Roman"/>
          <w:sz w:val="32"/>
          <w:szCs w:val="32"/>
        </w:rPr>
        <w:t>取得</w:t>
      </w:r>
      <w:r>
        <w:rPr>
          <w:rFonts w:hint="eastAsia" w:ascii="Times New Roman" w:hAnsi="Times New Roman" w:eastAsia="方正仿宋_GBK" w:cs="Times New Roman"/>
          <w:sz w:val="32"/>
          <w:szCs w:val="32"/>
          <w:lang w:eastAsia="zh-CN"/>
        </w:rPr>
        <w:t>长寿区和垫江</w:t>
      </w:r>
      <w:r>
        <w:rPr>
          <w:rFonts w:hint="eastAsia" w:ascii="Times New Roman" w:hAnsi="Times New Roman" w:eastAsia="方正仿宋_GBK" w:cs="Times New Roman"/>
          <w:sz w:val="32"/>
          <w:szCs w:val="32"/>
        </w:rPr>
        <w:t>县规划和自然资源</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、水利</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、生态环境</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、林业</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相</w:t>
      </w:r>
      <w:r>
        <w:rPr>
          <w:rFonts w:hint="eastAsia" w:ascii="Times New Roman" w:hAnsi="Times New Roman" w:eastAsia="方正仿宋_GBK" w:cs="Times New Roman"/>
          <w:sz w:val="32"/>
          <w:szCs w:val="32"/>
        </w:rPr>
        <w:t>关部门</w:t>
      </w:r>
      <w:r>
        <w:rPr>
          <w:rFonts w:hint="eastAsia" w:ascii="Times New Roman" w:hAnsi="Times New Roman" w:eastAsia="方正仿宋_GBK" w:cs="Times New Roman"/>
          <w:sz w:val="32"/>
          <w:szCs w:val="32"/>
          <w:lang w:eastAsia="zh-CN"/>
        </w:rPr>
        <w:t>及所属镇政府和</w:t>
      </w:r>
      <w:r>
        <w:rPr>
          <w:rFonts w:hint="eastAsia"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委会的</w:t>
      </w:r>
      <w:r>
        <w:rPr>
          <w:rFonts w:hint="eastAsia" w:ascii="Times New Roman" w:hAnsi="Times New Roman" w:eastAsia="方正仿宋_GBK" w:cs="Times New Roman"/>
          <w:sz w:val="32"/>
          <w:szCs w:val="32"/>
        </w:rPr>
        <w:t>选址</w:t>
      </w:r>
      <w:r>
        <w:rPr>
          <w:rFonts w:hint="eastAsia" w:ascii="Times New Roman" w:hAnsi="Times New Roman" w:eastAsia="方正仿宋_GBK" w:cs="Times New Roman"/>
          <w:sz w:val="32"/>
          <w:szCs w:val="32"/>
          <w:lang w:eastAsia="zh-CN"/>
        </w:rPr>
        <w:t>确认</w:t>
      </w:r>
      <w:r>
        <w:rPr>
          <w:rFonts w:hint="eastAsia"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弃渣场选址避开了对公共设施、基础设施、工业企业、居民点等有重大影响的区域，也避开了河</w:t>
      </w:r>
      <w:r>
        <w:rPr>
          <w:rFonts w:hint="eastAsia" w:ascii="Times New Roman" w:hAnsi="Times New Roman" w:eastAsia="方正仿宋_GBK" w:cs="Times New Roman"/>
          <w:sz w:val="32"/>
          <w:szCs w:val="32"/>
          <w:lang w:eastAsia="zh-CN"/>
        </w:rPr>
        <w:t>道及水库</w:t>
      </w:r>
      <w:r>
        <w:rPr>
          <w:rFonts w:hint="eastAsia" w:ascii="Times New Roman" w:hAnsi="Times New Roman" w:eastAsia="方正仿宋_GBK" w:cs="Times New Roman"/>
          <w:sz w:val="32"/>
          <w:szCs w:val="32"/>
        </w:rPr>
        <w:t>管理范围</w:t>
      </w:r>
      <w:r>
        <w:rPr>
          <w:rFonts w:hint="eastAsia" w:ascii="Times New Roman" w:hAnsi="Times New Roman" w:eastAsia="方正仿宋_GBK" w:cs="Times New Roman"/>
          <w:sz w:val="32"/>
          <w:szCs w:val="32"/>
          <w:lang w:eastAsia="zh-CN"/>
        </w:rPr>
        <w:t>（含水库淹没区）</w:t>
      </w:r>
      <w:r>
        <w:rPr>
          <w:rFonts w:hint="eastAsia" w:ascii="Times New Roman" w:hAnsi="Times New Roman" w:eastAsia="方正仿宋_GBK" w:cs="Times New Roman"/>
          <w:sz w:val="32"/>
          <w:szCs w:val="32"/>
        </w:rPr>
        <w:t>，弃渣场选址符合水土保持法律法规及《生产建设项目水土保持技术标准》（GB50433-2018）的规定与要求。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（四）基本同意主体工程设计中水土保持措施界定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w:t>
      </w:r>
      <w:r>
        <w:rPr>
          <w:rFonts w:hint="eastAsia" w:ascii="Times New Roman" w:hAnsi="Times New Roman" w:eastAsia="方正仿宋_GBK" w:cs="Times New Roman"/>
          <w:color w:val="auto"/>
          <w:sz w:val="32"/>
          <w:szCs w:val="32"/>
        </w:rPr>
        <w:t>目建设扰动地表</w:t>
      </w:r>
      <w:r>
        <w:rPr>
          <w:rFonts w:hint="eastAsia" w:ascii="Times New Roman" w:hAnsi="Times New Roman" w:eastAsia="方正仿宋_GBK" w:cs="Times New Roman"/>
          <w:sz w:val="32"/>
          <w:szCs w:val="32"/>
        </w:rPr>
        <w:t>面积</w:t>
      </w:r>
      <w:r>
        <w:rPr>
          <w:rFonts w:hint="eastAsia" w:ascii="Times New Roman" w:hAnsi="Times New Roman" w:eastAsia="方正仿宋_GBK" w:cs="Times New Roman"/>
          <w:color w:val="auto"/>
          <w:sz w:val="32"/>
          <w:szCs w:val="32"/>
          <w:lang w:val="en-US" w:eastAsia="zh-CN"/>
        </w:rPr>
        <w:t>456.44</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207.20</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11.02万t，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10.04万</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（一）同意项目水土流失防治分区划分为路基工程、桥梁工程、互通立交、沿线设施、改移工程、施工生产生活区、施工便道、弃渣场、表土堆放场等9个一级防治区。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路基开挖前做好边坡坡顶永久截水沟；按照“永临结合”原则，在永久排水沟、边沟位置开挖临时排水沟，出口布设临时沉沙池，并顺接下游水系；对路基边坡、临时堆土区和施工裸露区域等采用无纺布临时覆盖；在路基下边坡坡脚设置编织土袋临时拦挡；路基边坡成形后完成永久性平台截水沟、排水沟、边沟、急流槽等排水措施，并与自然沟道衔接，路基边坡采用三维植被网、喷播植草、拱形骨架植草、锚杆（索）格梁植草等护坡。施工后期，实施该区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根据施工扰动区周边汇水情况布设临时排水沟，出口处布设沉沙池，并顺接下游水系；桥梁施工作业区开挖边坡坡脚采用编织土袋临时拦挡，边坡采用撒播草籽+无纺布临时覆盖；对其他施工扰动裸露区采取无纺布临时覆盖；桥墩周边布设泥浆晾晒池，晾晒池四周采用编织土袋临时拦挡，遇到降雨采取防雨布临时覆盖，弃土石渣等及时清理，并运至规划弃渣场集中堆放。施工后期，对该区实施土地整治及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3.互通立交防治区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按照“永临结合”原则，在永久排水沟位置开挖临时排水沟，临时排水沟出口布设临时沉沙池，并顺接下游水系；在开挖边坡坡脚、临时堆土点周边等区域设置编织土袋临时拦挡；在施工裸露区、开挖边坡、临时堆土点等采用无纺布临时覆盖；路基开挖前完成永久性截水沟，路基成形后完成永久排水沟、边沟、急流槽等排水措施，并与自然沟道衔接；路基边坡采用三维植被网、喷播植草、拱形骨架植草、锚杆（索）格梁植草等护坡。施工后期，实施该区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4.沿线设施防治区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按照“永临结合”原则，在永久排水沟位置开挖临时排水沟，出口布设临时沉沙池，并顺接下游水系；对开挖边坡坡脚、临时堆土点周边等区域设置编织土袋临时拦挡；对施工裸露区、开挖边坡、临时堆土点等采用无纺布临时覆盖；场地开挖前完成永久性截水沟，场地成形后完成永久排水沟、边沟、急流槽等排水设施，并顺接下游水系；场地边坡采用三维植被网、喷播植草、拱形骨架植草等护坡。施工后期，实施该区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按照“永临结合”原则，在永久排水沟位置开挖临时排水沟，出口布设临时沉沙池；对开挖边坡坡脚、临时堆土点周边等区域布设编织土袋临时拦挡；在施工裸露区、开挖边坡、临时堆土点等采用无纺布临时覆盖；边坡成形后完成永久排水沟，并顺接下游水系。施工后期，实施该区土地整治及绿化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6.施工生产生活防治区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建设前，对该区施工扰动范围内进行表土剥离，并运至规划的表土堆放场集中堆存，做好表土堆放场防护措施。建设过程中，场地四周布设临时排水沟，出口处布设沉沙池，并顺接下游水系。场地使用期间，在堆土（料）场备置防雨布对堆土（料）场进行临时覆盖。施工结束后，对该区实施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施工过程中，对便道填方边坡坡脚布设编织土袋临时拦挡，裸露边坡采用喷播植草+三维植被网+无纺布临时覆盖；便道靠近山体一侧布设排水沟，出口处布设沉沙池，并顺接下游水系。施工结束后，施工便道除交地方使用外，其他便道采取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该区施工扰动范围内进行表土剥离，并运至规划的表土堆放场集中堆存，做好表土堆放场防护措施。堆渣前，按照“先挡后弃”原则，在弃渣场堆渣边坡坡脚布设挡渣墙，弃渣场底部布设排水盲沟；弃渣场四周布设截排水沟，排水陡坡段布设急流槽，排水沟出口设置沉沙消能措施，并顺接下游水系。堆渣过程中，采取分级堆放、分层碾压的堆渣方式，各级间设平台，平台布设排水沟，弃渣场渣顶面设置临时挡土埂，遇到降雨对渣体采取无纺布临时覆盖。堆渣结束后，对弃渣场进行土地整治，弃渣坡面采取植被恢复，顶部采取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9.表土堆放场防治区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堆放前，在表土堆放场坡脚布设编织土袋临时拦挡，四周布设临时排水沟，出口布设临时沉沙池，并顺接下游水系。堆放期间，遇到降雨采取无纺布临时覆盖。堆放完成后，表土堆放场表面采取撒播草籽过渡性绿化。施工结束后，对该区实施植被恢复或复耕。</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30351.87万元，其中：主体已列22358.52万元，方案新增7993.35万元（工程措施3884.48万元，植物措施575.10万元，监测措施239.68万元，施工临时措施1361.61万元，独立费用872.36万元，基本预备费415.99万元，水土保持补偿费644.126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keepLines/>
        <w:pageBreakBefore w:val="0"/>
        <w:widowControl/>
        <w:kinsoku/>
        <w:wordWrap/>
        <w:overflowPunct/>
        <w:topLinePunct w:val="0"/>
        <w:autoSpaceDE/>
        <w:autoSpaceDN/>
        <w:bidi w:val="0"/>
        <w:adjustRightInd w:val="0"/>
        <w:snapToGrid w:val="0"/>
        <w:spacing w:before="120" w:beforeLines="0" w:after="120" w:afterLines="0" w:line="594" w:lineRule="exact"/>
        <w:ind w:firstLine="640" w:firstLineChars="200"/>
        <w:jc w:val="left"/>
        <w:textAlignment w:val="auto"/>
        <w:outlineLvl w:val="2"/>
        <w:rPr>
          <w:rFonts w:hint="eastAsia" w:ascii="方正黑体_GBK" w:hAnsi="Calibri" w:eastAsia="方正黑体_GBK" w:cs="Times New Roman"/>
          <w:b w:val="0"/>
          <w:bCs/>
          <w:snapToGrid w:val="0"/>
          <w:kern w:val="0"/>
          <w:sz w:val="32"/>
          <w:szCs w:val="32"/>
          <w:lang w:val="en-US" w:eastAsia="zh-CN" w:bidi="ar-SA"/>
        </w:rPr>
      </w:pPr>
      <w:r>
        <w:rPr>
          <w:rFonts w:hint="eastAsia" w:ascii="方正黑体_GBK" w:hAnsi="Calibri" w:eastAsia="方正黑体_GBK" w:cs="Times New Roman"/>
          <w:b w:val="0"/>
          <w:bCs/>
          <w:snapToGrid w:val="0"/>
          <w:kern w:val="0"/>
          <w:sz w:val="32"/>
          <w:szCs w:val="32"/>
          <w:lang w:val="en-US" w:eastAsia="zh-CN" w:bidi="ar-SA"/>
        </w:rPr>
        <w:t>九、其他</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（一）建设单位应进一步优化项目建设方案，减少土石方开挖填筑，加大土石方综合利用，减少弃方。加强施工组织，优化施工工艺，减少地表扰动及植被破坏，严格控制工程建设中水土流失。</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二）建设单位进一步落实弃渣场详细地质勘察成果，加强弃渣场拦挡设计，完善弃渣场排水设计，复核弃渣场安全稳定性和排水过流能力，满足规范要求。加强弃渣场施工管理，严禁乱挖乱堆乱放，弃渣必须运至指定地点集中堆放，严禁超高超界堆放，确保弃渣场安全稳定运行。</w:t>
      </w: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cs="Times New Roman"/>
          <w:bCs/>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G50沪渝高速垫江至长寿段改扩建工程水土保持方案投资估算审核表</w:t>
      </w:r>
    </w:p>
    <w:p>
      <w:pPr>
        <w:pageBreakBefore w:val="0"/>
        <w:kinsoku/>
        <w:wordWrap/>
        <w:overflowPunct/>
        <w:topLinePunct w:val="0"/>
        <w:bidi w:val="0"/>
        <w:spacing w:line="594" w:lineRule="exact"/>
        <w:ind w:left="0" w:leftChars="0" w:firstLine="0" w:firstLineChars="0"/>
        <w:textAlignment w:val="auto"/>
        <w:rPr>
          <w:rFonts w:hint="eastAsia" w:ascii="Times New Roman" w:hAnsi="Times New Roman" w:eastAsia="宋体" w:cs="Times New Roman"/>
          <w:color w:val="FF0000"/>
          <w:sz w:val="24"/>
          <w:szCs w:val="24"/>
          <w:lang w:val="en-US" w:eastAsia="zh-CN" w:bidi="ar-SA"/>
        </w:rPr>
      </w:pPr>
      <w:r>
        <w:rPr>
          <w:rFonts w:hint="eastAsia" w:ascii="宋体" w:hAnsi="宋体" w:eastAsia="宋体" w:cs="宋体"/>
          <w:b w:val="0"/>
          <w:bCs w:val="0"/>
          <w:color w:val="auto"/>
          <w:sz w:val="24"/>
          <w:szCs w:val="24"/>
          <w:lang w:val="en-US" w:eastAsia="zh-CN" w:bidi="ar-SA"/>
        </w:rPr>
        <w:drawing>
          <wp:anchor distT="0" distB="0" distL="114300" distR="114300" simplePos="0" relativeHeight="251659264" behindDoc="0" locked="0" layoutInCell="1" allowOverlap="1">
            <wp:simplePos x="0" y="0"/>
            <wp:positionH relativeFrom="page">
              <wp:posOffset>5542280</wp:posOffset>
            </wp:positionH>
            <wp:positionV relativeFrom="page">
              <wp:posOffset>8079105</wp:posOffset>
            </wp:positionV>
            <wp:extent cx="1044575" cy="614680"/>
            <wp:effectExtent l="0" t="0" r="3175"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44575" cy="614680"/>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日</w:t>
      </w:r>
    </w:p>
    <w:p>
      <w:pPr>
        <w:spacing w:line="400" w:lineRule="exact"/>
        <w:rPr>
          <w:rFonts w:ascii="方正黑体_GBK" w:hAnsi="Times New Roman" w:eastAsia="方正黑体_GBK" w:cs="Times New Roman"/>
          <w:kern w:val="0"/>
          <w:sz w:val="32"/>
          <w:szCs w:val="32"/>
        </w:rPr>
      </w:pPr>
      <w:r>
        <w:rPr>
          <w:rFonts w:hint="eastAsia" w:ascii="方正黑体_GBK" w:hAnsi="Times New Roman" w:eastAsia="方正黑体_GBK" w:cs="Times New Roman"/>
          <w:sz w:val="32"/>
          <w:szCs w:val="32"/>
        </w:rPr>
        <w:t>附件</w:t>
      </w:r>
    </w:p>
    <w:p>
      <w:pPr>
        <w:spacing w:line="400" w:lineRule="exact"/>
        <w:jc w:val="center"/>
        <w:rPr>
          <w:rFonts w:hint="default" w:ascii="Times New Roman" w:hAnsi="Times New Roman" w:eastAsia="方正小标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G50沪渝高速垫江至长寿段改扩建工程</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kern w:val="0"/>
          <w:sz w:val="36"/>
          <w:szCs w:val="36"/>
        </w:rPr>
      </w:pPr>
      <w:r>
        <w:rPr>
          <w:rFonts w:hint="default" w:ascii="Times New Roman" w:hAnsi="Times New Roman" w:eastAsia="方正小标宋_GBK" w:cs="Times New Roman"/>
          <w:bCs/>
          <w:sz w:val="36"/>
          <w:szCs w:val="36"/>
        </w:rPr>
        <w:t>水土保持方案投资估算审核表</w:t>
      </w:r>
    </w:p>
    <w:p>
      <w:pPr>
        <w:spacing w:line="400" w:lineRule="exact"/>
        <w:jc w:val="center"/>
        <w:rPr>
          <w:rFonts w:ascii="Times New Roman" w:hAnsi="Times New Roman" w:eastAsia="宋体" w:cs="Times New Roman"/>
          <w:kern w:val="0"/>
          <w:sz w:val="21"/>
          <w:szCs w:val="21"/>
          <w:lang w:bidi="ar"/>
        </w:rPr>
      </w:pPr>
      <w:r>
        <w:rPr>
          <w:rFonts w:hint="eastAsia" w:ascii="Times New Roman" w:hAnsi="Times New Roman" w:eastAsia="宋体" w:cs="Times New Roman"/>
          <w:kern w:val="0"/>
          <w:sz w:val="16"/>
          <w:szCs w:val="16"/>
          <w:lang w:val="en-US" w:eastAsia="zh-CN" w:bidi="ar"/>
        </w:rPr>
        <w:t xml:space="preserve">                                                                                                   </w:t>
      </w:r>
      <w:r>
        <w:rPr>
          <w:rFonts w:hint="eastAsia" w:ascii="Times New Roman" w:hAnsi="Times New Roman" w:eastAsia="宋体" w:cs="Times New Roman"/>
          <w:kern w:val="0"/>
          <w:sz w:val="21"/>
          <w:szCs w:val="21"/>
          <w:lang w:val="en-US" w:eastAsia="zh-CN" w:bidi="ar"/>
        </w:rPr>
        <w:t xml:space="preserve"> </w:t>
      </w:r>
      <w:r>
        <w:rPr>
          <w:rFonts w:hint="eastAsia" w:ascii="Times New Roman" w:hAnsi="Times New Roman" w:eastAsia="宋体" w:cs="Times New Roman"/>
          <w:kern w:val="0"/>
          <w:sz w:val="21"/>
          <w:szCs w:val="21"/>
          <w:lang w:bidi="ar"/>
        </w:rPr>
        <w:t>单位</w:t>
      </w:r>
      <w:r>
        <w:rPr>
          <w:rFonts w:ascii="Times New Roman" w:hAnsi="Times New Roman" w:eastAsia="宋体" w:cs="Times New Roman"/>
          <w:kern w:val="0"/>
          <w:sz w:val="21"/>
          <w:szCs w:val="21"/>
          <w:lang w:bidi="ar"/>
        </w:rPr>
        <w:t>：万元</w:t>
      </w:r>
    </w:p>
    <w:tbl>
      <w:tblPr>
        <w:tblStyle w:val="9"/>
        <w:tblW w:w="525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68"/>
        <w:gridCol w:w="2248"/>
        <w:gridCol w:w="1668"/>
        <w:gridCol w:w="1668"/>
        <w:gridCol w:w="1668"/>
        <w:gridCol w:w="12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9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序号</w:t>
            </w:r>
          </w:p>
        </w:tc>
        <w:tc>
          <w:tcPr>
            <w:tcW w:w="2241"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工程或费用名称</w:t>
            </w:r>
          </w:p>
        </w:tc>
        <w:tc>
          <w:tcPr>
            <w:tcW w:w="4986"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审核投资</w:t>
            </w:r>
          </w:p>
        </w:tc>
        <w:tc>
          <w:tcPr>
            <w:tcW w:w="127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965" w:type="dxa"/>
            <w:vMerge w:val="continue"/>
            <w:tcBorders>
              <w:tl2br w:val="nil"/>
              <w:tr2bl w:val="nil"/>
            </w:tcBorders>
            <w:noWrap w:val="0"/>
            <w:vAlign w:val="center"/>
          </w:tcPr>
          <w:p>
            <w:pPr>
              <w:jc w:val="center"/>
              <w:rPr>
                <w:rFonts w:hint="default" w:ascii="Times New Roman" w:hAnsi="Times New Roman" w:eastAsia="宋体" w:cs="Times New Roman"/>
                <w:b w:val="0"/>
                <w:bCs w:val="0"/>
                <w:i w:val="0"/>
                <w:iCs w:val="0"/>
                <w:color w:val="auto"/>
                <w:sz w:val="21"/>
                <w:szCs w:val="21"/>
                <w:u w:val="none"/>
              </w:rPr>
            </w:pPr>
          </w:p>
        </w:tc>
        <w:tc>
          <w:tcPr>
            <w:tcW w:w="2241" w:type="dxa"/>
            <w:vMerge w:val="continue"/>
            <w:tcBorders>
              <w:tl2br w:val="nil"/>
              <w:tr2bl w:val="nil"/>
            </w:tcBorders>
            <w:noWrap w:val="0"/>
            <w:vAlign w:val="center"/>
          </w:tcPr>
          <w:p>
            <w:pPr>
              <w:jc w:val="center"/>
              <w:rPr>
                <w:rFonts w:hint="default" w:ascii="Times New Roman" w:hAnsi="Times New Roman" w:eastAsia="宋体" w:cs="Times New Roman"/>
                <w:b w:val="0"/>
                <w:bCs w:val="0"/>
                <w:i w:val="0"/>
                <w:iCs w:val="0"/>
                <w:color w:val="auto"/>
                <w:sz w:val="21"/>
                <w:szCs w:val="21"/>
                <w:u w:val="none"/>
              </w:rPr>
            </w:pPr>
          </w:p>
        </w:tc>
        <w:tc>
          <w:tcPr>
            <w:tcW w:w="16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方案新增</w:t>
            </w:r>
          </w:p>
        </w:tc>
        <w:tc>
          <w:tcPr>
            <w:tcW w:w="16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主体已列</w:t>
            </w:r>
          </w:p>
        </w:tc>
        <w:tc>
          <w:tcPr>
            <w:tcW w:w="16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kern w:val="0"/>
                <w:sz w:val="21"/>
                <w:szCs w:val="21"/>
                <w:u w:val="none"/>
                <w:lang w:val="en-US" w:eastAsia="zh-CN" w:bidi="ar"/>
              </w:rPr>
              <w:t>合计</w:t>
            </w:r>
          </w:p>
        </w:tc>
        <w:tc>
          <w:tcPr>
            <w:tcW w:w="1278" w:type="dxa"/>
            <w:vMerge w:val="continue"/>
            <w:tcBorders>
              <w:tl2br w:val="nil"/>
              <w:tr2bl w:val="nil"/>
            </w:tcBorders>
            <w:noWrap w:val="0"/>
            <w:vAlign w:val="center"/>
          </w:tcPr>
          <w:p>
            <w:pPr>
              <w:jc w:val="center"/>
              <w:rPr>
                <w:rFonts w:hint="default" w:ascii="Times New Roman" w:hAnsi="Times New Roman" w:eastAsia="宋体" w:cs="Times New Roman"/>
                <w:b w:val="0"/>
                <w:bCs w:val="0"/>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第一部分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工程措施费</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3884.48</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17459.41</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21343.89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路基工程防治区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423.90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9399.38</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9823.28</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桥梁工程防治区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22.59</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22.59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互通立交防治区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718.90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4875.75</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5594.65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沿线设施防治区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229.37</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909.37</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1138.74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改移工程防治区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406.27</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768.81</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1175.08</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施工生活生产防治区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307.72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307.72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施工便道防治区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1531.51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490.69</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2022.20</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弃渣场防治区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232.42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1015.41</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1247.83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表土堆放场防治区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11.80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11.80</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第二部分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color w:val="auto"/>
                <w:kern w:val="0"/>
                <w:sz w:val="21"/>
                <w:szCs w:val="21"/>
              </w:rPr>
              <w:t>植物措施</w:t>
            </w:r>
            <w:r>
              <w:rPr>
                <w:rFonts w:hint="default" w:ascii="Times New Roman" w:hAnsi="Times New Roman" w:eastAsia="宋体" w:cs="Times New Roman"/>
                <w:b/>
                <w:bCs/>
                <w:color w:val="auto"/>
                <w:kern w:val="0"/>
                <w:sz w:val="21"/>
                <w:szCs w:val="21"/>
                <w:lang w:eastAsia="zh-CN"/>
              </w:rPr>
              <w:t>费</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575.10</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4899.11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5474.21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路基工程防治区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2276.31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2276.31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桥梁工程防治区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8.23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8.23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互通立交防治区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1279.95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1279.95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沿线设施防治区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2.23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934.43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936.66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改移工程防治区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204.14</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204.14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施工生活生产防治区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77.26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77.26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施工便道防治区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406.78</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85.76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492.54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弃渣场防治区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118.52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118.52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表土堆放场防治区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80.60</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80.60</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第三部分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color w:val="auto"/>
                <w:kern w:val="0"/>
                <w:sz w:val="21"/>
                <w:szCs w:val="21"/>
              </w:rPr>
              <w:t>监测措施</w:t>
            </w:r>
            <w:r>
              <w:rPr>
                <w:rFonts w:hint="default" w:ascii="Times New Roman" w:hAnsi="Times New Roman" w:eastAsia="宋体" w:cs="Times New Roman"/>
                <w:b/>
                <w:bCs/>
                <w:color w:val="auto"/>
                <w:kern w:val="0"/>
                <w:sz w:val="21"/>
                <w:szCs w:val="21"/>
                <w:lang w:eastAsia="zh-CN"/>
              </w:rPr>
              <w:t>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239.68</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239.68</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设备</w:t>
            </w:r>
            <w:r>
              <w:rPr>
                <w:rFonts w:hint="default" w:ascii="Times New Roman" w:hAnsi="Times New Roman" w:eastAsia="宋体" w:cs="Times New Roman"/>
                <w:color w:val="auto"/>
                <w:kern w:val="0"/>
                <w:sz w:val="21"/>
                <w:szCs w:val="21"/>
              </w:rPr>
              <w:t>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6.46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6.46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监测运行费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233.22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233.22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第四部分</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lang w:eastAsia="zh-CN"/>
              </w:rPr>
            </w:pPr>
            <w:r>
              <w:rPr>
                <w:rFonts w:hint="default" w:ascii="Times New Roman" w:hAnsi="Times New Roman" w:eastAsia="宋体" w:cs="Times New Roman"/>
                <w:b/>
                <w:bCs/>
                <w:color w:val="auto"/>
                <w:kern w:val="0"/>
                <w:sz w:val="21"/>
                <w:szCs w:val="21"/>
              </w:rPr>
              <w:t>施工临时措施</w:t>
            </w:r>
            <w:r>
              <w:rPr>
                <w:rFonts w:hint="default" w:ascii="Times New Roman" w:hAnsi="Times New Roman" w:eastAsia="宋体" w:cs="Times New Roman"/>
                <w:b/>
                <w:bCs/>
                <w:color w:val="auto"/>
                <w:kern w:val="0"/>
                <w:sz w:val="21"/>
                <w:szCs w:val="21"/>
                <w:lang w:eastAsia="zh-CN"/>
              </w:rPr>
              <w:t>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1361.61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1361.61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路基工程防治区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436.75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436.75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桥梁工程防治区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43.03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43.03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互通立交防治区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302.11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302.11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沿线设施防治区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58.25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58.25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改移工程防治区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190.49</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190.49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施工生活生产防治区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13.13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13.13</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施工便道防治区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100.51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100.51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弃渣场防治区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30.64</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30.64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表土堆放场防治区</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147.86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147.86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其他临时工程费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38.84</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rPr>
              <w:t>38.84</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第五部分</w:t>
            </w:r>
          </w:p>
        </w:tc>
        <w:tc>
          <w:tcPr>
            <w:tcW w:w="2241"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rPr>
              <w:t>独立费用</w:t>
            </w:r>
          </w:p>
        </w:tc>
        <w:tc>
          <w:tcPr>
            <w:tcW w:w="166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872.36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872.36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水土保持方案编制费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81.61</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81.61</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科研勘测设计费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56.37</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56.37</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241" w:type="dxa"/>
            <w:tcBorders>
              <w:tl2br w:val="nil"/>
              <w:tr2bl w:val="nil"/>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水土保持设施验收费</w:t>
            </w:r>
          </w:p>
        </w:tc>
        <w:tc>
          <w:tcPr>
            <w:tcW w:w="1662"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84.56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84.56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241" w:type="dxa"/>
            <w:tcBorders>
              <w:tl2br w:val="nil"/>
              <w:tr2bl w:val="nil"/>
            </w:tcBorders>
            <w:shd w:val="clear" w:color="auto" w:fill="auto"/>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rPr>
              <w:t>建设管理费</w:t>
            </w:r>
          </w:p>
        </w:tc>
        <w:tc>
          <w:tcPr>
            <w:tcW w:w="1662"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121.22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121.22</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工程建设监理费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522.25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522.25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241" w:type="dxa"/>
            <w:tcBorders>
              <w:tl2br w:val="nil"/>
              <w:tr2bl w:val="nil"/>
            </w:tcBorders>
            <w:noWrap/>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eastAsia="zh-CN"/>
              </w:rPr>
              <w:t>招标代理服务费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6.35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color w:val="auto"/>
                <w:kern w:val="0"/>
                <w:sz w:val="21"/>
                <w:szCs w:val="21"/>
                <w:lang w:val="en-US" w:eastAsia="zh-CN"/>
              </w:rPr>
              <w:t>6.35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widowControl/>
              <w:spacing w:after="0" w:line="278" w:lineRule="auto"/>
              <w:jc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kern w:val="0"/>
                <w:sz w:val="21"/>
                <w:szCs w:val="21"/>
              </w:rPr>
              <w:t>Ⅰ</w:t>
            </w:r>
          </w:p>
        </w:tc>
        <w:tc>
          <w:tcPr>
            <w:tcW w:w="224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一至五部分合计</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6933.23</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22358.52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29291.75</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widowControl/>
              <w:spacing w:after="0" w:line="278" w:lineRule="auto"/>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kern w:val="0"/>
                <w:sz w:val="21"/>
                <w:szCs w:val="21"/>
              </w:rPr>
              <w:t>Ⅱ</w:t>
            </w:r>
          </w:p>
        </w:tc>
        <w:tc>
          <w:tcPr>
            <w:tcW w:w="224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基本预备费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415.99</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415.99</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65" w:type="dxa"/>
            <w:tcBorders>
              <w:tl2br w:val="nil"/>
              <w:tr2bl w:val="nil"/>
            </w:tcBorders>
            <w:noWrap/>
            <w:vAlign w:val="center"/>
          </w:tcPr>
          <w:p>
            <w:pPr>
              <w:widowControl/>
              <w:spacing w:after="0" w:line="278" w:lineRule="auto"/>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kern w:val="0"/>
                <w:sz w:val="21"/>
                <w:szCs w:val="21"/>
              </w:rPr>
              <w:t>Ⅲ</w:t>
            </w:r>
          </w:p>
        </w:tc>
        <w:tc>
          <w:tcPr>
            <w:tcW w:w="2241"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水土保持补偿费</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644.126</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644.126</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06" w:type="dxa"/>
            <w:gridSpan w:val="2"/>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水土保持总投资</w:t>
            </w:r>
            <w:r>
              <w:rPr>
                <w:rFonts w:hint="default" w:ascii="Times New Roman" w:hAnsi="Times New Roman" w:eastAsia="宋体" w:cs="Times New Roman"/>
                <w:b/>
                <w:bCs/>
                <w:kern w:val="0"/>
                <w:sz w:val="21"/>
                <w:szCs w:val="21"/>
              </w:rPr>
              <w:t>（Ⅰ+Ⅱ+Ⅲ）</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7993.35</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22358.52</w:t>
            </w:r>
          </w:p>
        </w:tc>
        <w:tc>
          <w:tcPr>
            <w:tcW w:w="166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color w:val="auto"/>
                <w:kern w:val="0"/>
                <w:sz w:val="21"/>
                <w:szCs w:val="21"/>
                <w:lang w:val="en-US" w:eastAsia="zh-CN"/>
              </w:rPr>
              <w:t>30351.87</w:t>
            </w:r>
          </w:p>
        </w:tc>
        <w:tc>
          <w:tcPr>
            <w:tcW w:w="127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6863B77"/>
    <w:rsid w:val="1BD6CF5C"/>
    <w:rsid w:val="1BFF4BD9"/>
    <w:rsid w:val="1F9FA41B"/>
    <w:rsid w:val="1FF76E19"/>
    <w:rsid w:val="2DFB35DB"/>
    <w:rsid w:val="37976650"/>
    <w:rsid w:val="3B6DE0EA"/>
    <w:rsid w:val="3D5B9BA8"/>
    <w:rsid w:val="3F1FC717"/>
    <w:rsid w:val="3FDF9119"/>
    <w:rsid w:val="4EFF89C0"/>
    <w:rsid w:val="5DB75B96"/>
    <w:rsid w:val="5DE6A532"/>
    <w:rsid w:val="632F08A0"/>
    <w:rsid w:val="654B6AA7"/>
    <w:rsid w:val="673B540C"/>
    <w:rsid w:val="6D7BE9D6"/>
    <w:rsid w:val="6FDF1A4C"/>
    <w:rsid w:val="6FEFFB05"/>
    <w:rsid w:val="71EE10CD"/>
    <w:rsid w:val="73D72639"/>
    <w:rsid w:val="756BF2AF"/>
    <w:rsid w:val="756BFB45"/>
    <w:rsid w:val="76DDD1D7"/>
    <w:rsid w:val="77D77542"/>
    <w:rsid w:val="79DF76E5"/>
    <w:rsid w:val="7A4C444D"/>
    <w:rsid w:val="7CF5B894"/>
    <w:rsid w:val="7DDFF8A4"/>
    <w:rsid w:val="7DF37FA8"/>
    <w:rsid w:val="7DFB3395"/>
    <w:rsid w:val="7EE3BBF5"/>
    <w:rsid w:val="7EFE95B4"/>
    <w:rsid w:val="7F7BD41E"/>
    <w:rsid w:val="7F7FBAB6"/>
    <w:rsid w:val="83FF2E68"/>
    <w:rsid w:val="8EFA7775"/>
    <w:rsid w:val="8F5F710F"/>
    <w:rsid w:val="9EFCA69E"/>
    <w:rsid w:val="AFBD777C"/>
    <w:rsid w:val="B5FCCD64"/>
    <w:rsid w:val="B7C628FB"/>
    <w:rsid w:val="BED790B1"/>
    <w:rsid w:val="BEFE32AD"/>
    <w:rsid w:val="C05F12DC"/>
    <w:rsid w:val="CB6BB40B"/>
    <w:rsid w:val="CEF387D0"/>
    <w:rsid w:val="D9774FB5"/>
    <w:rsid w:val="DB77D57D"/>
    <w:rsid w:val="DBEF27FB"/>
    <w:rsid w:val="DBFDCAA2"/>
    <w:rsid w:val="DED782E6"/>
    <w:rsid w:val="DF7F9546"/>
    <w:rsid w:val="DFDFE1AC"/>
    <w:rsid w:val="DFFB70C0"/>
    <w:rsid w:val="E7DB5BFA"/>
    <w:rsid w:val="EEC8D5EC"/>
    <w:rsid w:val="EFAFE789"/>
    <w:rsid w:val="EFDE6FA2"/>
    <w:rsid w:val="EFFBF710"/>
    <w:rsid w:val="EFFF442F"/>
    <w:rsid w:val="F1872C04"/>
    <w:rsid w:val="F28B2029"/>
    <w:rsid w:val="F2FE282B"/>
    <w:rsid w:val="F3FED0B4"/>
    <w:rsid w:val="F7539DFB"/>
    <w:rsid w:val="F7FFB684"/>
    <w:rsid w:val="F9FD29CF"/>
    <w:rsid w:val="FBAABC5C"/>
    <w:rsid w:val="FBE4DFDD"/>
    <w:rsid w:val="FD6F2D6A"/>
    <w:rsid w:val="FD6F56B1"/>
    <w:rsid w:val="FDE419AA"/>
    <w:rsid w:val="FE5ED254"/>
    <w:rsid w:val="FEBF5266"/>
    <w:rsid w:val="FED83036"/>
    <w:rsid w:val="FEFF0266"/>
    <w:rsid w:val="FF3F4F7F"/>
    <w:rsid w:val="FF7C880B"/>
    <w:rsid w:val="FF7E7199"/>
    <w:rsid w:val="FF9F26AC"/>
    <w:rsid w:val="FF9F4317"/>
    <w:rsid w:val="FFDF06A1"/>
    <w:rsid w:val="FFF8E931"/>
    <w:rsid w:val="FFFBB379"/>
    <w:rsid w:val="FFFCAB9C"/>
    <w:rsid w:val="FFFF052D"/>
    <w:rsid w:val="FFFF51E4"/>
    <w:rsid w:val="FFFF5A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表中内容"/>
    <w:qFormat/>
    <w:uiPriority w:val="0"/>
    <w:pPr>
      <w:widowControl w:val="0"/>
      <w:spacing w:line="240" w:lineRule="auto"/>
      <w:ind w:firstLine="0" w:firstLineChars="0"/>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1275</Words>
  <Characters>7272</Characters>
  <Lines>60</Lines>
  <Paragraphs>17</Paragraphs>
  <TotalTime>30</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2020-11-01T15:08:00Z</dcterms:created>
  <dc:creator>张艺馨</dc:creator>
  <cp:lastModifiedBy>Administrator</cp:lastModifiedBy>
  <dcterms:modified xsi:type="dcterms:W3CDTF">2026-01-26T10:26:52Z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2C0135455BB562F102CC6469F72E7B51_43</vt:lpwstr>
  </property>
</Properties>
</file>