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firstLine="0" w:firstLineChars="0"/>
        <w:jc w:val="center"/>
        <w:textAlignment w:val="auto"/>
        <w:rPr>
          <w:rFonts w:hint="default"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pacing w:val="-23"/>
          <w:sz w:val="44"/>
          <w:szCs w:val="44"/>
        </w:rPr>
        <w:t>关于</w:t>
      </w:r>
      <w:r>
        <w:rPr>
          <w:rFonts w:hint="eastAsia" w:eastAsia="方正小标宋_GBK" w:cs="方正小标宋_GBK"/>
          <w:b w:val="0"/>
          <w:color w:val="auto"/>
          <w:spacing w:val="-23"/>
          <w:sz w:val="44"/>
          <w:szCs w:val="44"/>
          <w:lang w:eastAsia="zh-CN"/>
        </w:rPr>
        <w:t>云阳县凤鸣—盘龙水网连通及城乡供水一体化</w:t>
      </w:r>
      <w:r>
        <w:rPr>
          <w:rFonts w:hint="eastAsia" w:eastAsia="方正小标宋_GBK" w:cs="方正小标宋_GBK"/>
          <w:b w:val="0"/>
          <w:color w:val="auto"/>
          <w:sz w:val="44"/>
          <w:szCs w:val="44"/>
          <w:lang w:eastAsia="zh-CN"/>
        </w:rPr>
        <w:t>工程</w:t>
      </w:r>
      <w:r>
        <w:rPr>
          <w:rFonts w:hint="eastAsia" w:ascii="Times New Roman" w:hAnsi="Times New Roman" w:eastAsia="方正小标宋_GBK" w:cs="方正小标宋_GBK"/>
          <w:b w:val="0"/>
          <w:color w:val="auto"/>
          <w:sz w:val="44"/>
          <w:szCs w:val="44"/>
          <w:lang w:eastAsia="zh-CN"/>
        </w:rPr>
        <w:t>水土保持方案</w:t>
      </w:r>
      <w:r>
        <w:rPr>
          <w:rFonts w:ascii="Times New Roman" w:hAnsi="Times New Roman" w:eastAsia="方正小标宋_GBK"/>
          <w:color w:val="auto"/>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FF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both"/>
        <w:textAlignment w:val="auto"/>
        <w:rPr>
          <w:rFonts w:ascii="Times New Roman" w:hAnsi="Times New Roman" w:eastAsia="方正仿宋_GBK"/>
          <w:color w:val="auto"/>
          <w:sz w:val="32"/>
          <w:szCs w:val="32"/>
        </w:rPr>
      </w:pPr>
      <w:r>
        <w:rPr>
          <w:rFonts w:hint="eastAsia" w:eastAsia="方正仿宋_GBK" w:cs="Times New Roman"/>
          <w:b w:val="0"/>
          <w:color w:val="auto"/>
          <w:sz w:val="32"/>
          <w:szCs w:val="32"/>
          <w:lang w:eastAsia="zh-CN"/>
        </w:rPr>
        <w:t>重庆农高实业集团有限公司</w:t>
      </w:r>
      <w:r>
        <w:rPr>
          <w:rFonts w:ascii="Times New Roman" w:hAnsi="Times New Roman" w:eastAsia="方正仿宋_GBK"/>
          <w:color w:val="auto"/>
          <w:sz w:val="32"/>
          <w:szCs w:val="32"/>
        </w:rPr>
        <w:t>：</w:t>
      </w:r>
    </w:p>
    <w:p>
      <w:pPr>
        <w:snapToGrid w:val="0"/>
        <w:spacing w:line="594"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w:t>
      </w:r>
      <w:r>
        <w:rPr>
          <w:rFonts w:hint="eastAsia" w:ascii="Times New Roman" w:hAnsi="Times New Roman" w:eastAsia="方正仿宋_GBK" w:cs="Times New Roman"/>
          <w:color w:val="auto"/>
          <w:sz w:val="32"/>
          <w:szCs w:val="32"/>
          <w:lang w:eastAsia="zh-CN"/>
        </w:rPr>
        <w:t>司</w:t>
      </w:r>
      <w:r>
        <w:rPr>
          <w:rFonts w:hint="default" w:ascii="Times New Roman" w:hAnsi="Times New Roman" w:eastAsia="方正仿宋_GBK" w:cs="Times New Roman"/>
          <w:color w:val="auto"/>
          <w:sz w:val="32"/>
          <w:szCs w:val="32"/>
          <w:lang w:eastAsia="zh-CN"/>
        </w:rPr>
        <w:t>提交的</w:t>
      </w:r>
      <w:r>
        <w:rPr>
          <w:rFonts w:hint="eastAsia" w:ascii="Times New Roman" w:hAnsi="Times New Roman" w:eastAsia="方正仿宋_GBK" w:cs="Times New Roman"/>
          <w:color w:val="auto"/>
          <w:sz w:val="32"/>
          <w:szCs w:val="32"/>
          <w:lang w:eastAsia="zh-CN"/>
        </w:rPr>
        <w:t>云阳县凤鸣—盘龙水网连通及城乡供水一体化工程水土保持方案</w:t>
      </w:r>
      <w:r>
        <w:rPr>
          <w:rFonts w:hint="default" w:ascii="Times New Roman" w:hAnsi="Times New Roman" w:eastAsia="方正仿宋_GBK" w:cs="Times New Roman"/>
          <w:color w:val="auto"/>
          <w:sz w:val="32"/>
          <w:szCs w:val="32"/>
          <w:lang w:eastAsia="zh-CN"/>
        </w:rPr>
        <w:t>审批申请（项目代码：</w:t>
      </w:r>
      <w:r>
        <w:rPr>
          <w:rFonts w:hint="eastAsia" w:ascii="Times New Roman" w:hAnsi="Times New Roman" w:eastAsia="方正仿宋_GBK" w:cs="Times New Roman"/>
          <w:color w:val="auto"/>
          <w:sz w:val="32"/>
          <w:szCs w:val="32"/>
          <w:lang w:val="en-US" w:eastAsia="zh-CN"/>
        </w:rPr>
        <w:t>2404-500235-04-01-572700</w:t>
      </w:r>
      <w:r>
        <w:rPr>
          <w:rFonts w:hint="default"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lang w:eastAsia="zh-CN"/>
        </w:rPr>
        <w:t>云阳县凤鸣—盘龙水网连通及城乡供水一体化工程水土保持方案</w:t>
      </w:r>
      <w:r>
        <w:rPr>
          <w:rFonts w:hint="default" w:ascii="Times New Roman" w:hAnsi="Times New Roman" w:eastAsia="方正仿宋_GBK" w:cs="Times New Roman"/>
          <w:color w:val="auto"/>
          <w:sz w:val="32"/>
          <w:szCs w:val="32"/>
          <w:lang w:eastAsia="zh-CN"/>
        </w:rPr>
        <w:t>报告书》收悉。经审查，该申请符合法定条件，根据《中华人民共和国行政许可法》第三十八条第一款、《水行政许可实施办法》第三十二条第一项规定，决定准予行政许可。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snapToGrid w:val="0"/>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sz w:val="32"/>
          <w:szCs w:val="32"/>
        </w:rPr>
        <w:t>方案编制依据的法律法规、部委规章、规范性文件、规范标准和技术文件及资料采用基本正确。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（二）同意方案设计水平年为2027年。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（三）同意水土流失防治责任范围界定，水土流失防治责任范围面积为32.29hm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（四）同意项目水土流失防治标准等级执行西南紫色土区建设类一级防治标准。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w:t>
      </w:r>
      <w:r>
        <w:rPr>
          <w:rFonts w:hint="eastAsia"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：水土流失治理度97%，土壤流失控制比1.0，渣土防护率92%，表土保护率92%，林草植被恢复率达到97%，林草覆盖率25%</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（七）基本</w:t>
      </w:r>
      <w:r>
        <w:rPr>
          <w:rFonts w:ascii="Times New Roman" w:hAnsi="Times New Roman" w:eastAsia="方正仿宋_GBK"/>
          <w:bCs/>
          <w:color w:val="auto"/>
          <w:sz w:val="32"/>
          <w:szCs w:val="32"/>
        </w:rPr>
        <w:t>同意水土保持监测时段、内容和方法。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水</w:t>
      </w:r>
      <w:r>
        <w:rPr>
          <w:rFonts w:hint="eastAsia" w:ascii="Times New Roman" w:hAnsi="Times New Roman" w:eastAsia="方正仿宋_GBK" w:cs="Times New Roman"/>
          <w:color w:val="auto"/>
          <w:sz w:val="32"/>
          <w:szCs w:val="32"/>
          <w:lang w:eastAsia="zh-CN"/>
        </w:rPr>
        <w:t>土</w:t>
      </w:r>
      <w:r>
        <w:rPr>
          <w:rFonts w:hint="eastAsia" w:ascii="Times New Roman" w:hAnsi="Times New Roman" w:eastAsia="方正仿宋_GBK" w:cs="Times New Roman"/>
          <w:color w:val="auto"/>
          <w:sz w:val="32"/>
          <w:szCs w:val="32"/>
        </w:rPr>
        <w:t>保</w:t>
      </w:r>
      <w:r>
        <w:rPr>
          <w:rFonts w:hint="eastAsia" w:ascii="Times New Roman" w:hAnsi="Times New Roman" w:eastAsia="方正仿宋_GBK" w:cs="Times New Roman"/>
          <w:color w:val="auto"/>
          <w:sz w:val="32"/>
          <w:szCs w:val="32"/>
          <w:lang w:eastAsia="zh-CN"/>
        </w:rPr>
        <w:t>持</w:t>
      </w:r>
      <w:r>
        <w:rPr>
          <w:rFonts w:hint="eastAsia" w:ascii="Times New Roman" w:hAnsi="Times New Roman" w:eastAsia="方正仿宋_GBK" w:cs="Times New Roman"/>
          <w:color w:val="auto"/>
          <w:sz w:val="32"/>
          <w:szCs w:val="32"/>
        </w:rPr>
        <w:t>方案设计静态总投资48</w:t>
      </w:r>
      <w:r>
        <w:rPr>
          <w:rFonts w:hint="eastAsia" w:ascii="Times New Roman" w:hAnsi="Times New Roman" w:eastAsia="方正仿宋_GBK" w:cs="Times New Roman"/>
          <w:color w:val="auto"/>
          <w:sz w:val="32"/>
          <w:szCs w:val="32"/>
          <w:lang w:val="en-US" w:eastAsia="zh-CN"/>
        </w:rPr>
        <w:t>2.63</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主体已列199.34万元，方案新增28</w:t>
      </w:r>
      <w:r>
        <w:rPr>
          <w:rFonts w:hint="eastAsia" w:ascii="Times New Roman" w:hAnsi="Times New Roman" w:eastAsia="方正仿宋_GBK" w:cs="Times New Roman"/>
          <w:color w:val="auto"/>
          <w:sz w:val="32"/>
          <w:szCs w:val="32"/>
          <w:lang w:val="en-US" w:eastAsia="zh-CN"/>
        </w:rPr>
        <w:t>3.29</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工程措施61.72万元，植物措施24.90万元，监测措施37.05万元，施工临时措施64.86万元，独立费用69.90万元，基本预备费15.51万元，水土保持补偿费</w:t>
      </w:r>
      <w:r>
        <w:rPr>
          <w:rFonts w:hint="eastAsia" w:ascii="Times New Roman" w:hAnsi="Times New Roman" w:eastAsia="方正仿宋_GBK" w:cs="Times New Roman"/>
          <w:color w:val="auto"/>
          <w:sz w:val="32"/>
          <w:szCs w:val="32"/>
          <w:lang w:val="en-US" w:eastAsia="zh-CN"/>
        </w:rPr>
        <w:t>9.349</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（三）严格控制施工扰动范围，禁止随意占压破坏地貌植被。加强对施工单位的管理，在招投标文件和施工合同中明确施工单位的水土保持责任，强化奖惩制度，规范施工行为。</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（五）按照水土保持监理标准和规范开展水土保持工程施工监理，确保水土保持工程建设质量和进度。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（六）项目开工前向主管税务机关申报缴纳水土保持补偿费。</w:t>
      </w:r>
    </w:p>
    <w:p>
      <w:pPr>
        <w:snapToGrid w:val="0"/>
        <w:spacing w:line="594" w:lineRule="exact"/>
        <w:ind w:firstLine="640" w:firstLineChars="200"/>
        <w:rPr>
          <w:rFonts w:hint="eastAsia"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rPr>
        <w:t>（七）本项目的地点、规模如发生重大变化，或者水土保持方案实施过程中水土保持措施发生重大变更的，</w:t>
      </w:r>
      <w:r>
        <w:rPr>
          <w:rFonts w:hint="eastAsia" w:ascii="Times New Roman" w:hAnsi="Times New Roman" w:eastAsia="方正仿宋_GBK"/>
          <w:snapToGrid w:val="0"/>
          <w:kern w:val="0"/>
          <w:sz w:val="32"/>
          <w:szCs w:val="32"/>
        </w:rPr>
        <w:t>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r>
        <w:rPr>
          <w:rFonts w:hint="eastAsia" w:ascii="Times New Roman" w:hAnsi="Times New Roman" w:eastAsia="方正仿宋_GBK" w:cs="Times New Roman"/>
          <w:snapToGrid w:val="0"/>
          <w:color w:val="auto"/>
          <w:kern w:val="0"/>
          <w:sz w:val="32"/>
          <w:szCs w:val="32"/>
          <w:lang w:eastAsia="zh-CN"/>
        </w:rPr>
        <w:t>确需</w:t>
      </w:r>
      <w:r>
        <w:rPr>
          <w:rFonts w:hint="default" w:ascii="Times New Roman" w:hAnsi="Times New Roman" w:eastAsia="方正仿宋_GBK" w:cs="Times New Roman"/>
          <w:i w:val="0"/>
          <w:caps w:val="0"/>
          <w:snapToGrid w:val="0"/>
          <w:color w:val="auto"/>
          <w:spacing w:val="0"/>
          <w:kern w:val="0"/>
          <w:sz w:val="32"/>
          <w:szCs w:val="32"/>
          <w:shd w:val="clear" w:color="auto" w:fill="auto"/>
        </w:rPr>
        <w:t>在水土保持方案确定的弃渣场以外新设弃渣场的，或者因弃渣量增加导致弃渣场等级提高的，生产建设单位应</w:t>
      </w:r>
      <w:r>
        <w:rPr>
          <w:rFonts w:hint="default" w:ascii="Times New Roman" w:hAnsi="Times New Roman" w:eastAsia="方正仿宋_GBK"/>
          <w:snapToGrid w:val="0"/>
          <w:color w:val="auto"/>
          <w:kern w:val="0"/>
          <w:sz w:val="32"/>
          <w:szCs w:val="32"/>
        </w:rPr>
        <w:t>当开展弃渣减量化、资源化论证，在弃渣前编制水土保持方案补充报告，</w:t>
      </w:r>
      <w:r>
        <w:rPr>
          <w:rFonts w:hint="default" w:ascii="Times New Roman" w:hAnsi="Times New Roman" w:eastAsia="方正仿宋_GBK"/>
          <w:snapToGrid w:val="0"/>
          <w:color w:val="auto"/>
          <w:kern w:val="0"/>
          <w:sz w:val="32"/>
          <w:szCs w:val="32"/>
          <w:lang w:eastAsia="zh-CN"/>
        </w:rPr>
        <w:t>并完成弃渣场变更审批手续</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（八）严格按照批准的水土保持方案和后续设计落实各项水土保持措施，合理安排施工时序和水土保持措施实施进度，严格控制施工期间水土流失。</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snapToGrid w:val="0"/>
          <w:color w:val="auto"/>
          <w:kern w:val="0"/>
          <w:sz w:val="32"/>
          <w:szCs w:val="32"/>
        </w:rPr>
        <w:t>（九）</w:t>
      </w:r>
      <w:r>
        <w:rPr>
          <w:rFonts w:hint="default" w:ascii="Times New Roman" w:hAnsi="Times New Roman" w:eastAsia="方正仿宋_GBK" w:cs="Times New Roman"/>
          <w:color w:val="auto"/>
          <w:sz w:val="32"/>
          <w:szCs w:val="32"/>
        </w:rPr>
        <w:t>工程完工后、项目投产使用前应及时组织开展水土保持设施自主验收，并在水土保持设施自主验收通过3个月内，向我局报备验收材料（包括</w:t>
      </w:r>
      <w:r>
        <w:rPr>
          <w:rFonts w:hint="default" w:ascii="Times New Roman" w:hAnsi="Times New Roman" w:eastAsia="方正仿宋_GBK" w:cs="Times New Roman"/>
          <w:snapToGrid w:val="0"/>
          <w:color w:val="auto"/>
          <w:kern w:val="0"/>
          <w:sz w:val="32"/>
          <w:szCs w:val="32"/>
        </w:rPr>
        <w:t>水土保持设施验收鉴定书、水土保持设</w:t>
      </w:r>
      <w:r>
        <w:rPr>
          <w:rFonts w:ascii="Times New Roman" w:hAnsi="Times New Roman" w:eastAsia="方正仿宋_GBK"/>
          <w:snapToGrid w:val="0"/>
          <w:color w:val="auto"/>
          <w:kern w:val="0"/>
          <w:sz w:val="32"/>
          <w:szCs w:val="32"/>
        </w:rPr>
        <w:t>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（十）本行政许可决定有效期为</w:t>
      </w:r>
      <w:r>
        <w:rPr>
          <w:rFonts w:hint="eastAsia" w:ascii="Times New Roman" w:hAnsi="Times New Roman" w:eastAsia="方正仿宋_GBK"/>
          <w:snapToGrid w:val="0"/>
          <w:color w:val="auto"/>
          <w:kern w:val="0"/>
          <w:sz w:val="32"/>
          <w:szCs w:val="32"/>
          <w:lang w:val="en-US" w:eastAsia="zh-CN"/>
        </w:rPr>
        <w:t>3</w:t>
      </w:r>
      <w:r>
        <w:rPr>
          <w:rFonts w:ascii="Times New Roman" w:hAnsi="Times New Roman" w:eastAsia="方正仿宋_GBK"/>
          <w:snapToGrid w:val="0"/>
          <w:color w:val="auto"/>
          <w:kern w:val="0"/>
          <w:sz w:val="32"/>
          <w:szCs w:val="32"/>
        </w:rPr>
        <w:t>年，</w:t>
      </w:r>
      <w:r>
        <w:rPr>
          <w:rFonts w:hint="eastAsia" w:ascii="Times New Roman" w:hAnsi="Times New Roman" w:eastAsia="方正仿宋_GBK"/>
          <w:snapToGrid w:val="0"/>
          <w:color w:val="auto"/>
          <w:kern w:val="0"/>
          <w:sz w:val="32"/>
          <w:szCs w:val="32"/>
          <w:lang w:eastAsia="zh-CN"/>
        </w:rPr>
        <w:t>水土保持方案</w:t>
      </w:r>
      <w:r>
        <w:rPr>
          <w:rFonts w:ascii="Times New Roman" w:hAnsi="Times New Roman" w:eastAsia="方正仿宋_GBK"/>
          <w:snapToGrid w:val="0"/>
          <w:color w:val="auto"/>
          <w:kern w:val="0"/>
          <w:sz w:val="32"/>
          <w:szCs w:val="32"/>
        </w:rPr>
        <w:t>自</w:t>
      </w:r>
      <w:r>
        <w:rPr>
          <w:rFonts w:hint="eastAsia" w:ascii="Times New Roman" w:hAnsi="Times New Roman" w:eastAsia="方正仿宋_GBK"/>
          <w:snapToGrid w:val="0"/>
          <w:color w:val="auto"/>
          <w:kern w:val="0"/>
          <w:sz w:val="32"/>
          <w:szCs w:val="32"/>
          <w:lang w:val="en-US" w:eastAsia="zh-CN"/>
        </w:rPr>
        <w:t>批准之</w:t>
      </w:r>
      <w:r>
        <w:rPr>
          <w:rFonts w:ascii="Times New Roman" w:hAnsi="Times New Roman" w:eastAsia="方正仿宋_GBK"/>
          <w:snapToGrid w:val="0"/>
          <w:color w:val="auto"/>
          <w:kern w:val="0"/>
          <w:sz w:val="32"/>
          <w:szCs w:val="32"/>
        </w:rPr>
        <w:t>日起</w:t>
      </w:r>
      <w:r>
        <w:rPr>
          <w:rFonts w:hint="eastAsia" w:ascii="Times New Roman" w:hAnsi="Times New Roman" w:eastAsia="方正仿宋_GBK"/>
          <w:snapToGrid w:val="0"/>
          <w:color w:val="auto"/>
          <w:kern w:val="0"/>
          <w:sz w:val="32"/>
          <w:szCs w:val="32"/>
          <w:lang w:eastAsia="zh-CN"/>
        </w:rPr>
        <w:t>满</w:t>
      </w:r>
      <w:r>
        <w:rPr>
          <w:rFonts w:hint="eastAsia" w:ascii="Times New Roman" w:hAnsi="Times New Roman" w:eastAsia="方正仿宋_GBK"/>
          <w:snapToGrid w:val="0"/>
          <w:color w:val="auto"/>
          <w:kern w:val="0"/>
          <w:sz w:val="32"/>
          <w:szCs w:val="32"/>
          <w:lang w:val="en-US" w:eastAsia="zh-CN"/>
        </w:rPr>
        <w:t>3年，生产建设项目方开工建设的，其水土保持方案</w:t>
      </w:r>
      <w:r>
        <w:rPr>
          <w:rFonts w:hint="eastAsia" w:ascii="Times New Roman" w:hAnsi="Times New Roman" w:eastAsia="方正仿宋_GBK" w:cs="方正仿宋_GBK"/>
          <w:b w:val="0"/>
          <w:bCs w:val="0"/>
          <w:snapToGrid w:val="0"/>
          <w:color w:val="auto"/>
          <w:spacing w:val="0"/>
          <w:w w:val="100"/>
          <w:kern w:val="0"/>
          <w:sz w:val="32"/>
          <w:szCs w:val="32"/>
          <w:lang w:val="en-US" w:eastAsia="zh-CN"/>
        </w:rPr>
        <w:t>开工建设前</w:t>
      </w:r>
      <w:r>
        <w:rPr>
          <w:rFonts w:hint="eastAsia" w:ascii="Times New Roman" w:hAnsi="Times New Roman" w:eastAsia="方正仿宋_GBK"/>
          <w:snapToGrid w:val="0"/>
          <w:color w:val="auto"/>
          <w:kern w:val="0"/>
          <w:sz w:val="32"/>
          <w:szCs w:val="32"/>
          <w:lang w:val="en-US" w:eastAsia="zh-CN"/>
        </w:rPr>
        <w:t>报我局重新审核</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918" w:leftChars="228" w:right="0" w:hanging="1280" w:hangingChars="4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附件：1</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bCs/>
          <w:color w:val="auto"/>
          <w:sz w:val="32"/>
          <w:szCs w:val="32"/>
          <w:lang w:eastAsia="zh-CN"/>
        </w:rPr>
        <w:t>云阳县凤鸣—盘龙水网连通及城乡供水一体化工程</w:t>
      </w:r>
      <w:r>
        <w:rPr>
          <w:rFonts w:hint="eastAsia" w:ascii="Times New Roman" w:hAnsi="Times New Roman" w:eastAsia="方正仿宋_GBK" w:cs="方正仿宋_GBK"/>
          <w:bCs/>
          <w:color w:val="auto"/>
          <w:spacing w:val="0"/>
          <w:sz w:val="32"/>
          <w:szCs w:val="32"/>
        </w:rPr>
        <w:t>水土保持方案</w:t>
      </w:r>
      <w:r>
        <w:rPr>
          <w:rFonts w:hint="eastAsia" w:ascii="Times New Roman" w:hAnsi="Times New Roman" w:eastAsia="方正仿宋_GBK" w:cs="方正仿宋_GBK"/>
          <w:bCs/>
          <w:snapToGrid w:val="0"/>
          <w:color w:val="auto"/>
          <w:spacing w:val="0"/>
          <w:kern w:val="0"/>
          <w:sz w:val="32"/>
          <w:szCs w:val="32"/>
        </w:rPr>
        <w:t>特性表</w:t>
      </w:r>
    </w:p>
    <w:p>
      <w:pPr>
        <w:keepNext w:val="0"/>
        <w:keepLines w:val="0"/>
        <w:pageBreakBefore w:val="0"/>
        <w:widowControl w:val="0"/>
        <w:kinsoku/>
        <w:wordWrap/>
        <w:overflowPunct/>
        <w:topLinePunct w:val="0"/>
        <w:autoSpaceDE/>
        <w:autoSpaceDN/>
        <w:bidi w:val="0"/>
        <w:adjustRightInd/>
        <w:snapToGrid w:val="0"/>
        <w:spacing w:line="594" w:lineRule="exact"/>
        <w:ind w:left="1916" w:leftChars="570" w:right="0" w:hanging="320" w:hangingChars="1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snapToGrid w:val="0"/>
          <w:color w:val="auto"/>
          <w:kern w:val="0"/>
          <w:sz w:val="32"/>
          <w:szCs w:val="32"/>
          <w:lang w:eastAsia="zh-CN"/>
        </w:rPr>
        <w:t>云阳县凤鸣—盘龙水网连通及城乡供水一体化工程</w:t>
      </w:r>
      <w:r>
        <w:rPr>
          <w:rFonts w:hint="eastAsia" w:ascii="Times New Roman" w:hAnsi="Times New Roman" w:eastAsia="方正仿宋_GBK" w:cs="方正仿宋_GBK"/>
          <w:snapToGrid w:val="0"/>
          <w:color w:val="auto"/>
          <w:spacing w:val="-6"/>
          <w:kern w:val="0"/>
          <w:sz w:val="32"/>
          <w:szCs w:val="32"/>
        </w:rPr>
        <w:t>水土保持方案报告</w:t>
      </w:r>
      <w:r>
        <w:rPr>
          <w:rFonts w:hint="eastAsia" w:ascii="Times New Roman" w:hAnsi="Times New Roman" w:eastAsia="方正仿宋_GBK" w:cs="方正仿宋_GBK"/>
          <w:snapToGrid w:val="0"/>
          <w:color w:val="auto"/>
          <w:kern w:val="0"/>
          <w:sz w:val="32"/>
          <w:szCs w:val="32"/>
        </w:rPr>
        <w:t>书专家评审意见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440" w:firstLineChars="17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eastAsia="方正仿宋_GBK"/>
          <w:color w:val="auto"/>
          <w:sz w:val="32"/>
          <w:szCs w:val="32"/>
          <w:lang w:val="en-US" w:eastAsia="zh-CN"/>
        </w:rPr>
        <w:t>5</w:t>
      </w:r>
      <w:r>
        <w:rPr>
          <w:rFonts w:ascii="Times New Roman" w:hAnsi="Times New Roman" w:eastAsia="方正仿宋_GBK"/>
          <w:color w:val="auto"/>
          <w:sz w:val="32"/>
          <w:szCs w:val="32"/>
        </w:rPr>
        <w:t>年</w:t>
      </w:r>
      <w:r>
        <w:rPr>
          <w:rFonts w:hint="eastAsia" w:eastAsia="方正仿宋_GBK"/>
          <w:color w:val="auto"/>
          <w:sz w:val="32"/>
          <w:szCs w:val="32"/>
          <w:lang w:val="en-US" w:eastAsia="zh-CN"/>
        </w:rPr>
        <w:t>10</w:t>
      </w:r>
      <w:r>
        <w:rPr>
          <w:rFonts w:ascii="Times New Roman" w:hAnsi="Times New Roman" w:eastAsia="方正仿宋_GBK"/>
          <w:color w:val="auto"/>
          <w:sz w:val="32"/>
          <w:szCs w:val="32"/>
        </w:rPr>
        <w:t>月</w:t>
      </w:r>
      <w:bookmarkStart w:id="0" w:name="_GoBack"/>
      <w:bookmarkEnd w:id="0"/>
      <w:r>
        <w:rPr>
          <w:rFonts w:hint="eastAsia" w:eastAsia="方正仿宋_GBK"/>
          <w:color w:val="auto"/>
          <w:sz w:val="32"/>
          <w:szCs w:val="32"/>
          <w:lang w:val="en-US" w:eastAsia="zh-CN"/>
        </w:rPr>
        <w:t>15</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cs="Times New Roman"/>
          <w:snapToGrid w:val="0"/>
          <w:color w:val="auto"/>
          <w:kern w:val="0"/>
          <w:sz w:val="32"/>
          <w:szCs w:val="32"/>
        </w:rPr>
      </w:pPr>
      <w:r>
        <w:rPr>
          <w:rFonts w:ascii="Times New Roman" w:hAnsi="Times New Roman" w:eastAsia="方正仿宋_GBK" w:cs="Times New Roman"/>
          <w:snapToGrid w:val="0"/>
          <w:color w:val="auto"/>
          <w:kern w:val="0"/>
          <w:sz w:val="32"/>
          <w:szCs w:val="32"/>
        </w:rPr>
        <w:t>（此件</w:t>
      </w:r>
      <w:r>
        <w:rPr>
          <w:rFonts w:hint="eastAsia" w:ascii="Times New Roman" w:hAnsi="Times New Roman" w:eastAsia="方正仿宋_GBK" w:cs="Times New Roman"/>
          <w:snapToGrid w:val="0"/>
          <w:color w:val="auto"/>
          <w:kern w:val="0"/>
          <w:sz w:val="32"/>
          <w:szCs w:val="32"/>
          <w:lang w:eastAsia="zh-CN"/>
        </w:rPr>
        <w:t>主动</w:t>
      </w:r>
      <w:r>
        <w:rPr>
          <w:rFonts w:ascii="Times New Roman" w:hAnsi="Times New Roman" w:eastAsia="方正仿宋_GBK" w:cs="Times New Roman"/>
          <w:snapToGrid w:val="0"/>
          <w:color w:val="auto"/>
          <w:kern w:val="0"/>
          <w:sz w:val="32"/>
          <w:szCs w:val="32"/>
        </w:rPr>
        <w:t>公开发布）</w:t>
      </w:r>
    </w:p>
    <w:p>
      <w:pPr>
        <w:spacing w:line="594" w:lineRule="exact"/>
        <w:ind w:firstLine="640" w:firstLineChars="200"/>
        <w:rPr>
          <w:color w:val="auto"/>
        </w:rPr>
      </w:pPr>
      <w:r>
        <w:rPr>
          <w:rFonts w:ascii="Times New Roman" w:hAnsi="Times New Roman" w:eastAsia="方正仿宋_GBK" w:cs="Times New Roman"/>
          <w:snapToGrid w:val="0"/>
          <w:color w:val="auto"/>
          <w:kern w:val="0"/>
          <w:sz w:val="32"/>
          <w:szCs w:val="32"/>
        </w:rPr>
        <w:t>（联系人：张</w:t>
      </w:r>
      <w:r>
        <w:rPr>
          <w:rFonts w:hint="eastAsia" w:ascii="Times New Roman" w:hAnsi="Times New Roman" w:eastAsia="方正仿宋_GBK" w:cs="Times New Roman"/>
          <w:snapToGrid w:val="0"/>
          <w:color w:val="auto"/>
          <w:kern w:val="0"/>
          <w:sz w:val="32"/>
          <w:szCs w:val="32"/>
        </w:rPr>
        <w:t>春才</w:t>
      </w:r>
      <w:r>
        <w:rPr>
          <w:rFonts w:ascii="Times New Roman" w:hAnsi="Times New Roman" w:eastAsia="方正仿宋_GBK" w:cs="Times New Roman"/>
          <w:snapToGrid w:val="0"/>
          <w:color w:val="auto"/>
          <w:kern w:val="0"/>
          <w:sz w:val="32"/>
          <w:szCs w:val="32"/>
        </w:rPr>
        <w:t>；联系电话：023</w:t>
      </w:r>
      <w:r>
        <w:rPr>
          <w:rFonts w:hint="eastAsia" w:eastAsia="方正仿宋_GBK" w:cs="Times New Roman"/>
          <w:snapToGrid w:val="0"/>
          <w:color w:val="auto"/>
          <w:kern w:val="0"/>
          <w:sz w:val="32"/>
          <w:szCs w:val="32"/>
          <w:lang w:eastAsia="zh-CN"/>
        </w:rPr>
        <w:t>—</w:t>
      </w:r>
      <w:r>
        <w:rPr>
          <w:rFonts w:ascii="Times New Roman" w:hAnsi="Times New Roman" w:eastAsia="方正仿宋_GBK" w:cs="Times New Roman"/>
          <w:snapToGrid w:val="0"/>
          <w:color w:val="auto"/>
          <w:kern w:val="0"/>
          <w:sz w:val="32"/>
          <w:szCs w:val="32"/>
        </w:rPr>
        <w:t>88707091）</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auto"/>
          <w:sz w:val="32"/>
          <w:szCs w:val="36"/>
        </w:rPr>
        <w:br w:type="page"/>
      </w:r>
      <w:r>
        <w:rPr>
          <w:rFonts w:hint="eastAsia" w:ascii="Times New Roman" w:hAnsi="Times New Roman" w:eastAsia="方正黑体_GBK" w:cs="方正黑体_GBK"/>
          <w:b w:val="0"/>
          <w:color w:val="auto"/>
          <w:sz w:val="32"/>
          <w:szCs w:val="32"/>
        </w:rPr>
        <w:t>附件</w:t>
      </w:r>
      <w:r>
        <w:rPr>
          <w:rFonts w:hint="eastAsia" w:ascii="Times New Roman" w:hAnsi="Times New Roman" w:eastAsia="方正黑体_GBK" w:cs="方正黑体_GBK"/>
          <w:b w:val="0"/>
          <w:color w:val="auto"/>
          <w:sz w:val="32"/>
          <w:szCs w:val="32"/>
          <w:lang w:val="en-US" w:eastAsia="zh-CN"/>
        </w:rPr>
        <w:t>1</w:t>
      </w:r>
    </w:p>
    <w:p>
      <w:pPr>
        <w:pStyle w:val="7"/>
        <w:bidi w:val="0"/>
        <w:rPr>
          <w:rFonts w:hint="eastAsia" w:ascii="方正小标宋_GBK" w:hAnsi="方正小标宋_GBK" w:eastAsia="方正小标宋_GBK" w:cs="方正小标宋_GBK"/>
          <w:b w:val="0"/>
          <w:bCs/>
          <w:color w:val="auto"/>
          <w:sz w:val="44"/>
          <w:szCs w:val="44"/>
          <w:highlight w:val="none"/>
          <w:lang w:val="en-GB" w:eastAsia="zh-CN"/>
        </w:rPr>
      </w:pPr>
    </w:p>
    <w:p>
      <w:pPr>
        <w:pStyle w:val="7"/>
        <w:bidi w:val="0"/>
        <w:rPr>
          <w:rFonts w:hint="eastAsia" w:ascii="方正小标宋_GBK" w:hAnsi="方正小标宋_GBK" w:eastAsia="方正小标宋_GBK" w:cs="方正小标宋_GBK"/>
          <w:b w:val="0"/>
          <w:bCs/>
          <w:color w:val="auto"/>
          <w:sz w:val="44"/>
          <w:szCs w:val="44"/>
          <w:highlight w:val="none"/>
          <w:lang w:val="en-GB" w:eastAsia="zh-CN"/>
        </w:rPr>
      </w:pPr>
      <w:r>
        <w:rPr>
          <w:rFonts w:hint="eastAsia" w:ascii="方正小标宋_GBK" w:hAnsi="方正小标宋_GBK" w:eastAsia="方正小标宋_GBK" w:cs="方正小标宋_GBK"/>
          <w:b w:val="0"/>
          <w:bCs/>
          <w:color w:val="auto"/>
          <w:sz w:val="44"/>
          <w:szCs w:val="44"/>
          <w:highlight w:val="none"/>
          <w:lang w:val="en-GB" w:eastAsia="zh-CN"/>
        </w:rPr>
        <w:t>云阳县凤鸣—盘龙水网连通及城乡供水</w:t>
      </w:r>
    </w:p>
    <w:p>
      <w:pPr>
        <w:pStyle w:val="7"/>
        <w:bidi w:val="0"/>
        <w:rPr>
          <w:rFonts w:hint="eastAsia" w:ascii="方正小标宋_GBK" w:hAnsi="方正小标宋_GBK" w:eastAsia="方正小标宋_GBK" w:cs="方正小标宋_GBK"/>
          <w:b w:val="0"/>
          <w:bCs/>
          <w:color w:val="auto"/>
          <w:sz w:val="44"/>
          <w:szCs w:val="44"/>
          <w:highlight w:val="none"/>
          <w:lang w:val="en-GB"/>
        </w:rPr>
      </w:pPr>
      <w:r>
        <w:rPr>
          <w:rFonts w:hint="eastAsia" w:ascii="方正小标宋_GBK" w:hAnsi="方正小标宋_GBK" w:eastAsia="方正小标宋_GBK" w:cs="方正小标宋_GBK"/>
          <w:b w:val="0"/>
          <w:bCs/>
          <w:color w:val="auto"/>
          <w:sz w:val="44"/>
          <w:szCs w:val="44"/>
          <w:highlight w:val="none"/>
          <w:lang w:val="en-GB" w:eastAsia="zh-CN"/>
        </w:rPr>
        <w:t>一体化工程</w:t>
      </w:r>
      <w:r>
        <w:rPr>
          <w:rFonts w:hint="eastAsia" w:ascii="方正小标宋_GBK" w:hAnsi="方正小标宋_GBK" w:eastAsia="方正小标宋_GBK" w:cs="方正小标宋_GBK"/>
          <w:b w:val="0"/>
          <w:bCs/>
          <w:color w:val="auto"/>
          <w:sz w:val="44"/>
          <w:szCs w:val="44"/>
          <w:highlight w:val="none"/>
          <w:lang w:val="en-GB"/>
        </w:rPr>
        <w:t>水土保持方案特性表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660"/>
        <w:gridCol w:w="134"/>
        <w:gridCol w:w="415"/>
        <w:gridCol w:w="855"/>
        <w:gridCol w:w="233"/>
        <w:gridCol w:w="436"/>
        <w:gridCol w:w="87"/>
        <w:gridCol w:w="1182"/>
        <w:gridCol w:w="222"/>
        <w:gridCol w:w="767"/>
        <w:gridCol w:w="685"/>
        <w:gridCol w:w="216"/>
        <w:gridCol w:w="414"/>
        <w:gridCol w:w="645"/>
        <w:gridCol w:w="79"/>
        <w:gridCol w:w="12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242" w:type="dxa"/>
            <w:gridSpan w:val="3"/>
            <w:tcBorders>
              <w:top w:val="single" w:color="auto" w:sz="12"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GB"/>
              </w:rPr>
              <w:br w:type="page"/>
            </w:r>
            <w:r>
              <w:rPr>
                <w:rFonts w:hint="default" w:ascii="Times New Roman" w:hAnsi="Times New Roman" w:cs="Times New Roman"/>
                <w:color w:val="auto"/>
                <w:sz w:val="16"/>
                <w:szCs w:val="22"/>
                <w:highlight w:val="none"/>
              </w:rPr>
              <w:t>项目名称</w:t>
            </w:r>
          </w:p>
        </w:tc>
        <w:tc>
          <w:tcPr>
            <w:tcW w:w="4197" w:type="dxa"/>
            <w:gridSpan w:val="8"/>
            <w:tcBorders>
              <w:top w:val="single" w:color="auto" w:sz="12"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云阳县凤鸣—盘龙水网连通及城乡供水一体化工程</w:t>
            </w:r>
          </w:p>
        </w:tc>
        <w:tc>
          <w:tcPr>
            <w:tcW w:w="2039" w:type="dxa"/>
            <w:gridSpan w:val="5"/>
            <w:tcBorders>
              <w:top w:val="single" w:color="auto" w:sz="12"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流域管理机构</w:t>
            </w:r>
          </w:p>
        </w:tc>
        <w:tc>
          <w:tcPr>
            <w:tcW w:w="1242" w:type="dxa"/>
            <w:tcBorders>
              <w:top w:val="single" w:color="auto" w:sz="12"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eastAsia="zh-CN"/>
              </w:rPr>
              <w:t>水利部</w:t>
            </w:r>
            <w:r>
              <w:rPr>
                <w:rFonts w:hint="default" w:ascii="Times New Roman" w:hAnsi="Times New Roman" w:cs="Times New Roman"/>
                <w:color w:val="auto"/>
                <w:sz w:val="16"/>
                <w:szCs w:val="22"/>
                <w:highlight w:val="none"/>
              </w:rPr>
              <w:t>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2"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涉及省市</w:t>
            </w:r>
          </w:p>
        </w:tc>
        <w:tc>
          <w:tcPr>
            <w:tcW w:w="1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重庆市</w:t>
            </w:r>
          </w:p>
        </w:tc>
        <w:tc>
          <w:tcPr>
            <w:tcW w:w="17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涉及地市或个数</w:t>
            </w:r>
          </w:p>
        </w:tc>
        <w:tc>
          <w:tcPr>
            <w:tcW w:w="9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p>
        </w:tc>
        <w:tc>
          <w:tcPr>
            <w:tcW w:w="203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涉及县或个数</w:t>
            </w:r>
          </w:p>
        </w:tc>
        <w:tc>
          <w:tcPr>
            <w:tcW w:w="124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云阳县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242"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项目规模</w:t>
            </w:r>
          </w:p>
        </w:tc>
        <w:tc>
          <w:tcPr>
            <w:tcW w:w="320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jc w:val="left"/>
              <w:rPr>
                <w:rFonts w:hint="default" w:ascii="Times New Roman" w:hAnsi="Times New Roman" w:cs="Times New Roman"/>
                <w:color w:val="auto"/>
                <w:highlight w:val="none"/>
              </w:rPr>
            </w:pPr>
            <w:r>
              <w:rPr>
                <w:rFonts w:hint="default" w:ascii="Times New Roman" w:hAnsi="Times New Roman" w:cs="Times New Roman"/>
                <w:color w:val="auto"/>
                <w:sz w:val="16"/>
                <w:szCs w:val="22"/>
                <w:highlight w:val="none"/>
                <w:lang w:val="en-US" w:eastAsia="zh-CN"/>
              </w:rPr>
              <w:t>城乡供水一体化工程：新建取水泵站3座；新建、改扩建5条输水管道，长14.28km；改扩建龙泉水厂，改造院庄水厂和里市水厂；延伸、改造配水管网（含入户管）132.24km，新建加压泵站1座。水源工程：扩建石楼水库，总库容126.0万m³；输水管道长6.44km。</w:t>
            </w:r>
          </w:p>
        </w:tc>
        <w:tc>
          <w:tcPr>
            <w:tcW w:w="9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总投资</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（万元）</w:t>
            </w:r>
          </w:p>
        </w:tc>
        <w:tc>
          <w:tcPr>
            <w:tcW w:w="9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26480.01</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土建投资</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（万元）</w:t>
            </w:r>
          </w:p>
        </w:tc>
        <w:tc>
          <w:tcPr>
            <w:tcW w:w="124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10931.60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2"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动工时间</w:t>
            </w:r>
          </w:p>
        </w:tc>
        <w:tc>
          <w:tcPr>
            <w:tcW w:w="19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2025年</w:t>
            </w:r>
            <w:r>
              <w:rPr>
                <w:rFonts w:hint="eastAsia" w:cs="Times New Roman"/>
                <w:color w:val="auto"/>
                <w:sz w:val="16"/>
                <w:szCs w:val="22"/>
                <w:highlight w:val="none"/>
                <w:lang w:val="en-US" w:eastAsia="zh-CN"/>
              </w:rPr>
              <w:t>11</w:t>
            </w:r>
            <w:r>
              <w:rPr>
                <w:rFonts w:hint="default" w:ascii="Times New Roman" w:hAnsi="Times New Roman" w:cs="Times New Roman"/>
                <w:color w:val="auto"/>
                <w:sz w:val="16"/>
                <w:szCs w:val="22"/>
                <w:highlight w:val="none"/>
                <w:lang w:val="en-US" w:eastAsia="zh-CN"/>
              </w:rPr>
              <w:t>月</w:t>
            </w:r>
          </w:p>
        </w:tc>
        <w:tc>
          <w:tcPr>
            <w:tcW w:w="12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完工时间</w:t>
            </w:r>
          </w:p>
        </w:tc>
        <w:tc>
          <w:tcPr>
            <w:tcW w:w="189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2027年</w:t>
            </w:r>
            <w:r>
              <w:rPr>
                <w:rFonts w:hint="eastAsia" w:cs="Times New Roman"/>
                <w:color w:val="auto"/>
                <w:sz w:val="16"/>
                <w:szCs w:val="22"/>
                <w:highlight w:val="none"/>
                <w:lang w:val="en-US" w:eastAsia="zh-CN"/>
              </w:rPr>
              <w:t>10</w:t>
            </w:r>
            <w:r>
              <w:rPr>
                <w:rFonts w:hint="default" w:ascii="Times New Roman" w:hAnsi="Times New Roman" w:cs="Times New Roman"/>
                <w:color w:val="auto"/>
                <w:sz w:val="16"/>
                <w:szCs w:val="22"/>
                <w:highlight w:val="none"/>
                <w:lang w:val="en-US" w:eastAsia="zh-CN"/>
              </w:rPr>
              <w:t>月</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设计水平年</w:t>
            </w:r>
          </w:p>
        </w:tc>
        <w:tc>
          <w:tcPr>
            <w:tcW w:w="124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202</w:t>
            </w:r>
            <w:r>
              <w:rPr>
                <w:rFonts w:hint="default" w:ascii="Times New Roman" w:hAnsi="Times New Roman" w:cs="Times New Roman"/>
                <w:color w:val="auto"/>
                <w:sz w:val="16"/>
                <w:szCs w:val="22"/>
                <w:highlight w:val="none"/>
                <w:lang w:val="en-US" w:eastAsia="zh-CN"/>
              </w:rPr>
              <w:t>7</w:t>
            </w:r>
            <w:r>
              <w:rPr>
                <w:rFonts w:hint="default" w:ascii="Times New Roman" w:hAnsi="Times New Roman" w:cs="Times New Roman"/>
                <w:color w:val="auto"/>
                <w:sz w:val="16"/>
                <w:szCs w:val="22"/>
                <w:highlight w:val="none"/>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42"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工程占地（h</w:t>
            </w:r>
            <w:r>
              <w:rPr>
                <w:rFonts w:hint="default" w:ascii="Times New Roman" w:hAnsi="Times New Roman" w:cs="Times New Roman"/>
                <w:color w:val="auto"/>
                <w:sz w:val="16"/>
                <w:szCs w:val="22"/>
                <w:highlight w:val="none"/>
                <w:lang w:eastAsia="zh-CN"/>
              </w:rPr>
              <w:t>m²</w:t>
            </w:r>
            <w:r>
              <w:rPr>
                <w:rFonts w:hint="default" w:ascii="Times New Roman" w:hAnsi="Times New Roman" w:cs="Times New Roman"/>
                <w:color w:val="auto"/>
                <w:sz w:val="16"/>
                <w:szCs w:val="22"/>
                <w:highlight w:val="none"/>
              </w:rPr>
              <w:t>）</w:t>
            </w:r>
          </w:p>
        </w:tc>
        <w:tc>
          <w:tcPr>
            <w:tcW w:w="19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cs="Times New Roman"/>
                <w:color w:val="auto"/>
                <w:sz w:val="16"/>
                <w:szCs w:val="22"/>
                <w:highlight w:val="none"/>
                <w:lang w:val="en-US" w:eastAsia="zh-CN"/>
              </w:rPr>
              <w:t>32.29（322883m²）</w:t>
            </w:r>
          </w:p>
        </w:tc>
        <w:tc>
          <w:tcPr>
            <w:tcW w:w="12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永久占地</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eastAsia" w:cs="Times New Roman"/>
                <w:color w:val="auto"/>
                <w:sz w:val="16"/>
                <w:szCs w:val="22"/>
                <w:highlight w:val="none"/>
                <w:lang w:eastAsia="zh-CN"/>
              </w:rPr>
              <w:t>(</w:t>
            </w:r>
            <w:r>
              <w:rPr>
                <w:rFonts w:hint="default" w:ascii="Times New Roman" w:hAnsi="Times New Roman" w:cs="Times New Roman"/>
                <w:color w:val="auto"/>
                <w:sz w:val="16"/>
                <w:szCs w:val="22"/>
                <w:highlight w:val="none"/>
              </w:rPr>
              <w:t>h</w:t>
            </w:r>
            <w:r>
              <w:rPr>
                <w:rFonts w:hint="default" w:ascii="Times New Roman" w:hAnsi="Times New Roman" w:cs="Times New Roman"/>
                <w:color w:val="auto"/>
                <w:sz w:val="16"/>
                <w:szCs w:val="22"/>
                <w:highlight w:val="none"/>
                <w:lang w:eastAsia="zh-CN"/>
              </w:rPr>
              <w:t>m²</w:t>
            </w:r>
            <w:r>
              <w:rPr>
                <w:rFonts w:hint="eastAsia" w:cs="Times New Roman"/>
                <w:color w:val="auto"/>
                <w:sz w:val="16"/>
                <w:szCs w:val="22"/>
                <w:highlight w:val="none"/>
                <w:lang w:eastAsia="zh-CN"/>
              </w:rPr>
              <w:t>)</w:t>
            </w:r>
          </w:p>
        </w:tc>
        <w:tc>
          <w:tcPr>
            <w:tcW w:w="189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11.16</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临时占地</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eastAsia" w:cs="Times New Roman"/>
                <w:color w:val="auto"/>
                <w:sz w:val="16"/>
                <w:szCs w:val="22"/>
                <w:highlight w:val="none"/>
                <w:lang w:eastAsia="zh-CN"/>
              </w:rPr>
              <w:t>(</w:t>
            </w:r>
            <w:r>
              <w:rPr>
                <w:rFonts w:hint="default" w:ascii="Times New Roman" w:hAnsi="Times New Roman" w:cs="Times New Roman"/>
                <w:color w:val="auto"/>
                <w:sz w:val="16"/>
                <w:szCs w:val="22"/>
                <w:highlight w:val="none"/>
              </w:rPr>
              <w:t>h</w:t>
            </w:r>
            <w:r>
              <w:rPr>
                <w:rFonts w:hint="default" w:ascii="Times New Roman" w:hAnsi="Times New Roman" w:cs="Times New Roman"/>
                <w:color w:val="auto"/>
                <w:sz w:val="16"/>
                <w:szCs w:val="22"/>
                <w:highlight w:val="none"/>
                <w:lang w:eastAsia="zh-CN"/>
              </w:rPr>
              <w:t>m²</w:t>
            </w:r>
            <w:r>
              <w:rPr>
                <w:rFonts w:hint="eastAsia" w:cs="Times New Roman"/>
                <w:color w:val="auto"/>
                <w:sz w:val="16"/>
                <w:szCs w:val="22"/>
                <w:highlight w:val="none"/>
                <w:lang w:eastAsia="zh-CN"/>
              </w:rPr>
              <w:t>)</w:t>
            </w:r>
          </w:p>
        </w:tc>
        <w:tc>
          <w:tcPr>
            <w:tcW w:w="124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cs="Times New Roman"/>
                <w:color w:val="auto"/>
                <w:sz w:val="16"/>
                <w:szCs w:val="22"/>
                <w:highlight w:val="none"/>
                <w:lang w:val="en-US" w:eastAsia="zh-CN"/>
              </w:rPr>
              <w:t>21.13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81" w:type="dxa"/>
            <w:gridSpan w:val="7"/>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土石方量（万m³）</w:t>
            </w:r>
          </w:p>
        </w:tc>
        <w:tc>
          <w:tcPr>
            <w:tcW w:w="12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挖方</w:t>
            </w:r>
          </w:p>
        </w:tc>
        <w:tc>
          <w:tcPr>
            <w:tcW w:w="189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填方</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借方</w:t>
            </w:r>
          </w:p>
        </w:tc>
        <w:tc>
          <w:tcPr>
            <w:tcW w:w="124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81" w:type="dxa"/>
            <w:gridSpan w:val="7"/>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12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cs="Times New Roman"/>
                <w:color w:val="auto"/>
                <w:sz w:val="16"/>
                <w:szCs w:val="22"/>
                <w:highlight w:val="none"/>
                <w:lang w:val="en-US" w:eastAsia="zh-CN"/>
              </w:rPr>
              <w:t>23.32</w:t>
            </w:r>
          </w:p>
        </w:tc>
        <w:tc>
          <w:tcPr>
            <w:tcW w:w="189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11.42</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0</w:t>
            </w:r>
          </w:p>
        </w:tc>
        <w:tc>
          <w:tcPr>
            <w:tcW w:w="124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11.90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12" w:type="dxa"/>
            <w:gridSpan w:val="5"/>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重点防治区名称</w:t>
            </w:r>
          </w:p>
        </w:tc>
        <w:tc>
          <w:tcPr>
            <w:tcW w:w="6208" w:type="dxa"/>
            <w:gridSpan w:val="1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jc w:val="left"/>
              <w:rPr>
                <w:rFonts w:hint="eastAsia" w:ascii="Times New Roman" w:hAnsi="Times New Roman" w:eastAsia="仿宋_GB2312" w:cs="Times New Roman"/>
                <w:color w:val="auto"/>
                <w:sz w:val="16"/>
                <w:szCs w:val="22"/>
                <w:highlight w:val="none"/>
                <w:lang w:eastAsia="zh-CN"/>
              </w:rPr>
            </w:pPr>
            <w:r>
              <w:rPr>
                <w:rFonts w:hint="default" w:ascii="Times New Roman" w:hAnsi="Times New Roman" w:cs="Times New Roman"/>
                <w:color w:val="auto"/>
                <w:sz w:val="16"/>
                <w:szCs w:val="22"/>
                <w:highlight w:val="none"/>
              </w:rPr>
              <w:t>三峡库区国家级水土流失重点治理区、重庆市水土流失重点治理区</w:t>
            </w:r>
            <w:r>
              <w:rPr>
                <w:rFonts w:hint="eastAsia" w:cs="Times New Roman"/>
                <w:color w:val="auto"/>
                <w:sz w:val="16"/>
                <w:szCs w:val="22"/>
                <w:highlight w:val="none"/>
                <w:lang w:eastAsia="zh-CN"/>
              </w:rPr>
              <w:t>、</w:t>
            </w:r>
            <w:r>
              <w:rPr>
                <w:rFonts w:hint="eastAsia" w:cs="Times New Roman"/>
                <w:color w:val="auto"/>
                <w:sz w:val="16"/>
                <w:szCs w:val="22"/>
                <w:highlight w:val="none"/>
                <w:lang w:val="en-US" w:eastAsia="zh-CN"/>
              </w:rPr>
              <w:t>长江以南低山丘陵水土流失重点治理区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12" w:type="dxa"/>
            <w:gridSpan w:val="5"/>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地貌类型</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构造剥蚀侵蚀浅宽谷</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低山地貌</w:t>
            </w:r>
          </w:p>
        </w:tc>
        <w:tc>
          <w:tcPr>
            <w:tcW w:w="230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水土保持区划</w:t>
            </w:r>
          </w:p>
        </w:tc>
        <w:tc>
          <w:tcPr>
            <w:tcW w:w="1966"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西南紫色土区（四川盆地及周围山地丘陵区）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5"/>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土壤侵蚀类型</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水力侵蚀</w:t>
            </w:r>
          </w:p>
        </w:tc>
        <w:tc>
          <w:tcPr>
            <w:tcW w:w="230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土壤侵蚀强度</w:t>
            </w:r>
          </w:p>
        </w:tc>
        <w:tc>
          <w:tcPr>
            <w:tcW w:w="1966"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5"/>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防治责任范围面积（h</w:t>
            </w:r>
            <w:r>
              <w:rPr>
                <w:rFonts w:hint="default" w:ascii="Times New Roman" w:hAnsi="Times New Roman" w:cs="Times New Roman"/>
                <w:color w:val="auto"/>
                <w:sz w:val="16"/>
                <w:szCs w:val="22"/>
                <w:highlight w:val="none"/>
                <w:lang w:eastAsia="zh-CN"/>
              </w:rPr>
              <w:t>m²</w:t>
            </w:r>
            <w:r>
              <w:rPr>
                <w:rFonts w:hint="default" w:ascii="Times New Roman" w:hAnsi="Times New Roman" w:cs="Times New Roman"/>
                <w:color w:val="auto"/>
                <w:sz w:val="16"/>
                <w:szCs w:val="22"/>
                <w:highlight w:val="none"/>
              </w:rPr>
              <w:t>）</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cs="Times New Roman"/>
                <w:color w:val="auto"/>
                <w:sz w:val="16"/>
                <w:szCs w:val="22"/>
                <w:highlight w:val="none"/>
                <w:lang w:val="en-US" w:eastAsia="zh-CN"/>
              </w:rPr>
              <w:t>32.29</w:t>
            </w:r>
          </w:p>
        </w:tc>
        <w:tc>
          <w:tcPr>
            <w:tcW w:w="230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容许土壤流失量[t/（</w:t>
            </w:r>
            <w:r>
              <w:rPr>
                <w:rFonts w:hint="default" w:ascii="Times New Roman" w:hAnsi="Times New Roman" w:cs="Times New Roman"/>
                <w:color w:val="auto"/>
                <w:sz w:val="16"/>
                <w:szCs w:val="22"/>
                <w:highlight w:val="none"/>
                <w:lang w:eastAsia="zh-CN"/>
              </w:rPr>
              <w:t>km²</w:t>
            </w:r>
            <w:r>
              <w:rPr>
                <w:rFonts w:hint="default" w:ascii="Times New Roman" w:hAnsi="Times New Roman" w:cs="Times New Roman"/>
                <w:color w:val="auto"/>
                <w:sz w:val="16"/>
                <w:szCs w:val="22"/>
                <w:highlight w:val="none"/>
              </w:rPr>
              <w:t>.a）]</w:t>
            </w:r>
          </w:p>
        </w:tc>
        <w:tc>
          <w:tcPr>
            <w:tcW w:w="1966"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5"/>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土壤流失预测总量（t）</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1053</w:t>
            </w:r>
          </w:p>
        </w:tc>
        <w:tc>
          <w:tcPr>
            <w:tcW w:w="230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新增水土流失量</w:t>
            </w:r>
            <w:r>
              <w:rPr>
                <w:rFonts w:hint="eastAsia" w:cs="Times New Roman"/>
                <w:color w:val="auto"/>
                <w:sz w:val="16"/>
                <w:szCs w:val="22"/>
                <w:highlight w:val="none"/>
                <w:lang w:eastAsia="zh-CN"/>
              </w:rPr>
              <w:t>（</w:t>
            </w:r>
            <w:r>
              <w:rPr>
                <w:rFonts w:hint="default" w:ascii="Times New Roman" w:hAnsi="Times New Roman" w:cs="Times New Roman"/>
                <w:color w:val="auto"/>
                <w:sz w:val="16"/>
                <w:szCs w:val="22"/>
                <w:highlight w:val="none"/>
              </w:rPr>
              <w:t>t</w:t>
            </w:r>
            <w:r>
              <w:rPr>
                <w:rFonts w:hint="eastAsia" w:cs="Times New Roman"/>
                <w:color w:val="auto"/>
                <w:sz w:val="16"/>
                <w:szCs w:val="22"/>
                <w:highlight w:val="none"/>
                <w:lang w:eastAsia="zh-CN"/>
              </w:rPr>
              <w:t>）</w:t>
            </w:r>
          </w:p>
        </w:tc>
        <w:tc>
          <w:tcPr>
            <w:tcW w:w="1966"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5"/>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水土流失防治标准执行等级</w:t>
            </w:r>
          </w:p>
        </w:tc>
        <w:tc>
          <w:tcPr>
            <w:tcW w:w="6208" w:type="dxa"/>
            <w:gridSpan w:val="1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西南紫色土区建设类一级标准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8" w:type="dxa"/>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指标</w:t>
            </w:r>
          </w:p>
        </w:tc>
        <w:tc>
          <w:tcPr>
            <w:tcW w:w="206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水土流失治理度（%）</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97</w:t>
            </w:r>
          </w:p>
        </w:tc>
        <w:tc>
          <w:tcPr>
            <w:tcW w:w="302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土壤流失控制比</w:t>
            </w:r>
          </w:p>
        </w:tc>
        <w:tc>
          <w:tcPr>
            <w:tcW w:w="124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206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渣土防护率（%）</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eastAsia="仿宋_GB2312" w:cs="Times New Roman"/>
                <w:color w:val="auto"/>
                <w:sz w:val="16"/>
                <w:szCs w:val="22"/>
                <w:highlight w:val="none"/>
                <w:lang w:val="en-US" w:eastAsia="zh-CN"/>
              </w:rPr>
            </w:pPr>
            <w:r>
              <w:rPr>
                <w:rFonts w:hint="eastAsia" w:cs="Times New Roman"/>
                <w:color w:val="auto"/>
                <w:sz w:val="16"/>
                <w:szCs w:val="22"/>
                <w:highlight w:val="none"/>
                <w:lang w:val="en-US" w:eastAsia="zh-CN"/>
              </w:rPr>
              <w:t>92</w:t>
            </w:r>
          </w:p>
        </w:tc>
        <w:tc>
          <w:tcPr>
            <w:tcW w:w="302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表土保护率</w:t>
            </w:r>
            <w:r>
              <w:rPr>
                <w:rFonts w:hint="eastAsia" w:cs="Times New Roman"/>
                <w:color w:val="auto"/>
                <w:sz w:val="16"/>
                <w:szCs w:val="22"/>
                <w:highlight w:val="none"/>
                <w:lang w:eastAsia="zh-CN"/>
              </w:rPr>
              <w:t>（</w:t>
            </w:r>
            <w:r>
              <w:rPr>
                <w:rFonts w:hint="default" w:ascii="Times New Roman" w:hAnsi="Times New Roman" w:cs="Times New Roman"/>
                <w:color w:val="auto"/>
                <w:sz w:val="16"/>
                <w:szCs w:val="22"/>
                <w:highlight w:val="none"/>
              </w:rPr>
              <w:t>%</w:t>
            </w:r>
            <w:r>
              <w:rPr>
                <w:rFonts w:hint="eastAsia" w:cs="Times New Roman"/>
                <w:color w:val="auto"/>
                <w:sz w:val="16"/>
                <w:szCs w:val="22"/>
                <w:highlight w:val="none"/>
                <w:lang w:eastAsia="zh-CN"/>
              </w:rPr>
              <w:t>）</w:t>
            </w:r>
          </w:p>
        </w:tc>
        <w:tc>
          <w:tcPr>
            <w:tcW w:w="124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206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林草植被恢复率（%）</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97</w:t>
            </w:r>
          </w:p>
        </w:tc>
        <w:tc>
          <w:tcPr>
            <w:tcW w:w="302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林草覆盖率</w:t>
            </w:r>
            <w:r>
              <w:rPr>
                <w:rFonts w:hint="eastAsia" w:cs="Times New Roman"/>
                <w:color w:val="auto"/>
                <w:sz w:val="16"/>
                <w:szCs w:val="22"/>
                <w:highlight w:val="none"/>
                <w:lang w:eastAsia="zh-CN"/>
              </w:rPr>
              <w:t>（</w:t>
            </w:r>
            <w:r>
              <w:rPr>
                <w:rFonts w:hint="default" w:ascii="Times New Roman" w:hAnsi="Times New Roman" w:cs="Times New Roman"/>
                <w:color w:val="auto"/>
                <w:sz w:val="16"/>
                <w:szCs w:val="22"/>
                <w:highlight w:val="none"/>
              </w:rPr>
              <w:t>%</w:t>
            </w:r>
            <w:r>
              <w:rPr>
                <w:rFonts w:hint="eastAsia" w:cs="Times New Roman"/>
                <w:color w:val="auto"/>
                <w:sz w:val="16"/>
                <w:szCs w:val="22"/>
                <w:highlight w:val="none"/>
                <w:lang w:eastAsia="zh-CN"/>
              </w:rPr>
              <w:t>）</w:t>
            </w:r>
          </w:p>
        </w:tc>
        <w:tc>
          <w:tcPr>
            <w:tcW w:w="124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cs="Times New Roman"/>
                <w:color w:val="auto"/>
                <w:sz w:val="16"/>
                <w:szCs w:val="22"/>
                <w:highlight w:val="no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8" w:type="dxa"/>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防治</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措施及工程量</w:t>
            </w:r>
          </w:p>
        </w:tc>
        <w:tc>
          <w:tcPr>
            <w:tcW w:w="206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防治分区</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工程措施</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植物措施</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2064" w:type="dxa"/>
            <w:gridSpan w:val="4"/>
            <w:tcBorders>
              <w:top w:val="single" w:color="auto" w:sz="4" w:space="0"/>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取水工程防治区</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cs="Times New Roman"/>
                <w:color w:val="auto"/>
                <w:sz w:val="16"/>
                <w:szCs w:val="22"/>
                <w:highlight w:val="none"/>
                <w:lang w:val="en-US" w:eastAsia="zh-CN"/>
              </w:rPr>
              <w:t>/</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eastAsia" w:ascii="Times New Roman" w:hAnsi="Times New Roman" w:eastAsia="仿宋_GB2312" w:cs="Times New Roman"/>
                <w:color w:val="auto"/>
                <w:sz w:val="16"/>
                <w:szCs w:val="22"/>
                <w:highlight w:val="none"/>
                <w:lang w:val="en-US" w:eastAsia="zh-CN"/>
              </w:rPr>
            </w:pPr>
            <w:r>
              <w:rPr>
                <w:rFonts w:hint="eastAsia" w:cs="Times New Roman"/>
                <w:color w:val="auto"/>
                <w:sz w:val="16"/>
                <w:szCs w:val="22"/>
                <w:highlight w:val="none"/>
                <w:lang w:val="en-US" w:eastAsia="zh-CN"/>
              </w:rPr>
              <w:t>/</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16"/>
                <w:szCs w:val="22"/>
                <w:highlight w:val="none"/>
                <w:lang w:eastAsia="zh-CN"/>
              </w:rPr>
            </w:pPr>
            <w:r>
              <w:rPr>
                <w:rFonts w:hint="default" w:ascii="Times New Roman" w:hAnsi="Times New Roman" w:cs="Times New Roman"/>
                <w:color w:val="auto"/>
                <w:sz w:val="16"/>
                <w:szCs w:val="22"/>
                <w:highlight w:val="none"/>
              </w:rPr>
              <w:t>方案新增：</w:t>
            </w:r>
            <w:r>
              <w:rPr>
                <w:rFonts w:hint="default" w:ascii="Times New Roman" w:hAnsi="Times New Roman" w:cs="Times New Roman"/>
                <w:color w:val="auto"/>
                <w:sz w:val="16"/>
                <w:szCs w:val="22"/>
                <w:highlight w:val="none"/>
                <w:lang w:val="en-US" w:eastAsia="zh-CN"/>
              </w:rPr>
              <w:t>临时排水沟22m</w:t>
            </w:r>
            <w:r>
              <w:rPr>
                <w:rFonts w:hint="eastAsia" w:cs="Times New Roman"/>
                <w:color w:val="auto"/>
                <w:sz w:val="16"/>
                <w:szCs w:val="22"/>
                <w:highlight w:val="none"/>
                <w:lang w:val="en-US" w:eastAsia="zh-CN"/>
              </w:rPr>
              <w:t>，泥浆沉淀池2座，临时覆盖</w:t>
            </w:r>
            <w:r>
              <w:rPr>
                <w:rFonts w:hint="default" w:ascii="Times New Roman" w:hAnsi="Times New Roman" w:cs="Times New Roman"/>
                <w:color w:val="auto"/>
                <w:sz w:val="16"/>
                <w:szCs w:val="22"/>
                <w:highlight w:val="none"/>
                <w:lang w:val="en-US" w:eastAsia="zh-CN"/>
              </w:rPr>
              <w:t>300m²</w:t>
            </w:r>
            <w:r>
              <w:rPr>
                <w:rFonts w:hint="eastAsia" w:cs="Times New Roman"/>
                <w:color w:val="auto"/>
                <w:sz w:val="16"/>
                <w:szCs w:val="22"/>
                <w:highlight w:val="none"/>
                <w:lang w:val="en-US" w:eastAsia="zh-CN"/>
              </w:rPr>
              <w:t>，临时拦挡12m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2064" w:type="dxa"/>
            <w:gridSpan w:val="4"/>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净水工程防治区</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主体设计：雨水管23.5m</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主体设计：景观绿化150m²</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方案新增：</w:t>
            </w:r>
            <w:r>
              <w:rPr>
                <w:rFonts w:hint="eastAsia" w:cs="Times New Roman"/>
                <w:color w:val="auto"/>
                <w:sz w:val="16"/>
                <w:szCs w:val="22"/>
                <w:highlight w:val="none"/>
                <w:lang w:val="en-US" w:eastAsia="zh-CN"/>
              </w:rPr>
              <w:t>临时排水沟27m，泥浆沉淀池1座，临时覆盖200m²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660" w:type="dxa"/>
            <w:vMerge w:val="restart"/>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管道工程防治区</w:t>
            </w:r>
          </w:p>
        </w:tc>
        <w:tc>
          <w:tcPr>
            <w:tcW w:w="1404" w:type="dxa"/>
            <w:gridSpan w:val="3"/>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明管段</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方案新增：表土剥离0.02万m³，表土回覆0.02万m³，土地整治0.13hm²</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方案新增：撒播植草0.13hm²</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w:t>
            </w:r>
            <w:r>
              <w:rPr>
                <w:rFonts w:hint="eastAsia" w:ascii="Times New Roman" w:hAnsi="Times New Roman" w:cs="Times New Roman"/>
                <w:color w:val="auto"/>
                <w:sz w:val="16"/>
                <w:szCs w:val="22"/>
                <w:highlight w:val="none"/>
                <w:lang w:val="en-US" w:eastAsia="zh-CN"/>
              </w:rPr>
              <w:t>临时覆盖</w:t>
            </w:r>
            <w:r>
              <w:rPr>
                <w:rFonts w:hint="default" w:ascii="Times New Roman" w:hAnsi="Times New Roman" w:cs="Times New Roman"/>
                <w:color w:val="auto"/>
                <w:sz w:val="16"/>
                <w:szCs w:val="22"/>
                <w:highlight w:val="none"/>
                <w:lang w:val="en-US" w:eastAsia="zh-CN"/>
              </w:rPr>
              <w:t>200m²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660" w:type="dxa"/>
            <w:vMerge w:val="continue"/>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p>
        </w:tc>
        <w:tc>
          <w:tcPr>
            <w:tcW w:w="1404" w:type="dxa"/>
            <w:gridSpan w:val="3"/>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埋管段</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方案新增：表土剥离0.33万m³，表土回覆0.33万m³，土地整治5.64hm²</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方案新增：撒播植草4.75hm²</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w:t>
            </w:r>
            <w:r>
              <w:rPr>
                <w:rFonts w:hint="eastAsia" w:ascii="Times New Roman" w:hAnsi="Times New Roman" w:cs="Times New Roman"/>
                <w:color w:val="auto"/>
                <w:sz w:val="16"/>
                <w:szCs w:val="22"/>
                <w:highlight w:val="none"/>
                <w:lang w:val="en-US" w:eastAsia="zh-CN"/>
              </w:rPr>
              <w:t>临时覆盖</w:t>
            </w:r>
            <w:r>
              <w:rPr>
                <w:rFonts w:hint="default" w:ascii="Times New Roman" w:hAnsi="Times New Roman" w:cs="Times New Roman"/>
                <w:color w:val="auto"/>
                <w:sz w:val="16"/>
                <w:szCs w:val="22"/>
                <w:highlight w:val="none"/>
                <w:lang w:val="en-US" w:eastAsia="zh-CN"/>
              </w:rPr>
              <w:t>14500m²，</w:t>
            </w:r>
            <w:r>
              <w:rPr>
                <w:rFonts w:hint="eastAsia" w:ascii="Times New Roman" w:hAnsi="Times New Roman" w:cs="Times New Roman"/>
                <w:color w:val="auto"/>
                <w:sz w:val="16"/>
                <w:szCs w:val="22"/>
                <w:highlight w:val="none"/>
                <w:lang w:val="en-US" w:eastAsia="zh-CN"/>
              </w:rPr>
              <w:t>临时拦挡</w:t>
            </w:r>
            <w:r>
              <w:rPr>
                <w:rFonts w:hint="default" w:ascii="Times New Roman" w:hAnsi="Times New Roman" w:cs="Times New Roman"/>
                <w:color w:val="auto"/>
                <w:sz w:val="16"/>
                <w:szCs w:val="22"/>
                <w:highlight w:val="none"/>
                <w:lang w:val="en-US" w:eastAsia="zh-CN"/>
              </w:rPr>
              <w:t>3000m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660" w:type="dxa"/>
            <w:vMerge w:val="continue"/>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p>
        </w:tc>
        <w:tc>
          <w:tcPr>
            <w:tcW w:w="1404" w:type="dxa"/>
            <w:gridSpan w:val="3"/>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河沟段</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center"/>
              <w:rPr>
                <w:rFonts w:hint="default"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center"/>
              <w:rPr>
                <w:rFonts w:hint="default"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w:t>
            </w:r>
            <w:r>
              <w:rPr>
                <w:rFonts w:hint="eastAsia" w:ascii="Times New Roman" w:hAnsi="Times New Roman" w:cs="Times New Roman"/>
                <w:color w:val="auto"/>
                <w:sz w:val="16"/>
                <w:szCs w:val="22"/>
                <w:highlight w:val="none"/>
                <w:lang w:val="en-US" w:eastAsia="zh-CN"/>
              </w:rPr>
              <w:t>临时覆盖</w:t>
            </w:r>
            <w:r>
              <w:rPr>
                <w:rFonts w:hint="default" w:ascii="Times New Roman" w:hAnsi="Times New Roman" w:cs="Times New Roman"/>
                <w:color w:val="auto"/>
                <w:sz w:val="16"/>
                <w:szCs w:val="22"/>
                <w:highlight w:val="none"/>
                <w:lang w:val="en-US" w:eastAsia="zh-CN"/>
              </w:rPr>
              <w:t>500m²，</w:t>
            </w:r>
            <w:r>
              <w:rPr>
                <w:rFonts w:hint="eastAsia" w:ascii="Times New Roman" w:hAnsi="Times New Roman" w:cs="Times New Roman"/>
                <w:color w:val="auto"/>
                <w:sz w:val="16"/>
                <w:szCs w:val="22"/>
                <w:highlight w:val="none"/>
                <w:lang w:val="en-US" w:eastAsia="zh-CN"/>
              </w:rPr>
              <w:t>临时拦挡</w:t>
            </w:r>
            <w:r>
              <w:rPr>
                <w:rFonts w:hint="default" w:ascii="Times New Roman" w:hAnsi="Times New Roman" w:cs="Times New Roman"/>
                <w:color w:val="auto"/>
                <w:sz w:val="16"/>
                <w:szCs w:val="22"/>
                <w:highlight w:val="none"/>
                <w:lang w:val="en-US" w:eastAsia="zh-CN"/>
              </w:rPr>
              <w:t>150m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2064" w:type="dxa"/>
            <w:gridSpan w:val="4"/>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枢纽工程防治区</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主体设计：截水沟189m；方案新增：表土剥离0.08万m³，表土回覆0.05万m³，土地整治0.25hm²</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w:t>
            </w:r>
            <w:r>
              <w:rPr>
                <w:rFonts w:hint="eastAsia" w:cs="Times New Roman"/>
                <w:color w:val="auto"/>
                <w:sz w:val="16"/>
                <w:szCs w:val="22"/>
                <w:highlight w:val="none"/>
                <w:lang w:val="en-US" w:eastAsia="zh-CN"/>
              </w:rPr>
              <w:t>撒播植草</w:t>
            </w:r>
            <w:r>
              <w:rPr>
                <w:rFonts w:hint="default" w:ascii="Times New Roman" w:hAnsi="Times New Roman" w:cs="Times New Roman"/>
                <w:color w:val="auto"/>
                <w:sz w:val="16"/>
                <w:szCs w:val="22"/>
                <w:highlight w:val="none"/>
                <w:lang w:val="en-US" w:eastAsia="zh-CN"/>
              </w:rPr>
              <w:t>0.25hm²，栽植乔木278株</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w:t>
            </w:r>
            <w:r>
              <w:rPr>
                <w:rFonts w:hint="eastAsia" w:ascii="Times New Roman" w:hAnsi="Times New Roman" w:cs="Times New Roman"/>
                <w:color w:val="auto"/>
                <w:sz w:val="16"/>
                <w:szCs w:val="22"/>
                <w:highlight w:val="none"/>
                <w:lang w:val="en-US" w:eastAsia="zh-CN"/>
              </w:rPr>
              <w:t>临时覆盖</w:t>
            </w:r>
            <w:r>
              <w:rPr>
                <w:rFonts w:hint="default" w:ascii="Times New Roman" w:hAnsi="Times New Roman" w:cs="Times New Roman"/>
                <w:color w:val="auto"/>
                <w:sz w:val="16"/>
                <w:szCs w:val="22"/>
                <w:highlight w:val="none"/>
                <w:lang w:val="en-US" w:eastAsia="zh-CN"/>
              </w:rPr>
              <w:t>4000m²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660" w:type="dxa"/>
            <w:vMerge w:val="restart"/>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道路工程防治区</w:t>
            </w:r>
          </w:p>
        </w:tc>
        <w:tc>
          <w:tcPr>
            <w:tcW w:w="1404" w:type="dxa"/>
            <w:gridSpan w:val="3"/>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上坝道路防治区</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主体设计：截排水沟700m；方案新增：表土剥离0.08万m³，表土回覆0.08万m³，土地整治0.23hm²</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方案新增：撒播植草0.23hm²，栽植乔木300株，种植爬山虎5000株</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w:t>
            </w:r>
            <w:r>
              <w:rPr>
                <w:rFonts w:hint="eastAsia" w:ascii="Times New Roman" w:hAnsi="Times New Roman" w:cs="Times New Roman"/>
                <w:color w:val="auto"/>
                <w:sz w:val="16"/>
                <w:szCs w:val="22"/>
                <w:highlight w:val="none"/>
                <w:lang w:val="en-US" w:eastAsia="zh-CN"/>
              </w:rPr>
              <w:t>临时覆盖3000m²，临时拦挡458m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660" w:type="dxa"/>
            <w:vMerge w:val="continue"/>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p>
        </w:tc>
        <w:tc>
          <w:tcPr>
            <w:tcW w:w="1404" w:type="dxa"/>
            <w:gridSpan w:val="3"/>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rPr>
                <w:rFonts w:hint="eastAsia"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临时道路防治区</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方案新增：表土剥离0.11万m³，表土回覆0.14万m³，土地整治0.68hm²</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方案新增：栽植乔木1066株，撒播植草0.68hm²</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方案新增：临时排水沟1300m，临时沉沙池6座，临时覆盖2000m²，临时拦挡1300m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2064" w:type="dxa"/>
            <w:gridSpan w:val="4"/>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rPr>
                <w:rFonts w:hint="eastAsia"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施工生产生活防治区</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w:t>
            </w:r>
            <w:r>
              <w:rPr>
                <w:rFonts w:hint="eastAsia" w:ascii="Times New Roman" w:hAnsi="Times New Roman" w:cs="Times New Roman"/>
                <w:color w:val="auto"/>
                <w:sz w:val="16"/>
                <w:szCs w:val="22"/>
                <w:highlight w:val="none"/>
                <w:lang w:val="en-US" w:eastAsia="zh-CN"/>
              </w:rPr>
              <w:t>：</w:t>
            </w:r>
            <w:r>
              <w:rPr>
                <w:rFonts w:hint="default" w:ascii="Times New Roman" w:hAnsi="Times New Roman" w:cs="Times New Roman"/>
                <w:color w:val="auto"/>
                <w:sz w:val="16"/>
                <w:szCs w:val="22"/>
                <w:highlight w:val="none"/>
                <w:lang w:val="en-US" w:eastAsia="zh-CN"/>
              </w:rPr>
              <w:t>表土剥离0.30万m³，表土回覆0.30万m³，土地整治1.62hm²</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方案新增：栽植乔木1011株，撒播植草0.91hm²</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方案新增：临时排水沟1241m，临时沉沙池10座，临时覆盖5000m²，临时拦挡346m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2064" w:type="dxa"/>
            <w:gridSpan w:val="4"/>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rPr>
                <w:rFonts w:hint="eastAsia"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弃渣场防治区</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主体设计：挡渣墙16m，排水沟668m，沉沙池2座，排水盲管305m</w:t>
            </w:r>
            <w:r>
              <w:rPr>
                <w:rFonts w:hint="eastAsia" w:ascii="Times New Roman" w:hAnsi="Times New Roman" w:cs="Times New Roman"/>
                <w:color w:val="auto"/>
                <w:sz w:val="16"/>
                <w:szCs w:val="22"/>
                <w:highlight w:val="none"/>
                <w:lang w:val="en-US" w:eastAsia="zh-CN"/>
              </w:rPr>
              <w:t>；</w:t>
            </w:r>
          </w:p>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eastAsia" w:ascii="Times New Roman" w:hAnsi="Times New Roman" w:cs="Times New Roman"/>
                <w:color w:val="auto"/>
                <w:sz w:val="16"/>
                <w:szCs w:val="22"/>
                <w:highlight w:val="none"/>
                <w:lang w:val="en-US" w:eastAsia="zh-CN"/>
              </w:rPr>
              <w:t>方案新增：表土剥离0.36万m³，表土回覆0.36万m³，土地整治1.81hm²，平台排水沟326m</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方案新增：栽植乔木811株，撒播植草1.81hm²</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jc w:val="left"/>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方案新增：</w:t>
            </w:r>
            <w:r>
              <w:rPr>
                <w:rFonts w:hint="eastAsia" w:ascii="Times New Roman" w:hAnsi="Times New Roman" w:cs="Times New Roman"/>
                <w:color w:val="auto"/>
                <w:sz w:val="16"/>
                <w:szCs w:val="22"/>
                <w:highlight w:val="none"/>
                <w:lang w:val="en-US" w:eastAsia="zh-CN"/>
              </w:rPr>
              <w:t>临时覆盖</w:t>
            </w:r>
            <w:r>
              <w:rPr>
                <w:rFonts w:hint="default" w:ascii="Times New Roman" w:hAnsi="Times New Roman" w:cs="Times New Roman"/>
                <w:color w:val="auto"/>
                <w:sz w:val="16"/>
                <w:szCs w:val="22"/>
                <w:highlight w:val="none"/>
                <w:lang w:val="en-US" w:eastAsia="zh-CN"/>
              </w:rPr>
              <w:t>5000m²，</w:t>
            </w:r>
            <w:r>
              <w:rPr>
                <w:rFonts w:hint="eastAsia" w:ascii="Times New Roman" w:hAnsi="Times New Roman" w:cs="Times New Roman"/>
                <w:color w:val="auto"/>
                <w:sz w:val="16"/>
                <w:szCs w:val="22"/>
                <w:highlight w:val="none"/>
                <w:lang w:val="en-US" w:eastAsia="zh-CN"/>
              </w:rPr>
              <w:t>临时拦挡</w:t>
            </w:r>
            <w:r>
              <w:rPr>
                <w:rFonts w:hint="default" w:ascii="Times New Roman" w:hAnsi="Times New Roman" w:cs="Times New Roman"/>
                <w:color w:val="auto"/>
                <w:sz w:val="16"/>
                <w:szCs w:val="22"/>
                <w:highlight w:val="none"/>
                <w:lang w:val="en-US" w:eastAsia="zh-CN"/>
              </w:rPr>
              <w:t>43.5m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2064" w:type="dxa"/>
            <w:gridSpan w:val="4"/>
            <w:tcBorders>
              <w:left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rPr>
                <w:rFonts w:hint="eastAsia"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库区防治区</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rPr>
                <w:rFonts w:hint="default" w:ascii="Times New Roman" w:hAnsi="Times New Roman" w:cs="Times New Roman"/>
                <w:color w:val="auto"/>
                <w:sz w:val="16"/>
                <w:szCs w:val="22"/>
                <w:highlight w:val="none"/>
                <w:lang w:val="en-US" w:eastAsia="zh-CN"/>
              </w:rPr>
            </w:pPr>
            <w:r>
              <w:rPr>
                <w:rFonts w:hint="eastAsia" w:cs="Times New Roman"/>
                <w:color w:val="auto"/>
                <w:sz w:val="16"/>
                <w:szCs w:val="22"/>
                <w:highlight w:val="none"/>
                <w:lang w:val="en-US" w:eastAsia="zh-CN"/>
              </w:rPr>
              <w:t>/</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rPr>
                <w:rFonts w:hint="default" w:ascii="Times New Roman" w:hAnsi="Times New Roman" w:cs="Times New Roman"/>
                <w:color w:val="auto"/>
                <w:sz w:val="16"/>
                <w:szCs w:val="22"/>
                <w:highlight w:val="none"/>
                <w:lang w:val="en-US" w:eastAsia="zh-CN"/>
              </w:rPr>
            </w:pPr>
            <w:r>
              <w:rPr>
                <w:rFonts w:hint="eastAsia" w:cs="Times New Roman"/>
                <w:color w:val="auto"/>
                <w:sz w:val="16"/>
                <w:szCs w:val="22"/>
                <w:highlight w:val="none"/>
                <w:lang w:val="en-US" w:eastAsia="zh-CN"/>
              </w:rPr>
              <w:t>/</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firstLine="0" w:firstLineChars="0"/>
              <w:rPr>
                <w:rFonts w:hint="default" w:ascii="Times New Roman" w:hAnsi="Times New Roman" w:cs="Times New Roman"/>
                <w:color w:val="auto"/>
                <w:sz w:val="16"/>
                <w:szCs w:val="22"/>
                <w:highlight w:val="none"/>
                <w:lang w:val="en-US" w:eastAsia="zh-CN"/>
              </w:rPr>
            </w:pPr>
            <w:r>
              <w:rPr>
                <w:rFonts w:hint="eastAsia" w:cs="Times New Roman"/>
                <w:color w:val="auto"/>
                <w:sz w:val="16"/>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p>
        </w:tc>
        <w:tc>
          <w:tcPr>
            <w:tcW w:w="206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投资（万元）</w:t>
            </w:r>
          </w:p>
        </w:tc>
        <w:tc>
          <w:tcPr>
            <w:tcW w:w="19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rPr>
            </w:pPr>
            <w:r>
              <w:rPr>
                <w:rFonts w:hint="default" w:ascii="Times New Roman" w:hAnsi="Times New Roman" w:cs="Times New Roman"/>
                <w:color w:val="auto"/>
                <w:sz w:val="16"/>
                <w:szCs w:val="22"/>
                <w:highlight w:val="none"/>
              </w:rPr>
              <w:t>主体设计：</w:t>
            </w:r>
            <w:r>
              <w:rPr>
                <w:rFonts w:hint="default" w:ascii="Times New Roman" w:hAnsi="Times New Roman" w:cs="Times New Roman"/>
                <w:color w:val="auto"/>
                <w:sz w:val="16"/>
                <w:szCs w:val="22"/>
                <w:highlight w:val="none"/>
                <w:lang w:val="en-US" w:eastAsia="zh-CN"/>
              </w:rPr>
              <w:t>197.24</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rPr>
              <w:t>方案新增：</w:t>
            </w:r>
            <w:r>
              <w:rPr>
                <w:rFonts w:hint="default" w:ascii="Times New Roman" w:hAnsi="Times New Roman" w:cs="Times New Roman"/>
                <w:color w:val="auto"/>
                <w:sz w:val="16"/>
                <w:szCs w:val="22"/>
                <w:highlight w:val="none"/>
                <w:lang w:val="en-US" w:eastAsia="zh-CN"/>
              </w:rPr>
              <w:t>61.72</w:t>
            </w:r>
          </w:p>
        </w:tc>
        <w:tc>
          <w:tcPr>
            <w:tcW w:w="16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rPr>
              <w:t>主体设计：</w:t>
            </w:r>
            <w:r>
              <w:rPr>
                <w:rFonts w:hint="default" w:ascii="Times New Roman" w:hAnsi="Times New Roman" w:cs="Times New Roman"/>
                <w:color w:val="auto"/>
                <w:sz w:val="16"/>
                <w:szCs w:val="22"/>
                <w:highlight w:val="none"/>
                <w:lang w:val="en-US" w:eastAsia="zh-CN"/>
              </w:rPr>
              <w:t>2.10</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rPr>
            </w:pPr>
            <w:r>
              <w:rPr>
                <w:rFonts w:hint="default" w:ascii="Times New Roman" w:hAnsi="Times New Roman" w:cs="Times New Roman"/>
                <w:color w:val="auto"/>
                <w:sz w:val="16"/>
                <w:szCs w:val="22"/>
                <w:highlight w:val="none"/>
              </w:rPr>
              <w:t>方案新增：</w:t>
            </w:r>
            <w:r>
              <w:rPr>
                <w:rFonts w:hint="default" w:ascii="Times New Roman" w:hAnsi="Times New Roman" w:cs="Times New Roman"/>
                <w:color w:val="auto"/>
                <w:sz w:val="16"/>
                <w:szCs w:val="22"/>
                <w:highlight w:val="none"/>
                <w:lang w:val="en-US" w:eastAsia="zh-CN"/>
              </w:rPr>
              <w:t>24.90</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主体设计：</w:t>
            </w:r>
            <w:r>
              <w:rPr>
                <w:rFonts w:hint="default" w:ascii="Times New Roman" w:hAnsi="Times New Roman" w:cs="Times New Roman"/>
                <w:color w:val="auto"/>
                <w:sz w:val="16"/>
                <w:szCs w:val="22"/>
                <w:highlight w:val="none"/>
                <w:lang w:val="en-US" w:eastAsia="zh-CN"/>
              </w:rPr>
              <w:t>0</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rPr>
              <w:t>方案新增：</w:t>
            </w:r>
            <w:r>
              <w:rPr>
                <w:rFonts w:hint="default" w:ascii="Times New Roman" w:hAnsi="Times New Roman" w:cs="Times New Roman"/>
                <w:color w:val="auto"/>
                <w:sz w:val="16"/>
                <w:szCs w:val="22"/>
                <w:highlight w:val="none"/>
                <w:lang w:val="en-US" w:eastAsia="zh-CN"/>
              </w:rPr>
              <w:t>64.86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12" w:type="dxa"/>
            <w:gridSpan w:val="5"/>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水土保持总投资（万元）</w:t>
            </w:r>
          </w:p>
        </w:tc>
        <w:tc>
          <w:tcPr>
            <w:tcW w:w="216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lang w:val="en-US" w:eastAsia="zh-CN"/>
              </w:rPr>
              <w:t>482.63</w:t>
            </w:r>
            <w:r>
              <w:rPr>
                <w:rFonts w:hint="default" w:ascii="Times New Roman" w:hAnsi="Times New Roman" w:cs="Times New Roman"/>
                <w:color w:val="auto"/>
                <w:sz w:val="16"/>
                <w:szCs w:val="22"/>
                <w:highlight w:val="none"/>
              </w:rPr>
              <w:t>（主体设计</w:t>
            </w:r>
            <w:r>
              <w:rPr>
                <w:rFonts w:hint="default" w:ascii="Times New Roman" w:hAnsi="Times New Roman" w:cs="Times New Roman"/>
                <w:color w:val="auto"/>
                <w:sz w:val="16"/>
                <w:szCs w:val="22"/>
                <w:highlight w:val="none"/>
                <w:lang w:val="en-US" w:eastAsia="zh-CN"/>
              </w:rPr>
              <w:t>199.34</w:t>
            </w:r>
            <w:r>
              <w:rPr>
                <w:rFonts w:hint="default" w:ascii="Times New Roman" w:hAnsi="Times New Roman" w:cs="Times New Roman"/>
                <w:color w:val="auto"/>
                <w:sz w:val="16"/>
                <w:szCs w:val="22"/>
                <w:highlight w:val="none"/>
                <w:lang w:val="zh-CN" w:eastAsia="zh-CN"/>
              </w:rPr>
              <w:t>，</w:t>
            </w:r>
            <w:r>
              <w:rPr>
                <w:rFonts w:hint="default" w:ascii="Times New Roman" w:hAnsi="Times New Roman" w:cs="Times New Roman"/>
                <w:color w:val="auto"/>
                <w:sz w:val="16"/>
                <w:szCs w:val="22"/>
                <w:highlight w:val="none"/>
              </w:rPr>
              <w:t>方案新增</w:t>
            </w:r>
            <w:r>
              <w:rPr>
                <w:rFonts w:hint="default" w:ascii="Times New Roman" w:hAnsi="Times New Roman" w:cs="Times New Roman"/>
                <w:color w:val="auto"/>
                <w:sz w:val="16"/>
                <w:szCs w:val="22"/>
                <w:highlight w:val="none"/>
                <w:lang w:val="en-US" w:eastAsia="zh-CN"/>
              </w:rPr>
              <w:t>283.29</w:t>
            </w:r>
            <w:r>
              <w:rPr>
                <w:rFonts w:hint="default" w:ascii="Times New Roman" w:hAnsi="Times New Roman" w:cs="Times New Roman"/>
                <w:color w:val="auto"/>
                <w:sz w:val="16"/>
                <w:szCs w:val="22"/>
                <w:highlight w:val="none"/>
              </w:rPr>
              <w:t>）</w:t>
            </w:r>
          </w:p>
        </w:tc>
        <w:tc>
          <w:tcPr>
            <w:tcW w:w="14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独立费用</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（万元）</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lang w:val="en-US" w:eastAsia="zh-CN"/>
              </w:rPr>
              <w:t>69.90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5"/>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监理费（万元）</w:t>
            </w:r>
          </w:p>
        </w:tc>
        <w:tc>
          <w:tcPr>
            <w:tcW w:w="75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rPr>
            </w:pPr>
            <w:r>
              <w:rPr>
                <w:rFonts w:hint="default" w:ascii="Times New Roman" w:hAnsi="Times New Roman" w:cs="Times New Roman"/>
                <w:color w:val="auto"/>
                <w:sz w:val="16"/>
                <w:szCs w:val="22"/>
                <w:highlight w:val="none"/>
                <w:lang w:val="en-US" w:eastAsia="zh-CN"/>
              </w:rPr>
              <w:t>5.80</w:t>
            </w:r>
          </w:p>
        </w:tc>
        <w:tc>
          <w:tcPr>
            <w:tcW w:w="14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监测费（万元）</w:t>
            </w:r>
          </w:p>
        </w:tc>
        <w:tc>
          <w:tcPr>
            <w:tcW w:w="14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rPr>
            </w:pPr>
            <w:r>
              <w:rPr>
                <w:rFonts w:hint="default" w:ascii="Times New Roman" w:hAnsi="Times New Roman" w:cs="Times New Roman"/>
                <w:color w:val="auto"/>
                <w:sz w:val="16"/>
                <w:szCs w:val="22"/>
                <w:highlight w:val="none"/>
                <w:lang w:val="en-US" w:eastAsia="zh-CN"/>
              </w:rPr>
              <w:t>37.05</w:t>
            </w:r>
          </w:p>
        </w:tc>
        <w:tc>
          <w:tcPr>
            <w:tcW w:w="127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补偿费</w:t>
            </w:r>
          </w:p>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（万元）</w:t>
            </w:r>
          </w:p>
        </w:tc>
        <w:tc>
          <w:tcPr>
            <w:tcW w:w="1321"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rPr>
            </w:pPr>
            <w:r>
              <w:rPr>
                <w:rFonts w:hint="default" w:ascii="Times New Roman" w:hAnsi="Times New Roman" w:cs="Times New Roman"/>
                <w:color w:val="auto"/>
                <w:sz w:val="16"/>
                <w:szCs w:val="22"/>
                <w:highlight w:val="none"/>
                <w:lang w:val="en-US" w:eastAsia="zh-CN"/>
              </w:rPr>
              <w:t>9.3</w:t>
            </w:r>
            <w:r>
              <w:rPr>
                <w:rFonts w:hint="eastAsia" w:ascii="Times New Roman" w:hAnsi="Times New Roman" w:cs="Times New Roman"/>
                <w:color w:val="auto"/>
                <w:sz w:val="16"/>
                <w:szCs w:val="22"/>
                <w:highlight w:val="none"/>
                <w:lang w:val="en-US" w:eastAsia="zh-CN"/>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57"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方案编制单位</w:t>
            </w:r>
          </w:p>
        </w:tc>
        <w:tc>
          <w:tcPr>
            <w:tcW w:w="301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重庆骊跃环保工程有限公司</w:t>
            </w:r>
          </w:p>
        </w:tc>
        <w:tc>
          <w:tcPr>
            <w:tcW w:w="14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建设单位</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eastAsia" w:cs="Times New Roman"/>
                <w:color w:val="auto"/>
                <w:sz w:val="16"/>
                <w:szCs w:val="22"/>
                <w:highlight w:val="none"/>
                <w:lang w:val="en-US" w:eastAsia="zh-CN"/>
              </w:rPr>
              <w:t>重庆农高实业集团有限公司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57"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法定代表人</w:t>
            </w:r>
          </w:p>
        </w:tc>
        <w:tc>
          <w:tcPr>
            <w:tcW w:w="301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汪玉娥</w:t>
            </w:r>
          </w:p>
        </w:tc>
        <w:tc>
          <w:tcPr>
            <w:tcW w:w="14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法定代表人</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eastAsia="zh-CN"/>
              </w:rPr>
            </w:pPr>
            <w:r>
              <w:rPr>
                <w:rFonts w:hint="default" w:ascii="Times New Roman" w:hAnsi="Times New Roman" w:cs="Times New Roman"/>
                <w:color w:val="auto"/>
                <w:sz w:val="16"/>
                <w:szCs w:val="22"/>
                <w:highlight w:val="none"/>
              </w:rPr>
              <w:t>刘洪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57"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地址</w:t>
            </w:r>
          </w:p>
        </w:tc>
        <w:tc>
          <w:tcPr>
            <w:tcW w:w="301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重庆市</w:t>
            </w:r>
            <w:r>
              <w:rPr>
                <w:rFonts w:hint="default" w:ascii="Times New Roman" w:hAnsi="Times New Roman" w:cs="Times New Roman"/>
                <w:color w:val="auto"/>
                <w:sz w:val="16"/>
                <w:szCs w:val="22"/>
                <w:highlight w:val="none"/>
                <w:lang w:val="en-US" w:eastAsia="zh-CN"/>
              </w:rPr>
              <w:t>渝北区食品城大道18号创意公园22栋4单元202</w:t>
            </w:r>
          </w:p>
        </w:tc>
        <w:tc>
          <w:tcPr>
            <w:tcW w:w="14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地址</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重庆市云阳县双江街道迎宾大道698号办公楼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57"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邮编</w:t>
            </w:r>
          </w:p>
        </w:tc>
        <w:tc>
          <w:tcPr>
            <w:tcW w:w="301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40</w:t>
            </w:r>
            <w:r>
              <w:rPr>
                <w:rFonts w:hint="default" w:ascii="Times New Roman" w:hAnsi="Times New Roman" w:cs="Times New Roman"/>
                <w:color w:val="auto"/>
                <w:sz w:val="16"/>
                <w:szCs w:val="22"/>
                <w:highlight w:val="none"/>
                <w:lang w:val="en-US" w:eastAsia="zh-CN"/>
              </w:rPr>
              <w:t>1120</w:t>
            </w:r>
          </w:p>
        </w:tc>
        <w:tc>
          <w:tcPr>
            <w:tcW w:w="14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邮编</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404500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57" w:type="dxa"/>
            <w:gridSpan w:val="4"/>
            <w:tcBorders>
              <w:top w:val="single" w:color="auto" w:sz="4" w:space="0"/>
              <w:left w:val="single" w:color="auto" w:sz="12" w:space="0"/>
              <w:bottom w:val="single" w:color="auto" w:sz="4" w:space="0"/>
              <w:right w:val="single" w:color="000000"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联系人及电话</w:t>
            </w:r>
          </w:p>
        </w:tc>
        <w:tc>
          <w:tcPr>
            <w:tcW w:w="3015" w:type="dxa"/>
            <w:gridSpan w:val="6"/>
            <w:tcBorders>
              <w:top w:val="single" w:color="auto" w:sz="4" w:space="0"/>
              <w:left w:val="single" w:color="000000"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汪玉娥/18</w:t>
            </w:r>
            <w:r>
              <w:rPr>
                <w:rFonts w:hint="eastAsia" w:cs="Times New Roman"/>
                <w:color w:val="auto"/>
                <w:sz w:val="16"/>
                <w:szCs w:val="22"/>
                <w:highlight w:val="none"/>
                <w:lang w:val="en-US" w:eastAsia="zh-CN"/>
              </w:rPr>
              <w:t>***</w:t>
            </w:r>
            <w:r>
              <w:rPr>
                <w:rFonts w:hint="default" w:ascii="Times New Roman" w:hAnsi="Times New Roman" w:cs="Times New Roman"/>
                <w:color w:val="auto"/>
                <w:sz w:val="16"/>
                <w:szCs w:val="22"/>
                <w:highlight w:val="none"/>
              </w:rPr>
              <w:t>25</w:t>
            </w:r>
          </w:p>
        </w:tc>
        <w:tc>
          <w:tcPr>
            <w:tcW w:w="14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联系人及电话</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lang w:val="en-US"/>
              </w:rPr>
            </w:pPr>
            <w:r>
              <w:rPr>
                <w:rFonts w:hint="default" w:ascii="Times New Roman" w:hAnsi="Times New Roman" w:cs="Times New Roman"/>
                <w:color w:val="auto"/>
                <w:sz w:val="16"/>
                <w:szCs w:val="22"/>
                <w:highlight w:val="none"/>
                <w:lang w:val="en-US" w:eastAsia="zh-CN"/>
              </w:rPr>
              <w:t>罗涛/18</w:t>
            </w:r>
            <w:r>
              <w:rPr>
                <w:rFonts w:hint="eastAsia" w:cs="Times New Roman"/>
                <w:color w:val="auto"/>
                <w:sz w:val="16"/>
                <w:szCs w:val="22"/>
                <w:highlight w:val="none"/>
                <w:lang w:val="en-US" w:eastAsia="zh-CN"/>
              </w:rPr>
              <w:t>***</w:t>
            </w:r>
            <w:r>
              <w:rPr>
                <w:rFonts w:hint="default" w:ascii="Times New Roman" w:hAnsi="Times New Roman" w:cs="Times New Roman"/>
                <w:color w:val="auto"/>
                <w:sz w:val="16"/>
                <w:szCs w:val="22"/>
                <w:highlight w:val="none"/>
                <w:lang w:val="en-US" w:eastAsia="zh-CN"/>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57" w:type="dxa"/>
            <w:gridSpan w:val="4"/>
            <w:tcBorders>
              <w:top w:val="single" w:color="auto" w:sz="4" w:space="0"/>
              <w:left w:val="single" w:color="auto" w:sz="12" w:space="0"/>
              <w:bottom w:val="single" w:color="auto" w:sz="4" w:space="0"/>
              <w:right w:val="single" w:color="000000"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传真</w:t>
            </w:r>
          </w:p>
        </w:tc>
        <w:tc>
          <w:tcPr>
            <w:tcW w:w="3015" w:type="dxa"/>
            <w:gridSpan w:val="6"/>
            <w:tcBorders>
              <w:top w:val="single" w:color="auto" w:sz="4" w:space="0"/>
              <w:left w:val="single" w:color="000000"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023-63</w:t>
            </w:r>
            <w:r>
              <w:rPr>
                <w:rFonts w:hint="eastAsia" w:cs="Times New Roman"/>
                <w:color w:val="auto"/>
                <w:sz w:val="16"/>
                <w:szCs w:val="22"/>
                <w:highlight w:val="none"/>
                <w:lang w:val="en-US" w:eastAsia="zh-CN"/>
              </w:rPr>
              <w:t>***</w:t>
            </w:r>
            <w:r>
              <w:rPr>
                <w:rFonts w:hint="default" w:ascii="Times New Roman" w:hAnsi="Times New Roman" w:cs="Times New Roman"/>
                <w:color w:val="auto"/>
                <w:sz w:val="16"/>
                <w:szCs w:val="22"/>
                <w:highlight w:val="none"/>
              </w:rPr>
              <w:t>75</w:t>
            </w:r>
          </w:p>
        </w:tc>
        <w:tc>
          <w:tcPr>
            <w:tcW w:w="14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传真</w:t>
            </w:r>
          </w:p>
        </w:tc>
        <w:tc>
          <w:tcPr>
            <w:tcW w:w="2596"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57" w:type="dxa"/>
            <w:gridSpan w:val="4"/>
            <w:tcBorders>
              <w:top w:val="single" w:color="auto" w:sz="4" w:space="0"/>
              <w:left w:val="single" w:color="auto" w:sz="12" w:space="0"/>
              <w:bottom w:val="single" w:color="auto" w:sz="12" w:space="0"/>
              <w:right w:val="single" w:color="000000"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电子信箱</w:t>
            </w:r>
          </w:p>
        </w:tc>
        <w:tc>
          <w:tcPr>
            <w:tcW w:w="3015" w:type="dxa"/>
            <w:gridSpan w:val="6"/>
            <w:tcBorders>
              <w:top w:val="single" w:color="auto" w:sz="4" w:space="0"/>
              <w:left w:val="single" w:color="000000" w:sz="4" w:space="0"/>
              <w:bottom w:val="single" w:color="auto" w:sz="12"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fldChar w:fldCharType="begin"/>
            </w:r>
            <w:r>
              <w:rPr>
                <w:rFonts w:hint="default" w:ascii="Times New Roman" w:hAnsi="Times New Roman" w:cs="Times New Roman"/>
                <w:color w:val="auto"/>
                <w:sz w:val="16"/>
                <w:szCs w:val="22"/>
                <w:highlight w:val="none"/>
              </w:rPr>
              <w:instrText xml:space="preserve"> HYPERLINK "mailto:21178753@qq.com" </w:instrText>
            </w:r>
            <w:r>
              <w:rPr>
                <w:rFonts w:hint="default" w:ascii="Times New Roman" w:hAnsi="Times New Roman" w:cs="Times New Roman"/>
                <w:color w:val="auto"/>
                <w:sz w:val="16"/>
                <w:szCs w:val="22"/>
                <w:highlight w:val="none"/>
              </w:rPr>
              <w:fldChar w:fldCharType="separate"/>
            </w:r>
            <w:r>
              <w:rPr>
                <w:rFonts w:hint="default" w:ascii="Times New Roman" w:hAnsi="Times New Roman" w:cs="Times New Roman"/>
                <w:color w:val="auto"/>
                <w:sz w:val="16"/>
                <w:szCs w:val="22"/>
                <w:highlight w:val="none"/>
              </w:rPr>
              <w:t>21</w:t>
            </w:r>
            <w:r>
              <w:rPr>
                <w:rFonts w:hint="eastAsia" w:cs="Times New Roman"/>
                <w:color w:val="auto"/>
                <w:sz w:val="16"/>
                <w:szCs w:val="22"/>
                <w:highlight w:val="none"/>
                <w:lang w:val="en-US" w:eastAsia="zh-CN"/>
              </w:rPr>
              <w:t>***</w:t>
            </w:r>
            <w:r>
              <w:rPr>
                <w:rFonts w:hint="default" w:ascii="Times New Roman" w:hAnsi="Times New Roman" w:cs="Times New Roman"/>
                <w:color w:val="auto"/>
                <w:sz w:val="16"/>
                <w:szCs w:val="22"/>
                <w:highlight w:val="none"/>
              </w:rPr>
              <w:t>53@qq.com</w:t>
            </w:r>
            <w:r>
              <w:rPr>
                <w:rFonts w:hint="default" w:ascii="Times New Roman" w:hAnsi="Times New Roman" w:cs="Times New Roman"/>
                <w:color w:val="auto"/>
                <w:sz w:val="16"/>
                <w:szCs w:val="22"/>
                <w:highlight w:val="none"/>
              </w:rPr>
              <w:fldChar w:fldCharType="end"/>
            </w:r>
          </w:p>
        </w:tc>
        <w:tc>
          <w:tcPr>
            <w:tcW w:w="1452" w:type="dxa"/>
            <w:gridSpan w:val="2"/>
            <w:tcBorders>
              <w:top w:val="single" w:color="auto" w:sz="4" w:space="0"/>
              <w:left w:val="single" w:color="auto" w:sz="4" w:space="0"/>
              <w:bottom w:val="single" w:color="auto" w:sz="12" w:space="0"/>
              <w:right w:val="single" w:color="auto" w:sz="4"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电子信箱</w:t>
            </w:r>
          </w:p>
        </w:tc>
        <w:tc>
          <w:tcPr>
            <w:tcW w:w="2596" w:type="dxa"/>
            <w:gridSpan w:val="5"/>
            <w:tcBorders>
              <w:top w:val="single" w:color="auto" w:sz="4" w:space="0"/>
              <w:left w:val="single" w:color="auto" w:sz="4" w:space="0"/>
              <w:bottom w:val="single" w:color="auto" w:sz="12" w:space="0"/>
              <w:right w:val="single" w:color="auto" w:sz="12" w:space="0"/>
              <w:tl2br w:val="nil"/>
              <w:tr2bl w:val="nil"/>
            </w:tcBorders>
            <w:noWrap w:val="0"/>
            <w:vAlign w:val="center"/>
          </w:tcPr>
          <w:p>
            <w:pPr>
              <w:pStyle w:val="8"/>
              <w:keepNext w:val="0"/>
              <w:keepLines w:val="0"/>
              <w:suppressLineNumbers w:val="0"/>
              <w:bidi w:val="0"/>
              <w:spacing w:before="0" w:beforeAutospacing="0" w:after="0" w:afterAutospacing="0"/>
              <w:ind w:left="0" w:right="0"/>
              <w:rPr>
                <w:rFonts w:hint="default" w:ascii="Times New Roman" w:hAnsi="Times New Roman" w:cs="Times New Roman"/>
                <w:color w:val="auto"/>
                <w:sz w:val="16"/>
                <w:szCs w:val="22"/>
                <w:highlight w:val="none"/>
              </w:rPr>
            </w:pPr>
            <w:r>
              <w:rPr>
                <w:rFonts w:hint="default" w:ascii="Times New Roman" w:hAnsi="Times New Roman" w:cs="Times New Roman"/>
                <w:color w:val="auto"/>
                <w:sz w:val="16"/>
                <w:szCs w:val="22"/>
                <w:highlight w:val="none"/>
              </w:rPr>
              <w:t>/</w:t>
            </w:r>
          </w:p>
        </w:tc>
      </w:tr>
    </w:tbl>
    <w:p>
      <w:pPr>
        <w:rPr>
          <w:rFonts w:hint="eastAsia" w:ascii="方正黑体简体" w:hAnsi="方正黑体简体" w:eastAsia="方正黑体简体" w:cs="方正黑体简体"/>
          <w:b w:val="0"/>
          <w:bCs/>
          <w:color w:val="auto"/>
          <w:sz w:val="32"/>
          <w:szCs w:val="32"/>
          <w:lang w:eastAsia="zh-CN"/>
        </w:rPr>
      </w:pPr>
      <w:r>
        <w:rPr>
          <w:rFonts w:hint="eastAsia" w:ascii="方正黑体简体" w:hAnsi="方正黑体简体" w:eastAsia="方正黑体简体" w:cs="方正黑体简体"/>
          <w:b w:val="0"/>
          <w:bCs/>
          <w:color w:val="auto"/>
          <w:sz w:val="32"/>
          <w:szCs w:val="32"/>
          <w:lang w:eastAsia="zh-CN"/>
        </w:rPr>
        <w:br w:type="page"/>
      </w:r>
    </w:p>
    <w:p>
      <w:pPr>
        <w:snapToGrid w:val="0"/>
        <w:spacing w:line="594" w:lineRule="exact"/>
        <w:jc w:val="left"/>
        <w:rPr>
          <w:rFonts w:hint="default" w:ascii="Times New Roman" w:hAnsi="Times New Roman" w:eastAsia="方正黑体简体" w:cs="Times New Roman"/>
          <w:b w:val="0"/>
          <w:bCs/>
          <w:color w:val="auto"/>
          <w:sz w:val="32"/>
          <w:szCs w:val="32"/>
          <w:lang w:val="en-US" w:eastAsia="zh-CN"/>
        </w:rPr>
      </w:pPr>
      <w:r>
        <w:rPr>
          <w:rFonts w:hint="default" w:ascii="Times New Roman" w:hAnsi="Times New Roman" w:eastAsia="方正黑体简体" w:cs="Times New Roman"/>
          <w:b w:val="0"/>
          <w:bCs/>
          <w:color w:val="auto"/>
          <w:sz w:val="32"/>
          <w:szCs w:val="32"/>
          <w:lang w:eastAsia="zh-CN"/>
        </w:rPr>
        <w:t>附件</w:t>
      </w:r>
      <w:r>
        <w:rPr>
          <w:rFonts w:hint="default" w:ascii="Times New Roman" w:hAnsi="Times New Roman" w:eastAsia="方正黑体简体" w:cs="Times New Roman"/>
          <w:b w:val="0"/>
          <w:bCs/>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Times New Roman"/>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小标宋_GBK" w:cs="Times New Roman"/>
          <w:bCs/>
          <w:color w:val="auto"/>
          <w:sz w:val="44"/>
          <w:szCs w:val="44"/>
          <w:lang w:eastAsia="zh-CN"/>
        </w:rPr>
        <w:t>云阳县凤鸣—盘龙水网连通及城乡供水一体化工程水土保持方案报告书专家评审意见</w:t>
      </w:r>
    </w:p>
    <w:p>
      <w:pPr>
        <w:snapToGrid w:val="0"/>
        <w:spacing w:line="594" w:lineRule="exact"/>
        <w:ind w:firstLine="640" w:firstLineChars="200"/>
        <w:rPr>
          <w:rFonts w:hint="eastAsia" w:ascii="Times New Roman" w:hAnsi="Times New Roman" w:eastAsia="方正仿宋_GBK" w:cs="Times New Roman"/>
          <w:color w:val="auto"/>
          <w:sz w:val="32"/>
          <w:szCs w:val="32"/>
        </w:rPr>
      </w:pP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2025年</w:t>
      </w: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22</w:t>
      </w:r>
      <w:r>
        <w:rPr>
          <w:rFonts w:hint="eastAsia" w:ascii="Times New Roman" w:hAnsi="Times New Roman" w:eastAsia="方正仿宋_GBK" w:cs="Times New Roman"/>
          <w:color w:val="auto"/>
          <w:sz w:val="32"/>
          <w:szCs w:val="32"/>
        </w:rPr>
        <w:t>日，重庆市水利局组织召开了《</w:t>
      </w:r>
      <w:r>
        <w:rPr>
          <w:rFonts w:hint="eastAsia" w:ascii="Times New Roman" w:hAnsi="Times New Roman" w:eastAsia="方正仿宋_GBK" w:cs="Times New Roman"/>
          <w:color w:val="auto"/>
          <w:sz w:val="32"/>
          <w:szCs w:val="32"/>
          <w:lang w:eastAsia="zh-CN"/>
        </w:rPr>
        <w:t>云阳县凤鸣—盘龙水网连通及城乡供水一体化工程</w:t>
      </w:r>
      <w:r>
        <w:rPr>
          <w:rFonts w:hint="eastAsia" w:ascii="Times New Roman" w:hAnsi="Times New Roman" w:eastAsia="方正仿宋_GBK" w:cs="Times New Roman"/>
          <w:color w:val="auto"/>
          <w:sz w:val="32"/>
          <w:szCs w:val="32"/>
        </w:rPr>
        <w:t>水土保持方案报告书》（以下简称《水保方案》）专家评审会。</w:t>
      </w:r>
      <w:r>
        <w:rPr>
          <w:rFonts w:hint="eastAsia" w:ascii="Times New Roman" w:hAnsi="Times New Roman" w:eastAsia="方正仿宋_GBK" w:cs="Times New Roman"/>
          <w:color w:val="auto"/>
          <w:sz w:val="32"/>
          <w:szCs w:val="32"/>
          <w:lang w:eastAsia="zh-CN"/>
        </w:rPr>
        <w:t>云阳县水利局、重庆农高实业集团有限公司（以下简称项目法人）、长江勘测规划设计研究院有限责任公司和重庆市水利电力建筑勘测设计研究院有限公司（主体设计单位）、重庆骊跃环保工程有限公司（以下简称报告编制单位）</w:t>
      </w:r>
      <w:r>
        <w:rPr>
          <w:rFonts w:hint="eastAsia" w:ascii="Times New Roman" w:hAnsi="Times New Roman" w:eastAsia="方正仿宋_GBK" w:cs="Times New Roman"/>
          <w:color w:val="auto"/>
          <w:sz w:val="32"/>
          <w:szCs w:val="32"/>
        </w:rPr>
        <w:t>的代表及特邀专家参加了会议。会议成立了专家组，专家组成员会前详细审阅了《水保方案》，与会人员会上认真听取了报告编制单位的汇报，进行了深入讨论。</w:t>
      </w:r>
      <w:r>
        <w:rPr>
          <w:rFonts w:hint="eastAsia"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《水利部办公厅关于印发生产建设项目水土保持方案审查要点的通知》（办水保</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《重庆市水利局关于进一步加强和规范生产建设项目水土保持方案审批的通知》（</w:t>
      </w:r>
      <w:r>
        <w:rPr>
          <w:rFonts w:hint="eastAsia" w:ascii="Times New Roman" w:hAnsi="Times New Roman" w:eastAsia="方正仿宋_GBK" w:cs="Times New Roman"/>
          <w:sz w:val="32"/>
          <w:szCs w:val="32"/>
        </w:rPr>
        <w:t>渝水〔2018〕267号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auto"/>
          <w:sz w:val="32"/>
          <w:szCs w:val="32"/>
        </w:rPr>
        <w:t>专家组对《水保方案》进行了质量评分，质量评定等级合格。报告编制单位会后对《水保方案》进行了修改补充，2025年</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11</w:t>
      </w:r>
      <w:r>
        <w:rPr>
          <w:rFonts w:hint="eastAsia" w:ascii="Times New Roman" w:hAnsi="Times New Roman" w:eastAsia="方正仿宋_GBK" w:cs="Times New Roman"/>
          <w:color w:val="auto"/>
          <w:sz w:val="32"/>
          <w:szCs w:val="32"/>
        </w:rPr>
        <w:t>日，项目法人提交了修改完善后的《水保方案》。经专家组复核，形成专家评审意见如下</w:t>
      </w:r>
      <w:r>
        <w:rPr>
          <w:rFonts w:ascii="Times New Roman" w:hAnsi="Times New Roman" w:eastAsia="方正仿宋_GBK" w:cs="Times New Roman"/>
          <w:color w:val="auto"/>
          <w:sz w:val="32"/>
          <w:szCs w:val="32"/>
        </w:rPr>
        <w:t>：</w:t>
      </w:r>
    </w:p>
    <w:p>
      <w:pPr>
        <w:snapToGrid/>
        <w:spacing w:line="594" w:lineRule="exact"/>
        <w:ind w:firstLine="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br w:type="page"/>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一、综合说明</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sz w:val="32"/>
          <w:szCs w:val="32"/>
        </w:rPr>
        <w:t>方案编制依据的法律法规、部委规章、规范性文件、规范标准和技术文件及资料采用基本正确。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（二）同意方案设计水平年为2027年。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（三）同意水土流失防治责任范围界定，水土流失防治责任范围面积为32.29hm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（四）同意项目水土流失防治标准等级执行西南紫色土区建设类一级防治标准。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（五）同意水土流失防治目标为：水土流失治理度97%，土壤流失控制比1.0，渣土防护率92%，表土保护率92%，林草植被恢复率达到97%，林草覆盖率25%</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二、项目概况</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项目概况阐述基本清楚。云阳县凤鸣—盘龙水网连通及城乡供水一体化工程是“万开云同城化发展水网建设先导工程”子项工程之一。项目位于云阳县盘龙街道和凤鸣镇，为新建工程，建设类项目，工程等级为Ⅳ等小（1）型工程。项目由城乡供水一体化工程、水源工程两部分组成。城乡供水一体化工程包括新建取水泵站3座；新建、改扩建输水管道14.28km/5条；改扩建龙泉水厂，改造院庄水厂和里市水厂；改造配水管网132.24km（含入户管改造93.87km，配水管改造38.37km），新建加压泵站1座。水源工程包括扩建老石楼水库小（2）型为小（1）型水库，扩建后水库正常蓄水位595.00m，总库容126.0万m³；新建上坝公路1028m，路面宽度4.5m；石楼水库取水闸阀室后接新建输水管道6.44km。项目施工共布设生产生活区1.62hm²/7处；布设临时道路1.35km/6条。</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工程总占地面积为32.29hm²，其中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永久占地11.16hm²，临时占地21.13hm²。总挖方23.32万m³（含路面破除0.79万m³，表土剥离1.28万m³），总填方11.42万m³（含表土回覆1.28万m³），余方11.90万m³，折合松方16.74万m³，其中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2.20万</w:t>
      </w:r>
      <w:r>
        <w:rPr>
          <w:rFonts w:hint="eastAsia" w:ascii="Times New Roman" w:hAnsi="Times New Roman" w:eastAsia="方正仿宋_GBK" w:cs="Times New Roman"/>
          <w:color w:val="auto"/>
          <w:spacing w:val="-23"/>
          <w:sz w:val="32"/>
          <w:szCs w:val="32"/>
        </w:rPr>
        <w:t>m³</w:t>
      </w:r>
      <w:r>
        <w:rPr>
          <w:rFonts w:hint="eastAsia" w:ascii="Times New Roman" w:hAnsi="Times New Roman" w:eastAsia="方正仿宋_GBK" w:cs="Times New Roman"/>
          <w:color w:val="auto"/>
          <w:sz w:val="32"/>
          <w:szCs w:val="32"/>
        </w:rPr>
        <w:t>沿管道自行消纳，14.54万m³运至1处弃渣场</w:t>
      </w:r>
      <w:r>
        <w:rPr>
          <w:rFonts w:hint="eastAsia" w:ascii="Times New Roman" w:hAnsi="Times New Roman" w:eastAsia="方正仿宋_GBK" w:cs="Times New Roman"/>
          <w:color w:val="auto"/>
          <w:sz w:val="32"/>
          <w:szCs w:val="32"/>
          <w:lang w:eastAsia="zh-CN"/>
        </w:rPr>
        <w:t>集中</w:t>
      </w:r>
      <w:r>
        <w:rPr>
          <w:rFonts w:hint="eastAsia" w:ascii="Times New Roman" w:hAnsi="Times New Roman" w:eastAsia="方正仿宋_GBK" w:cs="Times New Roman"/>
          <w:color w:val="auto"/>
          <w:sz w:val="32"/>
          <w:szCs w:val="32"/>
        </w:rPr>
        <w:t>堆放。弃渣场为沟道型渣场，位于石楼水库坝址左岸上游直线距离约300m处，占地面积1.81hm²，堆渣高程598～643m，容渣量为14.87万m³。工程总投资26480.01万元，其中土建工程投资10931.60万元。本工程总工期为24个月，计划于2025年</w:t>
      </w:r>
      <w:r>
        <w:rPr>
          <w:rFonts w:hint="eastAsia" w:ascii="Times New Roman" w:hAnsi="Times New Roman" w:eastAsia="方正仿宋_GBK" w:cs="Times New Roman"/>
          <w:color w:val="auto"/>
          <w:sz w:val="32"/>
          <w:szCs w:val="32"/>
          <w:lang w:val="en-US" w:eastAsia="zh-CN"/>
        </w:rPr>
        <w:t>11</w:t>
      </w:r>
      <w:r>
        <w:rPr>
          <w:rFonts w:hint="eastAsia" w:ascii="Times New Roman" w:hAnsi="Times New Roman" w:eastAsia="方正仿宋_GBK" w:cs="Times New Roman"/>
          <w:color w:val="auto"/>
          <w:sz w:val="32"/>
          <w:szCs w:val="32"/>
        </w:rPr>
        <w:t>月开工，2027年</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rPr>
        <w:t>月完工。</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拆迁安置与专项设施改（迁）建阐述基本清楚。工程拆迁安置与专项设施改（迁）建涉及的生产安置人口采用社会保险安置，搬迁安置采用货币化安置或一次性补偿方式；涉及的交通设施复建纳入枢纽工程上坝道路一并设计和建设。</w:t>
      </w:r>
    </w:p>
    <w:p>
      <w:pPr>
        <w:snapToGrid w:val="0"/>
        <w:spacing w:line="594" w:lineRule="exact"/>
        <w:ind w:firstLine="640" w:firstLineChars="200"/>
        <w:rPr>
          <w:rFonts w:ascii="Times New Roman" w:hAnsi="Times New Roman" w:eastAsia="方正仿宋_GBK" w:cs="Times New Roman"/>
          <w:bCs/>
          <w:color w:val="FF0000"/>
          <w:sz w:val="32"/>
          <w:szCs w:val="32"/>
        </w:rPr>
      </w:pP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三</w:t>
      </w:r>
      <w:r>
        <w:rPr>
          <w:rFonts w:hint="eastAsia" w:ascii="Times New Roman" w:hAnsi="Times New Roman" w:eastAsia="方正仿宋_GBK" w:cs="Times New Roman"/>
          <w:color w:val="auto"/>
          <w:sz w:val="32"/>
          <w:szCs w:val="32"/>
        </w:rPr>
        <w:t>）项目区地形地貌、地质、土壤植被、气象、水文、水土流失及水土保持现状等情况阐述基本清楚</w:t>
      </w:r>
      <w:r>
        <w:rPr>
          <w:rFonts w:ascii="Times New Roman" w:hAnsi="Times New Roman" w:eastAsia="方正仿宋_GBK" w:cs="Times New Roman"/>
          <w:bCs/>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三、项目水土保持评价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基本同意主体工程选址水土保持评价。</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选</w:t>
      </w:r>
      <w:r>
        <w:rPr>
          <w:rFonts w:hint="eastAsia" w:ascii="Times New Roman" w:hAnsi="Times New Roman" w:eastAsia="方正仿宋_GBK" w:cs="Times New Roman"/>
          <w:color w:val="auto"/>
          <w:sz w:val="32"/>
          <w:szCs w:val="32"/>
          <w:lang w:eastAsia="zh-CN"/>
        </w:rPr>
        <w:t>址（</w:t>
      </w:r>
      <w:r>
        <w:rPr>
          <w:rFonts w:hint="eastAsia" w:ascii="Times New Roman" w:hAnsi="Times New Roman" w:eastAsia="方正仿宋_GBK" w:cs="Times New Roman"/>
          <w:color w:val="auto"/>
          <w:sz w:val="32"/>
          <w:szCs w:val="32"/>
        </w:rPr>
        <w:t>线</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涉及上游水库一级饮用水水源保护区，三峡库区国家级水土流失重点治理区、重庆市水土流失重点治理区、云阳县水土流失重点治理区</w:t>
      </w:r>
      <w:r>
        <w:rPr>
          <w:rFonts w:hint="eastAsia" w:ascii="Times New Roman" w:hAnsi="Times New Roman" w:eastAsia="方正仿宋_GBK" w:cs="Times New Roman"/>
          <w:color w:val="auto"/>
          <w:sz w:val="32"/>
          <w:szCs w:val="32"/>
          <w:lang w:eastAsia="zh-CN"/>
        </w:rPr>
        <w:t>且无法避让，</w:t>
      </w:r>
      <w:r>
        <w:rPr>
          <w:rFonts w:hint="eastAsia" w:ascii="Times New Roman" w:hAnsi="Times New Roman" w:eastAsia="方正仿宋_GBK" w:cs="Times New Roman"/>
          <w:color w:val="auto"/>
          <w:sz w:val="32"/>
          <w:szCs w:val="32"/>
        </w:rPr>
        <w:t>方案已执行水土流失防治最高标准（一级标准），符合法律法规要求</w:t>
      </w:r>
      <w:r>
        <w:rPr>
          <w:rFonts w:hint="eastAsia" w:ascii="Times New Roman" w:hAnsi="Times New Roman" w:eastAsia="方正仿宋_GBK" w:cs="Times New Roman"/>
          <w:color w:val="auto"/>
          <w:sz w:val="32"/>
          <w:szCs w:val="32"/>
          <w:lang w:eastAsia="zh-CN"/>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（二）基本同意建设方案与布局水土保持评价。</w:t>
      </w:r>
    </w:p>
    <w:p>
      <w:pPr>
        <w:snapToGrid w:val="0"/>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（三）基本同意对弃渣场选址的分析与评价。项目布设</w:t>
      </w:r>
      <w:r>
        <w:rPr>
          <w:rFonts w:hint="eastAsia" w:ascii="Times New Roman" w:hAnsi="Times New Roman" w:eastAsia="方正仿宋_GBK" w:cs="Times New Roman"/>
          <w:sz w:val="32"/>
          <w:szCs w:val="32"/>
          <w:lang w:val="en-US" w:eastAsia="zh-CN"/>
        </w:rPr>
        <w:t>4级弃渣场1处，</w:t>
      </w:r>
      <w:r>
        <w:rPr>
          <w:rFonts w:hint="eastAsia" w:ascii="Times New Roman" w:hAnsi="Times New Roman" w:eastAsia="方正仿宋_GBK" w:cs="Times New Roman"/>
          <w:sz w:val="32"/>
          <w:szCs w:val="32"/>
        </w:rPr>
        <w:t>弃渣场</w:t>
      </w:r>
      <w:r>
        <w:rPr>
          <w:rFonts w:hint="eastAsia" w:ascii="Times New Roman" w:hAnsi="Times New Roman" w:eastAsia="方正仿宋_GBK" w:cs="Times New Roman"/>
          <w:sz w:val="32"/>
          <w:szCs w:val="32"/>
          <w:lang w:eastAsia="zh-CN"/>
        </w:rPr>
        <w:t>取</w:t>
      </w:r>
      <w:r>
        <w:rPr>
          <w:rFonts w:hint="eastAsia" w:ascii="Times New Roman" w:hAnsi="Times New Roman" w:eastAsia="方正仿宋_GBK" w:cs="Times New Roman"/>
          <w:sz w:val="32"/>
          <w:szCs w:val="32"/>
        </w:rPr>
        <w:t>得了</w:t>
      </w:r>
      <w:r>
        <w:rPr>
          <w:rFonts w:hint="eastAsia" w:ascii="Times New Roman" w:hAnsi="Times New Roman" w:eastAsia="方正仿宋_GBK" w:cs="Times New Roman"/>
          <w:sz w:val="32"/>
          <w:szCs w:val="32"/>
          <w:lang w:eastAsia="zh-CN"/>
        </w:rPr>
        <w:t>云阳</w:t>
      </w:r>
      <w:r>
        <w:rPr>
          <w:rFonts w:hint="eastAsia" w:ascii="Times New Roman" w:hAnsi="Times New Roman" w:eastAsia="方正仿宋_GBK" w:cs="Times New Roman"/>
          <w:sz w:val="32"/>
          <w:szCs w:val="32"/>
        </w:rPr>
        <w:t>县</w:t>
      </w:r>
      <w:r>
        <w:rPr>
          <w:rFonts w:hint="eastAsia" w:ascii="Times New Roman" w:hAnsi="Times New Roman" w:eastAsia="方正仿宋_GBK" w:cs="Times New Roman"/>
          <w:sz w:val="32"/>
          <w:szCs w:val="32"/>
          <w:lang w:eastAsia="zh-CN"/>
        </w:rPr>
        <w:t>规划和</w:t>
      </w:r>
      <w:r>
        <w:rPr>
          <w:rFonts w:hint="eastAsia" w:ascii="Times New Roman" w:hAnsi="Times New Roman" w:eastAsia="方正仿宋_GBK" w:cs="Times New Roman"/>
          <w:sz w:val="32"/>
          <w:szCs w:val="32"/>
        </w:rPr>
        <w:t>自然资源、生态环境、林业、水利等部门</w:t>
      </w:r>
      <w:r>
        <w:rPr>
          <w:rFonts w:hint="eastAsia" w:ascii="Times New Roman" w:hAnsi="Times New Roman" w:eastAsia="方正仿宋_GBK" w:cs="Times New Roman"/>
          <w:sz w:val="32"/>
          <w:szCs w:val="32"/>
          <w:lang w:eastAsia="zh-CN"/>
        </w:rPr>
        <w:t>及所属街道和居委会</w:t>
      </w:r>
      <w:r>
        <w:rPr>
          <w:rFonts w:hint="eastAsia"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选址确认意见</w:t>
      </w:r>
      <w:r>
        <w:rPr>
          <w:rFonts w:hint="eastAsia" w:ascii="Times New Roman" w:hAnsi="Times New Roman" w:eastAsia="方正仿宋_GBK" w:cs="Times New Roman"/>
          <w:sz w:val="32"/>
          <w:szCs w:val="32"/>
        </w:rPr>
        <w:t>。弃渣场避开了对</w:t>
      </w:r>
      <w:r>
        <w:rPr>
          <w:rFonts w:hint="eastAsia" w:ascii="Times New Roman" w:hAnsi="Times New Roman" w:eastAsia="方正仿宋_GBK" w:cs="Times New Roman"/>
          <w:sz w:val="32"/>
          <w:szCs w:val="32"/>
          <w:lang w:eastAsia="zh-CN"/>
        </w:rPr>
        <w:t>居民点、</w:t>
      </w:r>
      <w:r>
        <w:rPr>
          <w:rFonts w:hint="eastAsia" w:ascii="Times New Roman" w:hAnsi="Times New Roman" w:eastAsia="方正仿宋_GBK" w:cs="Times New Roman"/>
          <w:sz w:val="32"/>
          <w:szCs w:val="32"/>
        </w:rPr>
        <w:t>基础设施、工业企业有重大影响的区域</w:t>
      </w:r>
      <w:r>
        <w:rPr>
          <w:rFonts w:hint="eastAsia" w:ascii="Times New Roman" w:hAnsi="Times New Roman" w:eastAsia="方正仿宋_GBK" w:cs="Times New Roman"/>
          <w:sz w:val="32"/>
          <w:szCs w:val="32"/>
          <w:lang w:eastAsia="zh-CN"/>
        </w:rPr>
        <w:t>，也</w:t>
      </w:r>
      <w:r>
        <w:rPr>
          <w:rFonts w:hint="eastAsia" w:ascii="Times New Roman" w:hAnsi="Times New Roman" w:eastAsia="方正仿宋_GBK" w:cs="Times New Roman"/>
          <w:sz w:val="32"/>
          <w:szCs w:val="32"/>
        </w:rPr>
        <w:t>避开了河道和建成水库管理范围</w:t>
      </w:r>
      <w:r>
        <w:rPr>
          <w:rFonts w:hint="eastAsia" w:ascii="Times New Roman" w:hAnsi="Times New Roman" w:eastAsia="方正仿宋_GBK" w:cs="Times New Roman"/>
          <w:sz w:val="32"/>
          <w:szCs w:val="32"/>
          <w:lang w:eastAsia="zh-CN"/>
        </w:rPr>
        <w:t>（含水库淹没区）；</w:t>
      </w:r>
      <w:r>
        <w:rPr>
          <w:rFonts w:hint="default" w:ascii="Times New Roman" w:hAnsi="Times New Roman" w:eastAsia="方正仿宋_GBK" w:cs="Times New Roman"/>
          <w:sz w:val="32"/>
          <w:szCs w:val="32"/>
          <w:lang w:eastAsia="zh-CN"/>
        </w:rPr>
        <w:t>弃渣场</w:t>
      </w:r>
      <w:r>
        <w:rPr>
          <w:rFonts w:hint="eastAsia" w:ascii="Times New Roman" w:hAnsi="Times New Roman" w:eastAsia="方正仿宋_GBK" w:cs="Times New Roman"/>
          <w:sz w:val="32"/>
          <w:szCs w:val="32"/>
          <w:lang w:val="en-US" w:eastAsia="zh-CN"/>
        </w:rPr>
        <w:t>下游临近本项目实施的石楼水库库区，但弃渣场堆渣高程高于水库校核洪水位和正常运行期间浸润线高程，工程初设审查认为水库和弃渣场对各自的安全运行互不影响。</w:t>
      </w:r>
      <w:r>
        <w:rPr>
          <w:rFonts w:hint="eastAsia" w:ascii="Times New Roman" w:hAnsi="Times New Roman" w:eastAsia="方正仿宋_GBK" w:cs="Times New Roman"/>
          <w:sz w:val="32"/>
          <w:szCs w:val="32"/>
          <w:lang w:eastAsia="zh-CN"/>
        </w:rPr>
        <w:t>弃渣场</w:t>
      </w:r>
      <w:r>
        <w:rPr>
          <w:rFonts w:hint="eastAsia" w:ascii="Times New Roman" w:hAnsi="Times New Roman" w:eastAsia="方正仿宋_GBK" w:cs="Times New Roman"/>
          <w:sz w:val="32"/>
          <w:szCs w:val="32"/>
        </w:rPr>
        <w:t>选址符合水土保持法律法规及《生产建设项目水土保持技术标准》（GB50433-2018）的规定与要求。</w:t>
      </w:r>
    </w:p>
    <w:p>
      <w:pPr>
        <w:snapToGrid w:val="0"/>
        <w:spacing w:line="594"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四</w:t>
      </w:r>
      <w:r>
        <w:rPr>
          <w:rFonts w:hint="eastAsia" w:ascii="Times New Roman" w:hAnsi="Times New Roman" w:eastAsia="方正仿宋_GBK" w:cs="Times New Roman"/>
          <w:color w:val="auto"/>
          <w:sz w:val="32"/>
          <w:szCs w:val="32"/>
        </w:rPr>
        <w:t>）对主体工程设计中水土保持措施的界定基本合理</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四、水土流失分析与预测</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同意对项目水土流失现状及影响分析。</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w:t>
      </w:r>
      <w:r>
        <w:rPr>
          <w:rFonts w:hint="eastAsia" w:ascii="Times New Roman" w:hAnsi="Times New Roman" w:eastAsia="方正仿宋_GBK" w:cs="Times New Roman"/>
          <w:color w:val="auto"/>
          <w:sz w:val="32"/>
          <w:szCs w:val="32"/>
          <w:lang w:eastAsia="zh-CN"/>
        </w:rPr>
        <w:t>基本同意</w:t>
      </w:r>
      <w:r>
        <w:rPr>
          <w:rFonts w:hint="eastAsia" w:ascii="Times New Roman" w:hAnsi="Times New Roman" w:eastAsia="方正仿宋_GBK" w:cs="Times New Roman"/>
          <w:color w:val="auto"/>
          <w:sz w:val="32"/>
          <w:szCs w:val="32"/>
        </w:rPr>
        <w:t>工程扰动地表面积为32.04hm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，施工损坏植被面积为15.00hm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（三）基本同意</w:t>
      </w:r>
      <w:r>
        <w:rPr>
          <w:rFonts w:hint="eastAsia" w:ascii="Times New Roman" w:hAnsi="Times New Roman" w:eastAsia="方正仿宋_GBK" w:cs="Times New Roman"/>
          <w:color w:val="auto"/>
          <w:sz w:val="32"/>
          <w:szCs w:val="32"/>
        </w:rPr>
        <w:t>水土流失调查及预测范围、时段、方法</w:t>
      </w:r>
      <w:r>
        <w:rPr>
          <w:rFonts w:hint="eastAsia" w:ascii="Times New Roman" w:hAnsi="Times New Roman" w:eastAsia="方正仿宋_GBK" w:cs="Times New Roman"/>
          <w:color w:val="auto"/>
          <w:sz w:val="32"/>
          <w:szCs w:val="32"/>
          <w:lang w:eastAsia="zh-CN"/>
        </w:rPr>
        <w:t>及成果</w:t>
      </w:r>
      <w:r>
        <w:rPr>
          <w:rFonts w:hint="eastAsia" w:ascii="Times New Roman" w:hAnsi="Times New Roman" w:eastAsia="方正仿宋_GBK" w:cs="Times New Roman"/>
          <w:color w:val="auto"/>
          <w:sz w:val="32"/>
          <w:szCs w:val="32"/>
        </w:rPr>
        <w:t>。项目建设可能造成水土流失总量为1053t，新增水土流失量为808t。</w:t>
      </w:r>
    </w:p>
    <w:p>
      <w:pPr>
        <w:snapToGrid w:val="0"/>
        <w:spacing w:line="594" w:lineRule="exact"/>
        <w:ind w:firstLine="640" w:firstLineChars="200"/>
        <w:rPr>
          <w:rFonts w:ascii="Times New Roman" w:hAnsi="Times New Roman" w:eastAsia="方正仿宋_GBK" w:cs="Times New Roman"/>
          <w:color w:val="FF0000"/>
          <w:sz w:val="32"/>
          <w:szCs w:val="32"/>
          <w:lang w:val="en-US" w:eastAsia="zh-CN"/>
        </w:rPr>
      </w:pP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四</w:t>
      </w:r>
      <w:r>
        <w:rPr>
          <w:rFonts w:hint="eastAsia" w:ascii="Times New Roman" w:hAnsi="Times New Roman" w:eastAsia="方正仿宋_GBK" w:cs="Times New Roman"/>
          <w:color w:val="auto"/>
          <w:sz w:val="32"/>
          <w:szCs w:val="32"/>
        </w:rPr>
        <w:t>）基本同意水土流失的危害性分析和指导性意见</w:t>
      </w:r>
      <w:r>
        <w:rPr>
          <w:rFonts w:hint="eastAsia" w:ascii="Times New Roman" w:hAnsi="Times New Roman" w:eastAsia="方正仿宋_GBK" w:cs="Times New Roman"/>
          <w:color w:val="auto"/>
          <w:sz w:val="32"/>
          <w:szCs w:val="32"/>
          <w:lang w:val="en-US" w:eastAsia="zh-CN"/>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五、水土保持措施</w:t>
      </w:r>
    </w:p>
    <w:p>
      <w:pPr>
        <w:snapToGrid w:val="0"/>
        <w:spacing w:line="594" w:lineRule="exact"/>
        <w:ind w:firstLine="640" w:firstLineChars="200"/>
        <w:rPr>
          <w:rFonts w:hint="eastAsia" w:ascii="Times New Roman" w:hAnsi="Times New Roman" w:eastAsia="方正仿宋_GBK" w:cs="Times New Roman"/>
          <w:bCs/>
          <w:color w:val="auto"/>
          <w:sz w:val="32"/>
          <w:szCs w:val="32"/>
          <w:lang w:eastAsia="zh-CN"/>
        </w:rPr>
      </w:pPr>
      <w:r>
        <w:rPr>
          <w:rFonts w:ascii="Times New Roman" w:hAnsi="Times New Roman" w:eastAsia="方正仿宋_GBK" w:cs="Times New Roman"/>
          <w:bCs/>
          <w:color w:val="auto"/>
          <w:sz w:val="32"/>
          <w:szCs w:val="32"/>
        </w:rPr>
        <w:t>（一）</w:t>
      </w:r>
      <w:r>
        <w:rPr>
          <w:rFonts w:hint="eastAsia" w:ascii="Times New Roman" w:hAnsi="Times New Roman" w:eastAsia="方正仿宋_GBK" w:cs="Times New Roman"/>
          <w:bCs/>
          <w:color w:val="auto"/>
          <w:sz w:val="32"/>
          <w:szCs w:val="32"/>
        </w:rPr>
        <w:t>基本同意项目水土流失防治分区划分为取水工程区、净水工程、管道工程、枢纽工程、道路工程、施工生产生活、弃渣场、库区8个水土流失一级防治区。其中</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管道工程防治区根据管线施工工艺以及施工布置，划分为明管段、埋管段、河沟段3个二级分区；道路工程防治区根据用途划分为上坝公路、临时施工道路2个二级分区</w:t>
      </w:r>
      <w:r>
        <w:rPr>
          <w:rFonts w:hint="eastAsia" w:ascii="Times New Roman" w:hAnsi="Times New Roman" w:eastAsia="方正仿宋_GBK" w:cs="Times New Roman"/>
          <w:bCs/>
          <w:color w:val="auto"/>
          <w:sz w:val="32"/>
          <w:szCs w:val="32"/>
          <w:lang w:eastAsia="zh-CN"/>
        </w:rPr>
        <w:t>。</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（二）基本</w:t>
      </w:r>
      <w:r>
        <w:rPr>
          <w:rFonts w:hint="eastAsia" w:ascii="Times New Roman" w:hAnsi="Times New Roman" w:eastAsia="方正仿宋_GBK" w:cs="Times New Roman"/>
          <w:bCs/>
          <w:color w:val="auto"/>
          <w:sz w:val="32"/>
          <w:szCs w:val="32"/>
          <w:lang w:eastAsia="zh-CN"/>
        </w:rPr>
        <w:t>同意</w:t>
      </w:r>
      <w:r>
        <w:rPr>
          <w:rFonts w:hint="eastAsia" w:ascii="Times New Roman" w:hAnsi="Times New Roman" w:eastAsia="方正仿宋_GBK" w:cs="Times New Roman"/>
          <w:bCs/>
          <w:color w:val="auto"/>
          <w:sz w:val="32"/>
          <w:szCs w:val="32"/>
        </w:rPr>
        <w:t>由主体工程设计中具有水土保持功能的措施和本方案新增的水土保持措施所组成的水土保持措施体系。</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（三）基本同意方案根据各防治区水土流失现状提出的防治措施布局和新增水土保持措施典型设计。</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1.</w:t>
      </w:r>
      <w:r>
        <w:rPr>
          <w:rFonts w:hint="eastAsia" w:ascii="Times New Roman" w:hAnsi="Times New Roman" w:eastAsia="方正仿宋_GBK" w:cs="Times New Roman"/>
          <w:bCs/>
          <w:color w:val="auto"/>
          <w:sz w:val="32"/>
          <w:szCs w:val="32"/>
        </w:rPr>
        <w:t>取水工程防治区</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施工前，在取水泵房桩基础下游布设临时排水沟，</w:t>
      </w:r>
      <w:r>
        <w:rPr>
          <w:rFonts w:hint="eastAsia" w:ascii="Times New Roman" w:hAnsi="Times New Roman" w:eastAsia="方正仿宋_GBK" w:cs="Times New Roman"/>
          <w:bCs/>
          <w:color w:val="auto"/>
          <w:sz w:val="32"/>
          <w:szCs w:val="32"/>
          <w:lang w:eastAsia="zh-CN"/>
        </w:rPr>
        <w:t>并</w:t>
      </w:r>
      <w:r>
        <w:rPr>
          <w:rFonts w:hint="eastAsia" w:ascii="Times New Roman" w:hAnsi="Times New Roman" w:eastAsia="方正仿宋_GBK" w:cs="Times New Roman"/>
          <w:bCs/>
          <w:color w:val="auto"/>
          <w:sz w:val="32"/>
          <w:szCs w:val="32"/>
        </w:rPr>
        <w:t>接入泥浆沉淀池，在开挖范围下游设置填土编织袋挡土墙进行拦挡。施工期间，遇雨</w:t>
      </w:r>
      <w:r>
        <w:rPr>
          <w:rFonts w:hint="eastAsia" w:ascii="Times New Roman" w:hAnsi="Times New Roman" w:eastAsia="方正仿宋_GBK" w:cs="Times New Roman"/>
          <w:bCs/>
          <w:color w:val="auto"/>
          <w:sz w:val="32"/>
          <w:szCs w:val="32"/>
          <w:lang w:eastAsia="zh-CN"/>
        </w:rPr>
        <w:t>时</w:t>
      </w:r>
      <w:r>
        <w:rPr>
          <w:rFonts w:hint="eastAsia" w:ascii="Times New Roman" w:hAnsi="Times New Roman" w:eastAsia="方正仿宋_GBK" w:cs="Times New Roman"/>
          <w:bCs/>
          <w:color w:val="auto"/>
          <w:sz w:val="32"/>
          <w:szCs w:val="32"/>
        </w:rPr>
        <w:t>对开挖地表、临时堆土堆料等进行临时覆盖。</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2.</w:t>
      </w:r>
      <w:r>
        <w:rPr>
          <w:rFonts w:hint="eastAsia" w:ascii="Times New Roman" w:hAnsi="Times New Roman" w:eastAsia="方正仿宋_GBK" w:cs="Times New Roman"/>
          <w:bCs/>
          <w:color w:val="auto"/>
          <w:sz w:val="32"/>
          <w:szCs w:val="32"/>
        </w:rPr>
        <w:t>净水工程防治区</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施工前，在净水工程桩基础下游布设临时排水沟，</w:t>
      </w:r>
      <w:r>
        <w:rPr>
          <w:rFonts w:hint="eastAsia" w:ascii="Times New Roman" w:hAnsi="Times New Roman" w:eastAsia="方正仿宋_GBK" w:cs="Times New Roman"/>
          <w:bCs/>
          <w:color w:val="auto"/>
          <w:sz w:val="32"/>
          <w:szCs w:val="32"/>
          <w:lang w:eastAsia="zh-CN"/>
        </w:rPr>
        <w:t>并</w:t>
      </w:r>
      <w:r>
        <w:rPr>
          <w:rFonts w:hint="eastAsia" w:ascii="Times New Roman" w:hAnsi="Times New Roman" w:eastAsia="方正仿宋_GBK" w:cs="Times New Roman"/>
          <w:bCs/>
          <w:color w:val="auto"/>
          <w:sz w:val="32"/>
          <w:szCs w:val="32"/>
        </w:rPr>
        <w:t>接入泥浆沉淀池。施工期间，遇雨</w:t>
      </w:r>
      <w:r>
        <w:rPr>
          <w:rFonts w:hint="eastAsia" w:ascii="Times New Roman" w:hAnsi="Times New Roman" w:eastAsia="方正仿宋_GBK" w:cs="Times New Roman"/>
          <w:bCs/>
          <w:color w:val="auto"/>
          <w:sz w:val="32"/>
          <w:szCs w:val="32"/>
          <w:lang w:eastAsia="zh-CN"/>
        </w:rPr>
        <w:t>时</w:t>
      </w:r>
      <w:r>
        <w:rPr>
          <w:rFonts w:hint="eastAsia" w:ascii="Times New Roman" w:hAnsi="Times New Roman" w:eastAsia="方正仿宋_GBK" w:cs="Times New Roman"/>
          <w:bCs/>
          <w:color w:val="auto"/>
          <w:sz w:val="32"/>
          <w:szCs w:val="32"/>
        </w:rPr>
        <w:t>对场地开挖地表、临时堆土堆料等进行临时覆盖。施工后期，完建雨水管网并接入原有排水管道进行排水，改建厂区内布设景观绿化。</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3.</w:t>
      </w:r>
      <w:r>
        <w:rPr>
          <w:rFonts w:hint="eastAsia" w:ascii="Times New Roman" w:hAnsi="Times New Roman" w:eastAsia="方正仿宋_GBK" w:cs="Times New Roman"/>
          <w:bCs/>
          <w:color w:val="auto"/>
          <w:sz w:val="32"/>
          <w:szCs w:val="32"/>
        </w:rPr>
        <w:t>管道工程防治区</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lang w:val="en-US" w:eastAsia="zh-CN"/>
        </w:rPr>
        <w:t>1</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明管段</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供水管道明管长0.41km。施工前，对输水明管施工扰动范围内所占林地表土进行剥离，并就近堆存在管线作业带范围内。施工期间</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对镇、支墩开挖裸露的土质坡面和松散的临时堆渣遇雨进行覆盖。施工后期，对施工扰动范围表土回覆后进行土地整治，撒播植草恢复植被。</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lang w:val="en-US" w:eastAsia="zh-CN"/>
        </w:rPr>
        <w:t>2</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埋管段</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管道工程埋管段包括一般埋管和穿越道路埋管段，全长58.53km。施工前，对管槽开挖范围内表土进行剥离，装入编织袋内，作为管沟开挖下边坡临时拦挡利用，其余表土就近堆放于管道一侧作业带内。施工过程中，要求表土层和一般土石方分层开挖，管槽开挖后预留的回填土石方就近分段堆放于管道一侧，对临时堆存的土石方与表土分层堆放、分层回填；对地面坡度大于5°的横坡敷设段土石方堆渣下边坡设置填土编织袋挡土墙进行拦挡，对顺坡敷设段土方每隔20m沿等高线设置填土编织袋挡土墙进行拦挡；降雨期间对管道沿线开挖裸露的土质坡面和松散的临时堆渣进行覆盖。施工后期，对管沟开挖区域表土回覆后进行土地整治，根据原土地利用现状覆土还耕或撒播植草恢复植被。</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lang w:val="en-US" w:eastAsia="zh-CN"/>
        </w:rPr>
        <w:t>3</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河沟段</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管道工程涉及穿越河沟154m/14处，均为直接开挖穿越河流。施工中，对堆放于河岸一侧的预留土石方设置填土编织袋挡土墙进行拦挡，对开挖临时堆土坡面和施工裸露面遇雨进行临时覆盖。</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4.</w:t>
      </w:r>
      <w:r>
        <w:rPr>
          <w:rFonts w:hint="eastAsia" w:ascii="Times New Roman" w:hAnsi="Times New Roman" w:eastAsia="方正仿宋_GBK" w:cs="Times New Roman"/>
          <w:bCs/>
          <w:color w:val="auto"/>
          <w:sz w:val="32"/>
          <w:szCs w:val="32"/>
        </w:rPr>
        <w:t>枢纽工程防治区</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枢纽扰动范围内的表土，堆放于施工生产区临时堆料场。施工过程中，两坝肩开挖轮廓线外设置截水沟，在永久截水沟出口设置临时沉沙池；降雨期间对坝区内裸露的土质坡面和松散的临时堆渣进行覆盖。施工后期，对大坝下游永久占地范围内的施工临时用地和未扰动地进行土地整治后恢复植被，并对稀疏林地进行补植。</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5.</w:t>
      </w:r>
      <w:r>
        <w:rPr>
          <w:rFonts w:hint="eastAsia" w:ascii="Times New Roman" w:hAnsi="Times New Roman" w:eastAsia="方正仿宋_GBK" w:cs="Times New Roman"/>
          <w:bCs/>
          <w:color w:val="auto"/>
          <w:sz w:val="32"/>
          <w:szCs w:val="32"/>
        </w:rPr>
        <w:t>施工生产生活防治区</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各施工区内的表土，就近堆放于各施工生产生活区临时堆料场内，在临时堆土边坡坡脚设置填土编织袋挡土墙，挡土墙外设置临时排水沟，出口设沉沙池，降雨期间对堆料边坡进行临时覆盖；同时根据各施工生产生活区布置以及周边来水情况在其周边设置临时排水沟，出口设沉沙池。工程完工后，对施工临时设施占地进行土地整治，根据原土地利用现状覆土还耕或撒播植草恢复植被。</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6.</w:t>
      </w:r>
      <w:r>
        <w:rPr>
          <w:rFonts w:hint="eastAsia" w:ascii="Times New Roman" w:hAnsi="Times New Roman" w:eastAsia="方正仿宋_GBK" w:cs="Times New Roman"/>
          <w:bCs/>
          <w:color w:val="auto"/>
          <w:sz w:val="32"/>
          <w:szCs w:val="32"/>
        </w:rPr>
        <w:t>道路工程防治区</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lang w:val="en-US" w:eastAsia="zh-CN"/>
        </w:rPr>
        <w:t>1</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上坝道路</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道路占地范围内的表土，堆放于施工生产区临时堆料场。施工过程中，在道路高边坡及坡面汇水集中处均设置截水沟，所有挖方路段均设置边沟；在路基下边坡设置填土编织袋挡土墙进行临时拦挡；降雨期间对区内裸露的土质坡面和松散的临时堆渣进行临时覆盖。施工后期，对道路边坡进行土地整治，对填方边坡进行撒播植草；挖方边坡进行挂网喷锚支护后坡脚种植爬山虎；永久道路两侧地形较缓的土质坡面植行道树。</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lang w:val="en-US" w:eastAsia="zh-CN"/>
        </w:rPr>
        <w:t>2</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临时施工道路</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施工前，剥离道路占地范围内的表土，就近在施工场地堆放。施工过程中，在路基下边坡设置填土编织袋挡土墙进行临时拦挡；根据汇水情况设置临时排水沟</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出口设沉沙池；降雨期间对区内裸露的土质坡面和松散的临时堆土进行临时覆盖。工程完工后，对道路边坡及路面进行土地整治后均恢复为林地。</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7.</w:t>
      </w:r>
      <w:r>
        <w:rPr>
          <w:rFonts w:hint="eastAsia" w:ascii="Times New Roman" w:hAnsi="Times New Roman" w:eastAsia="方正仿宋_GBK" w:cs="Times New Roman"/>
          <w:bCs/>
          <w:color w:val="auto"/>
          <w:sz w:val="32"/>
          <w:szCs w:val="32"/>
        </w:rPr>
        <w:t>弃渣场防治区</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堆渣前，对渣场占地范围内的表土进行剥离，并集中堆放在弃渣场尾部，表土堆场下游设置临时拦挡；按照“先挡后弃”的原则，堆渣前在渣场堆渣边坡坡脚修筑挡渣墙，并在弃渣场四周修筑排水沟，排水沟接入自然水系前接入沉沙池，同时在渣场底部设排水盲管顺接至渣场下游。堆渣过程中</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采取分层堆放分层压实，堆渣边坡坡比控制在1:2.5，保证弃渣边坡稳定；形成稳定边坡后分级平台设置平台排水沟</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并接入渣场四周排水沟，渣体汇水经沉沙池后接入自然水系；及时对稳定堆渣坡面进行土地整治，覆土后进行植草防护。堆渣结束后，对弃渣场坡顶进行土地整治，覆土后栽植乔木和植草。</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8.</w:t>
      </w:r>
      <w:r>
        <w:rPr>
          <w:rFonts w:hint="eastAsia" w:ascii="Times New Roman" w:hAnsi="Times New Roman" w:eastAsia="方正仿宋_GBK" w:cs="Times New Roman"/>
          <w:bCs/>
          <w:color w:val="auto"/>
          <w:sz w:val="32"/>
          <w:szCs w:val="32"/>
        </w:rPr>
        <w:t>库区防治区</w:t>
      </w:r>
    </w:p>
    <w:p>
      <w:pPr>
        <w:snapToGrid w:val="0"/>
        <w:spacing w:line="594"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该区水土流失防治措施以自然修复为主，在不扰动的前提下不考虑新增水土保持措施。</w:t>
      </w:r>
    </w:p>
    <w:p>
      <w:pPr>
        <w:snapToGrid w:val="0"/>
        <w:spacing w:line="594"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bCs/>
          <w:color w:val="auto"/>
          <w:sz w:val="32"/>
          <w:szCs w:val="32"/>
        </w:rPr>
        <w:t>（四）基本同意水土保持施工组织设计</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六、水土保持监测</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基本同意水土保持监测方案</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七、水土保持投资估算及效益分析</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投资估算编制依据正确，费用及定额选择基本合理，编制深度基本满足规范要求。</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（二）经审核，水</w:t>
      </w:r>
      <w:r>
        <w:rPr>
          <w:rFonts w:hint="eastAsia" w:ascii="Times New Roman" w:hAnsi="Times New Roman" w:eastAsia="方正仿宋_GBK" w:cs="Times New Roman"/>
          <w:color w:val="auto"/>
          <w:sz w:val="32"/>
          <w:szCs w:val="32"/>
          <w:lang w:eastAsia="zh-CN"/>
        </w:rPr>
        <w:t>土</w:t>
      </w:r>
      <w:r>
        <w:rPr>
          <w:rFonts w:hint="eastAsia" w:ascii="Times New Roman" w:hAnsi="Times New Roman" w:eastAsia="方正仿宋_GBK" w:cs="Times New Roman"/>
          <w:color w:val="auto"/>
          <w:sz w:val="32"/>
          <w:szCs w:val="32"/>
        </w:rPr>
        <w:t>保</w:t>
      </w:r>
      <w:r>
        <w:rPr>
          <w:rFonts w:hint="eastAsia" w:ascii="Times New Roman" w:hAnsi="Times New Roman" w:eastAsia="方正仿宋_GBK" w:cs="Times New Roman"/>
          <w:color w:val="auto"/>
          <w:sz w:val="32"/>
          <w:szCs w:val="32"/>
          <w:lang w:eastAsia="zh-CN"/>
        </w:rPr>
        <w:t>持</w:t>
      </w:r>
      <w:r>
        <w:rPr>
          <w:rFonts w:hint="eastAsia" w:ascii="Times New Roman" w:hAnsi="Times New Roman" w:eastAsia="方正仿宋_GBK" w:cs="Times New Roman"/>
          <w:color w:val="auto"/>
          <w:sz w:val="32"/>
          <w:szCs w:val="32"/>
        </w:rPr>
        <w:t>方案设计静态总投资48</w:t>
      </w:r>
      <w:r>
        <w:rPr>
          <w:rFonts w:hint="eastAsia" w:ascii="Times New Roman" w:hAnsi="Times New Roman" w:eastAsia="方正仿宋_GBK" w:cs="Times New Roman"/>
          <w:color w:val="auto"/>
          <w:sz w:val="32"/>
          <w:szCs w:val="32"/>
          <w:lang w:val="en-US" w:eastAsia="zh-CN"/>
        </w:rPr>
        <w:t>2.63</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主体已列199.34万元，方案新增28</w:t>
      </w:r>
      <w:r>
        <w:rPr>
          <w:rFonts w:hint="eastAsia" w:ascii="Times New Roman" w:hAnsi="Times New Roman" w:eastAsia="方正仿宋_GBK" w:cs="Times New Roman"/>
          <w:color w:val="auto"/>
          <w:sz w:val="32"/>
          <w:szCs w:val="32"/>
          <w:lang w:val="en-US" w:eastAsia="zh-CN"/>
        </w:rPr>
        <w:t>3.29</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工程措施61.72万元，植物措施24.90万元，监测措施37.05万元，施工临时措施64.86万元，独立费用69.90万元，基本预备费15.51万元，水土保持补偿费</w:t>
      </w:r>
      <w:r>
        <w:rPr>
          <w:rFonts w:hint="eastAsia" w:ascii="Times New Roman" w:hAnsi="Times New Roman" w:eastAsia="方正仿宋_GBK" w:cs="Times New Roman"/>
          <w:color w:val="auto"/>
          <w:sz w:val="32"/>
          <w:szCs w:val="32"/>
          <w:lang w:val="en-US" w:eastAsia="zh-CN"/>
        </w:rPr>
        <w:t>9.349</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（三）效益分析方法正确，分析结果基本合理</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八、水土保持管理</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本方案中提出的组织管理、水土保持监测、水土保持监理、水土保持施工、水土保持设施验收等水土保持管理要求基本可行。</w:t>
      </w:r>
    </w:p>
    <w:p>
      <w:pPr>
        <w:snapToGrid w:val="0"/>
        <w:spacing w:line="594" w:lineRule="exact"/>
        <w:ind w:left="1598" w:leftChars="228" w:hanging="960" w:hangingChars="300"/>
        <w:rPr>
          <w:rFonts w:hint="eastAsia" w:ascii="Times New Roman" w:hAnsi="Times New Roman" w:eastAsia="方正仿宋_GBK" w:cs="Times New Roman"/>
          <w:color w:val="auto"/>
          <w:sz w:val="32"/>
          <w:szCs w:val="32"/>
        </w:rPr>
      </w:pPr>
    </w:p>
    <w:p>
      <w:pPr>
        <w:snapToGrid w:val="0"/>
        <w:spacing w:line="594" w:lineRule="exact"/>
        <w:ind w:left="1598" w:leftChars="228" w:hanging="960" w:hangingChars="3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eastAsia="zh-CN"/>
        </w:rPr>
        <w:t>云阳县凤鸣—盘龙水网连通及城乡供水一体化工程</w:t>
      </w:r>
      <w:r>
        <w:rPr>
          <w:rFonts w:hint="eastAsia" w:ascii="Times New Roman" w:hAnsi="Times New Roman" w:eastAsia="方正仿宋_GBK" w:cs="Times New Roman"/>
          <w:color w:val="auto"/>
          <w:sz w:val="32"/>
          <w:szCs w:val="32"/>
        </w:rPr>
        <w:t>水土保持方案投资估算审核表</w:t>
      </w:r>
      <w:r>
        <w:rPr>
          <w:rFonts w:ascii="Times New Roman" w:hAnsi="Times New Roman" w:eastAsia="方正仿宋_GBK" w:cs="Times New Roman"/>
          <w:color w:val="auto"/>
          <w:sz w:val="32"/>
          <w:szCs w:val="32"/>
        </w:rPr>
        <w:t xml:space="preserve">                         </w:t>
      </w:r>
    </w:p>
    <w:p>
      <w:pPr>
        <w:snapToGrid w:val="0"/>
        <w:spacing w:line="594" w:lineRule="exact"/>
        <w:ind w:firstLine="560" w:firstLineChars="200"/>
        <w:jc w:val="left"/>
        <w:rPr>
          <w:rFonts w:ascii="Times New Roman" w:hAnsi="Times New Roman" w:eastAsia="方正仿宋_GBK" w:cs="Times New Roman"/>
          <w:color w:val="auto"/>
          <w:sz w:val="32"/>
          <w:szCs w:val="32"/>
        </w:rPr>
      </w:pPr>
      <w:r>
        <w:rPr>
          <w:rFonts w:ascii="Times New Roman" w:hAnsi="Times New Roman" w:eastAsia="宋体" w:cs="Times New Roman"/>
          <w:color w:val="auto"/>
        </w:rPr>
        <w:drawing>
          <wp:anchor distT="0" distB="0" distL="114300" distR="114300" simplePos="0" relativeHeight="251659264" behindDoc="1" locked="0" layoutInCell="1" allowOverlap="1">
            <wp:simplePos x="0" y="0"/>
            <wp:positionH relativeFrom="column">
              <wp:posOffset>4338955</wp:posOffset>
            </wp:positionH>
            <wp:positionV relativeFrom="paragraph">
              <wp:posOffset>295275</wp:posOffset>
            </wp:positionV>
            <wp:extent cx="1334135" cy="509270"/>
            <wp:effectExtent l="0" t="0" r="6985" b="8890"/>
            <wp:wrapNone/>
            <wp:docPr id="3" name="图片 2" descr="谢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谢巍"/>
                    <pic:cNvPicPr>
                      <a:picLocks noChangeAspect="1"/>
                    </pic:cNvPicPr>
                  </pic:nvPicPr>
                  <pic:blipFill>
                    <a:blip r:embed="rId6"/>
                    <a:stretch>
                      <a:fillRect/>
                    </a:stretch>
                  </pic:blipFill>
                  <pic:spPr>
                    <a:xfrm>
                      <a:off x="0" y="0"/>
                      <a:ext cx="1334135" cy="509270"/>
                    </a:xfrm>
                    <a:prstGeom prst="rect">
                      <a:avLst/>
                    </a:prstGeom>
                    <a:noFill/>
                    <a:ln>
                      <a:noFill/>
                    </a:ln>
                  </pic:spPr>
                </pic:pic>
              </a:graphicData>
            </a:graphic>
          </wp:anchor>
        </w:drawing>
      </w:r>
    </w:p>
    <w:p>
      <w:pPr>
        <w:snapToGrid w:val="0"/>
        <w:spacing w:line="240" w:lineRule="auto"/>
        <w:ind w:firstLine="4800" w:firstLineChars="1500"/>
        <w:jc w:val="left"/>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 xml:space="preserve"> 专家组组长：</w:t>
      </w:r>
    </w:p>
    <w:p>
      <w:pPr>
        <w:snapToGrid w:val="0"/>
        <w:spacing w:line="594" w:lineRule="exact"/>
        <w:ind w:firstLine="5120" w:firstLineChars="1600"/>
        <w:rPr>
          <w:rFonts w:eastAsia="方正仿宋_GBK"/>
          <w:color w:val="auto"/>
          <w:sz w:val="32"/>
          <w:szCs w:val="32"/>
        </w:rPr>
        <w:sectPr>
          <w:footerReference r:id="rId3" w:type="default"/>
          <w:pgSz w:w="11906" w:h="16838"/>
          <w:pgMar w:top="1984" w:right="1446" w:bottom="1644" w:left="1446" w:header="851" w:footer="1474"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10</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13</w:t>
      </w:r>
      <w:r>
        <w:rPr>
          <w:rFonts w:ascii="Times New Roman" w:hAnsi="Times New Roman" w:eastAsia="方正仿宋_GBK" w:cs="Times New Roman"/>
          <w:color w:val="auto"/>
          <w:sz w:val="32"/>
          <w:szCs w:val="32"/>
        </w:rPr>
        <w:t>日</w:t>
      </w:r>
    </w:p>
    <w:p>
      <w:pPr>
        <w:snapToGrid w:val="0"/>
        <w:spacing w:line="594" w:lineRule="exact"/>
        <w:jc w:val="left"/>
        <w:rPr>
          <w:rFonts w:ascii="Times New Roman" w:hAnsi="Times New Roman" w:eastAsia="方正黑体_GBK" w:cs="Times New Roman"/>
          <w:color w:val="auto"/>
          <w:w w:val="90"/>
          <w:sz w:val="32"/>
          <w:szCs w:val="32"/>
        </w:rPr>
      </w:pPr>
      <w:r>
        <w:rPr>
          <w:rFonts w:ascii="Times New Roman" w:hAnsi="Times New Roman" w:eastAsia="方正黑体_GBK" w:cs="Times New Roman"/>
          <w:color w:val="auto"/>
          <w:w w:val="90"/>
          <w:sz w:val="32"/>
          <w:szCs w:val="32"/>
        </w:rPr>
        <w:t>附件</w:t>
      </w:r>
    </w:p>
    <w:p>
      <w:pPr>
        <w:keepNext w:val="0"/>
        <w:keepLines w:val="0"/>
        <w:pageBreakBefore w:val="0"/>
        <w:widowControl/>
        <w:kinsoku/>
        <w:wordWrap/>
        <w:overflowPunct/>
        <w:topLinePunct w:val="0"/>
        <w:autoSpaceDE/>
        <w:autoSpaceDN/>
        <w:bidi w:val="0"/>
        <w:adjustRightInd/>
        <w:snapToGrid/>
        <w:spacing w:line="414" w:lineRule="exact"/>
        <w:jc w:val="center"/>
        <w:textAlignment w:val="center"/>
        <w:rPr>
          <w:rFonts w:hint="eastAsia" w:ascii="Times New Roman" w:hAnsi="Times New Roman" w:eastAsia="方正小标宋_GBK" w:cs="Times New Roman"/>
          <w:color w:val="auto"/>
          <w:spacing w:val="0"/>
          <w:w w:val="100"/>
          <w:sz w:val="32"/>
          <w:szCs w:val="32"/>
          <w:lang w:eastAsia="zh-CN"/>
        </w:rPr>
      </w:pPr>
      <w:r>
        <w:rPr>
          <w:rFonts w:hint="eastAsia" w:ascii="Times New Roman" w:hAnsi="Times New Roman" w:eastAsia="方正小标宋_GBK" w:cs="Times New Roman"/>
          <w:color w:val="auto"/>
          <w:spacing w:val="0"/>
          <w:w w:val="100"/>
          <w:sz w:val="32"/>
          <w:szCs w:val="32"/>
          <w:lang w:eastAsia="zh-CN"/>
        </w:rPr>
        <w:t>云阳县凤鸣—盘龙水网连通及城乡供水一体化</w:t>
      </w:r>
    </w:p>
    <w:p>
      <w:pPr>
        <w:keepNext w:val="0"/>
        <w:keepLines w:val="0"/>
        <w:pageBreakBefore w:val="0"/>
        <w:widowControl/>
        <w:kinsoku/>
        <w:wordWrap/>
        <w:overflowPunct/>
        <w:topLinePunct w:val="0"/>
        <w:autoSpaceDE/>
        <w:autoSpaceDN/>
        <w:bidi w:val="0"/>
        <w:adjustRightInd/>
        <w:snapToGrid/>
        <w:spacing w:line="414" w:lineRule="exact"/>
        <w:jc w:val="center"/>
        <w:textAlignment w:val="center"/>
        <w:rPr>
          <w:rFonts w:hint="eastAsia" w:ascii="Times New Roman" w:hAnsi="Times New Roman" w:eastAsia="方正小标宋_GBK" w:cs="Times New Roman"/>
          <w:color w:val="auto"/>
          <w:spacing w:val="0"/>
          <w:w w:val="100"/>
          <w:sz w:val="32"/>
          <w:szCs w:val="32"/>
          <w:lang w:eastAsia="zh-CN"/>
        </w:rPr>
      </w:pPr>
      <w:r>
        <w:rPr>
          <w:rFonts w:hint="eastAsia" w:ascii="Times New Roman" w:hAnsi="Times New Roman" w:eastAsia="方正小标宋_GBK" w:cs="Times New Roman"/>
          <w:color w:val="auto"/>
          <w:spacing w:val="0"/>
          <w:w w:val="100"/>
          <w:sz w:val="32"/>
          <w:szCs w:val="32"/>
          <w:lang w:eastAsia="zh-CN"/>
        </w:rPr>
        <w:t>工程水土保持方案投资估算审核表</w:t>
      </w:r>
    </w:p>
    <w:p>
      <w:pPr>
        <w:widowControl/>
        <w:jc w:val="right"/>
        <w:textAlignment w:val="center"/>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单位：万元</w:t>
      </w:r>
    </w:p>
    <w:tbl>
      <w:tblPr>
        <w:tblStyle w:val="19"/>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41"/>
        <w:gridCol w:w="3161"/>
        <w:gridCol w:w="1404"/>
        <w:gridCol w:w="1406"/>
        <w:gridCol w:w="1404"/>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tblHeader/>
          <w:jc w:val="center"/>
        </w:trPr>
        <w:tc>
          <w:tcPr>
            <w:tcW w:w="239" w:type="pct"/>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序号</w:t>
            </w:r>
          </w:p>
        </w:tc>
        <w:tc>
          <w:tcPr>
            <w:tcW w:w="1713" w:type="pct"/>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工程或费用名称</w:t>
            </w:r>
          </w:p>
        </w:tc>
        <w:tc>
          <w:tcPr>
            <w:tcW w:w="2284" w:type="pct"/>
            <w:gridSpan w:val="3"/>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审核投资</w:t>
            </w:r>
          </w:p>
        </w:tc>
        <w:tc>
          <w:tcPr>
            <w:tcW w:w="762" w:type="pct"/>
            <w:vMerge w:val="restart"/>
            <w:tcBorders>
              <w:tl2br w:val="nil"/>
              <w:tr2bl w:val="nil"/>
            </w:tcBorders>
            <w:noWrap w:val="0"/>
            <w:vAlign w:val="center"/>
          </w:tcPr>
          <w:p>
            <w:pPr>
              <w:keepNext w:val="0"/>
              <w:keepLines w:val="0"/>
              <w:widowControl/>
              <w:suppressLineNumbers w:val="0"/>
              <w:tabs>
                <w:tab w:val="left" w:pos="573"/>
              </w:tabs>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b/>
            </w:r>
            <w:r>
              <w:rPr>
                <w:rFonts w:hint="eastAsia" w:ascii="Times New Roman" w:hAnsi="Times New Roman" w:eastAsia="宋体" w:cs="Times New Roman"/>
                <w:i w:val="0"/>
                <w:iCs w:val="0"/>
                <w:color w:val="auto"/>
                <w:kern w:val="0"/>
                <w:sz w:val="18"/>
                <w:szCs w:val="18"/>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tblHeader/>
          <w:jc w:val="center"/>
        </w:trPr>
        <w:tc>
          <w:tcPr>
            <w:tcW w:w="239"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1713"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方案新增</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主体已列</w:t>
            </w:r>
          </w:p>
        </w:tc>
        <w:tc>
          <w:tcPr>
            <w:tcW w:w="76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合计</w:t>
            </w:r>
          </w:p>
        </w:tc>
        <w:tc>
          <w:tcPr>
            <w:tcW w:w="762" w:type="pct"/>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第一部分：工程措施</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2"/>
                <w:sz w:val="18"/>
                <w:szCs w:val="18"/>
                <w:lang w:val="en-US" w:eastAsia="zh-CN" w:bidi="ar-SA"/>
              </w:rPr>
              <w:t xml:space="preserve">61.72 </w:t>
            </w:r>
          </w:p>
        </w:tc>
        <w:tc>
          <w:tcPr>
            <w:tcW w:w="762"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2"/>
                <w:sz w:val="18"/>
                <w:szCs w:val="18"/>
                <w:lang w:val="en-US" w:eastAsia="zh-CN" w:bidi="ar-SA"/>
              </w:rPr>
              <w:t xml:space="preserve">197.24 </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2"/>
                <w:sz w:val="18"/>
                <w:szCs w:val="18"/>
                <w:lang w:val="en-US" w:eastAsia="zh-CN" w:bidi="ar-SA"/>
              </w:rPr>
              <w:t xml:space="preserve">258.96 </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1.1</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取水工程防治区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1"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1.2</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净水工程防治区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0.40 </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0.40 </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1.3</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管道工程防治区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19.21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19.21 </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1.4</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枢纽工程防治区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2.28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5.58 </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7.86 </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1.5</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道路工程防治区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7.68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10.16 </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17.84 </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1.6</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施工生产生活防治区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11.58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11.58 </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1.7</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弃渣场防治区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20.97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181.10 </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202.07 </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1.8</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库区防治区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第二部分：植物措施</w:t>
            </w:r>
          </w:p>
        </w:tc>
        <w:tc>
          <w:tcPr>
            <w:tcW w:w="761"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color w:val="auto"/>
                <w:kern w:val="2"/>
                <w:sz w:val="18"/>
                <w:szCs w:val="18"/>
                <w:lang w:val="en-US" w:eastAsia="zh-CN" w:bidi="ar-SA"/>
              </w:rPr>
              <w:t>24.90</w:t>
            </w:r>
          </w:p>
        </w:tc>
        <w:tc>
          <w:tcPr>
            <w:tcW w:w="762" w:type="pct"/>
            <w:tcBorders>
              <w:tl2br w:val="nil"/>
              <w:tr2bl w:val="nil"/>
            </w:tcBorders>
            <w:noWrap w:val="0"/>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18"/>
                <w:szCs w:val="18"/>
                <w:u w:val="none"/>
              </w:rPr>
            </w:pPr>
            <w:r>
              <w:rPr>
                <w:rFonts w:hint="eastAsia" w:ascii="Times New Roman" w:hAnsi="Times New Roman" w:eastAsia="宋体" w:cs="Times New Roman"/>
                <w:b/>
                <w:bCs/>
                <w:color w:val="auto"/>
                <w:kern w:val="2"/>
                <w:sz w:val="18"/>
                <w:szCs w:val="18"/>
                <w:lang w:val="en-US" w:eastAsia="zh-CN" w:bidi="ar-SA"/>
              </w:rPr>
              <w:t>2.10</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color w:val="auto"/>
                <w:kern w:val="2"/>
                <w:sz w:val="18"/>
                <w:szCs w:val="18"/>
                <w:lang w:val="en-US" w:eastAsia="zh-CN" w:bidi="ar-SA"/>
              </w:rPr>
              <w:t>27.00</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取水工程防治区</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6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2.2</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净水工程防治区</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2.10</w:t>
            </w:r>
          </w:p>
        </w:tc>
        <w:tc>
          <w:tcPr>
            <w:tcW w:w="76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2.10</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管道工程防治区</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2.83</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6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2.83</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枢纽工程防治区</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3.23</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6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3.23</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7"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道路工程防治区</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11.45</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6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11.45</w:t>
            </w:r>
          </w:p>
        </w:tc>
        <w:tc>
          <w:tcPr>
            <w:tcW w:w="762"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施工生产生活防治区</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3.74</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3.74</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2.7</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弃渣场防治区</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3.65</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3.65</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2.8</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库区防治区</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0.00</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第三部分：监测措施</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37.05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37.05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土建设施</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设备及安装工程</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1.45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1.45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观测运行费</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35.60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35.60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第四部分：施工临时措施</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2"/>
                <w:sz w:val="18"/>
                <w:szCs w:val="18"/>
                <w:lang w:val="en-US" w:eastAsia="zh-CN" w:bidi="ar-SA"/>
              </w:rPr>
              <w:t xml:space="preserve">64.86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kern w:val="2"/>
                <w:sz w:val="18"/>
                <w:szCs w:val="18"/>
                <w:lang w:val="en-US" w:eastAsia="zh-CN" w:bidi="ar-SA"/>
              </w:rPr>
              <w:t xml:space="preserve">64.86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4.1</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取水工程防治区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0.48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0.48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4.2</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净水工程防治区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0.18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0.18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4.3</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管道工程防治区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12.86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12.86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4.4</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枢纽工程防治区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2.10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2.10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4.5</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道路工程防治区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32.23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32.23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4.6</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施工生产生活防治区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10.36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10.36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4.7</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弃渣场防治区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3.19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3.19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4.8</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库区防治区</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0.00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4.9</w:t>
            </w:r>
          </w:p>
        </w:tc>
        <w:tc>
          <w:tcPr>
            <w:tcW w:w="1713"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其他临时工程</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3.46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 xml:space="preserve">3.46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exact"/>
          <w:jc w:val="center"/>
        </w:trPr>
        <w:tc>
          <w:tcPr>
            <w:tcW w:w="239"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第五部分：独立费用</w:t>
            </w:r>
          </w:p>
        </w:tc>
        <w:tc>
          <w:tcPr>
            <w:tcW w:w="76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69.90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69.90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一</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技术咨询费 </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58.44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58.44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水土保持方案编制费</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29.10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29.10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科研勘测设计费</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16.90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16.90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水土保持设施竣工验收技术评估费</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12.44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12.44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二</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工程管理费</w:t>
            </w:r>
          </w:p>
        </w:tc>
        <w:tc>
          <w:tcPr>
            <w:tcW w:w="76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11.46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11.46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建设管理费</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3.77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3.77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工程建设监理费</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5.80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5.80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招标代理服务费</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1.89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1.89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一至五部分合计</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258.43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199.34 </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457.77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基本预备费</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15.51 </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15.51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水土保持补偿费</w:t>
            </w: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lang w:val="en-US"/>
              </w:rPr>
            </w:pPr>
            <w:r>
              <w:rPr>
                <w:rFonts w:hint="eastAsia" w:ascii="Times New Roman" w:hAnsi="Times New Roman" w:eastAsia="宋体" w:cs="Times New Roman"/>
                <w:i w:val="0"/>
                <w:iCs w:val="0"/>
                <w:color w:val="auto"/>
                <w:kern w:val="0"/>
                <w:sz w:val="18"/>
                <w:szCs w:val="18"/>
                <w:u w:val="none"/>
                <w:lang w:val="en-US" w:eastAsia="zh-CN" w:bidi="ar"/>
              </w:rPr>
              <w:t>9.349</w:t>
            </w:r>
          </w:p>
        </w:tc>
        <w:tc>
          <w:tcPr>
            <w:tcW w:w="762"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18"/>
                <w:szCs w:val="18"/>
                <w:u w:val="none"/>
              </w:rPr>
            </w:pPr>
          </w:p>
        </w:tc>
        <w:tc>
          <w:tcPr>
            <w:tcW w:w="76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18"/>
                <w:szCs w:val="18"/>
                <w:u w:val="none"/>
                <w:lang w:val="en-US"/>
              </w:rPr>
            </w:pPr>
            <w:r>
              <w:rPr>
                <w:rFonts w:hint="eastAsia" w:ascii="Times New Roman" w:hAnsi="Times New Roman" w:eastAsia="宋体" w:cs="Times New Roman"/>
                <w:i w:val="0"/>
                <w:iCs w:val="0"/>
                <w:color w:val="auto"/>
                <w:kern w:val="0"/>
                <w:sz w:val="18"/>
                <w:szCs w:val="18"/>
                <w:u w:val="none"/>
                <w:lang w:val="en-US" w:eastAsia="zh-CN" w:bidi="ar"/>
              </w:rPr>
              <w:t>9.349</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exact"/>
          <w:jc w:val="center"/>
        </w:trPr>
        <w:tc>
          <w:tcPr>
            <w:tcW w:w="239"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u w:val="none"/>
              </w:rPr>
            </w:pPr>
          </w:p>
        </w:tc>
        <w:tc>
          <w:tcPr>
            <w:tcW w:w="1713" w:type="pct"/>
            <w:tcBorders>
              <w:tl2br w:val="nil"/>
              <w:tr2bl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水土保持方案静态总投资</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color w:val="auto"/>
                <w:kern w:val="2"/>
                <w:sz w:val="18"/>
                <w:szCs w:val="18"/>
                <w:lang w:val="en-US" w:eastAsia="zh-CN" w:bidi="ar-SA"/>
              </w:rPr>
              <w:t xml:space="preserve">283.29 </w:t>
            </w:r>
          </w:p>
        </w:tc>
        <w:tc>
          <w:tcPr>
            <w:tcW w:w="762"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color w:val="auto"/>
                <w:kern w:val="2"/>
                <w:sz w:val="18"/>
                <w:szCs w:val="18"/>
                <w:lang w:val="en-US" w:eastAsia="zh-CN" w:bidi="ar-SA"/>
              </w:rPr>
              <w:t xml:space="preserve">199.34 </w:t>
            </w:r>
          </w:p>
        </w:tc>
        <w:tc>
          <w:tcPr>
            <w:tcW w:w="761" w:type="pct"/>
            <w:tcBorders>
              <w:tl2br w:val="nil"/>
              <w:tr2bl w:val="nil"/>
            </w:tcBorders>
            <w:noWrap/>
            <w:vAlign w:val="center"/>
          </w:tcPr>
          <w:p>
            <w:pPr>
              <w:keepNext w:val="0"/>
              <w:keepLines w:val="0"/>
              <w:widowControl w:val="0"/>
              <w:suppressLineNumbers w:val="0"/>
              <w:overflowPunct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color w:val="auto"/>
                <w:kern w:val="2"/>
                <w:sz w:val="18"/>
                <w:szCs w:val="18"/>
                <w:lang w:val="en-US" w:eastAsia="zh-CN" w:bidi="ar-SA"/>
              </w:rPr>
              <w:t xml:space="preserve">482.63 </w:t>
            </w:r>
          </w:p>
        </w:tc>
        <w:tc>
          <w:tcPr>
            <w:tcW w:w="762"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p>
        </w:tc>
      </w:tr>
    </w:tbl>
    <w:p>
      <w:pPr>
        <w:widowControl/>
        <w:jc w:val="both"/>
        <w:rPr>
          <w:rFonts w:hint="eastAsia" w:ascii="宋体" w:hAnsi="宋体" w:cs="Times New Roman"/>
          <w:color w:val="FF0000"/>
          <w:kern w:val="0"/>
          <w:sz w:val="21"/>
          <w:szCs w:val="21"/>
          <w:lang w:val="en-US" w:eastAsia="zh-CN"/>
        </w:rPr>
      </w:pPr>
    </w:p>
    <w:sectPr>
      <w:footerReference r:id="rId4"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wis721 BT">
    <w:altName w:val="Segoe Script"/>
    <w:panose1 w:val="020B0504020202020204"/>
    <w:charset w:val="00"/>
    <w:family w:val="swiss"/>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Segoe Print"/>
    <w:panose1 w:val="020B0502020202020204"/>
    <w:charset w:val="00"/>
    <w:family w:val="swiss"/>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 w:name="方正黑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Segoe Script">
    <w:panose1 w:val="02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DMzFdEAAAADAQAADwAAAAAAAAABACAAAAAiAAAAZHJzL2Rvd25yZXYueG1sUEsBAhQAFAAAAAgA&#10;h07iQCZM3bfzAQAAwgMAAA4AAAAAAAAAAQAgAAAAIAEAAGRycy9lMm9Eb2MueG1sUEsFBgAAAAAG&#10;AAYAWQEAAIUFA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21"/>
                              <w:rFonts w:hint="eastAsia" w:asciiTheme="minorEastAsia" w:hAnsiTheme="minorEastAsia" w:eastAsiaTheme="minorEastAsia" w:cstheme="minorEastAsia"/>
                              <w:sz w:val="28"/>
                              <w:szCs w:val="28"/>
                            </w:rPr>
                          </w:pPr>
                          <w:r>
                            <w:rPr>
                              <w:rStyle w:val="21"/>
                              <w:rFonts w:hint="eastAsia" w:asciiTheme="minorEastAsia" w:hAnsiTheme="minorEastAsia" w:eastAsiaTheme="minorEastAsia" w:cstheme="minorEastAsia"/>
                              <w:sz w:val="28"/>
                              <w:szCs w:val="28"/>
                            </w:rPr>
                            <w:t xml:space="preserve">— </w:t>
                          </w:r>
                          <w:r>
                            <w:rPr>
                              <w:rStyle w:val="21"/>
                              <w:rFonts w:hint="eastAsia" w:asciiTheme="minorEastAsia" w:hAnsiTheme="minorEastAsia" w:eastAsiaTheme="minorEastAsia" w:cstheme="minorEastAsia"/>
                              <w:sz w:val="28"/>
                              <w:szCs w:val="28"/>
                            </w:rPr>
                            <w:fldChar w:fldCharType="begin"/>
                          </w:r>
                          <w:r>
                            <w:rPr>
                              <w:rStyle w:val="21"/>
                              <w:rFonts w:hint="eastAsia" w:asciiTheme="minorEastAsia" w:hAnsiTheme="minorEastAsia" w:eastAsiaTheme="minorEastAsia" w:cstheme="minorEastAsia"/>
                              <w:sz w:val="28"/>
                              <w:szCs w:val="28"/>
                            </w:rPr>
                            <w:instrText xml:space="preserve"> PAGE  \* MERGEFORMAT </w:instrText>
                          </w:r>
                          <w:r>
                            <w:rPr>
                              <w:rStyle w:val="21"/>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18</w:t>
                          </w:r>
                          <w:r>
                            <w:rPr>
                              <w:rStyle w:val="21"/>
                              <w:rFonts w:hint="eastAsia" w:asciiTheme="minorEastAsia" w:hAnsiTheme="minorEastAsia" w:eastAsiaTheme="minorEastAsia" w:cstheme="minorEastAsia"/>
                              <w:sz w:val="28"/>
                              <w:szCs w:val="28"/>
                            </w:rPr>
                            <w:fldChar w:fldCharType="end"/>
                          </w:r>
                          <w:r>
                            <w:rPr>
                              <w:rStyle w:val="21"/>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mNoswBAAB6AwAADgAAAAAAAAABACAAAAAiAQAAZHJz&#10;L2Uyb0RvYy54bWxQSwUGAAAAAAYABgBZAQAAYAUAAAAA&#10;">
              <v:fill on="f" focussize="0,0"/>
              <v:stroke on="f" weight="1.25pt"/>
              <v:imagedata o:title=""/>
              <o:lock v:ext="edit" aspectratio="f"/>
              <v:textbox inset="0mm,0mm,0mm,0mm" style="mso-fit-shape-to-text:t;">
                <w:txbxContent>
                  <w:p>
                    <w:pPr>
                      <w:pStyle w:val="15"/>
                      <w:rPr>
                        <w:rStyle w:val="21"/>
                        <w:rFonts w:hint="eastAsia" w:asciiTheme="minorEastAsia" w:hAnsiTheme="minorEastAsia" w:eastAsiaTheme="minorEastAsia" w:cstheme="minorEastAsia"/>
                        <w:sz w:val="28"/>
                        <w:szCs w:val="28"/>
                      </w:rPr>
                    </w:pPr>
                    <w:r>
                      <w:rPr>
                        <w:rStyle w:val="21"/>
                        <w:rFonts w:hint="eastAsia" w:asciiTheme="minorEastAsia" w:hAnsiTheme="minorEastAsia" w:eastAsiaTheme="minorEastAsia" w:cstheme="minorEastAsia"/>
                        <w:sz w:val="28"/>
                        <w:szCs w:val="28"/>
                      </w:rPr>
                      <w:t xml:space="preserve">— </w:t>
                    </w:r>
                    <w:r>
                      <w:rPr>
                        <w:rStyle w:val="21"/>
                        <w:rFonts w:hint="eastAsia" w:asciiTheme="minorEastAsia" w:hAnsiTheme="minorEastAsia" w:eastAsiaTheme="minorEastAsia" w:cstheme="minorEastAsia"/>
                        <w:sz w:val="28"/>
                        <w:szCs w:val="28"/>
                      </w:rPr>
                      <w:fldChar w:fldCharType="begin"/>
                    </w:r>
                    <w:r>
                      <w:rPr>
                        <w:rStyle w:val="21"/>
                        <w:rFonts w:hint="eastAsia" w:asciiTheme="minorEastAsia" w:hAnsiTheme="minorEastAsia" w:eastAsiaTheme="minorEastAsia" w:cstheme="minorEastAsia"/>
                        <w:sz w:val="28"/>
                        <w:szCs w:val="28"/>
                      </w:rPr>
                      <w:instrText xml:space="preserve"> PAGE  \* MERGEFORMAT </w:instrText>
                    </w:r>
                    <w:r>
                      <w:rPr>
                        <w:rStyle w:val="21"/>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18</w:t>
                    </w:r>
                    <w:r>
                      <w:rPr>
                        <w:rStyle w:val="21"/>
                        <w:rFonts w:hint="eastAsia" w:asciiTheme="minorEastAsia" w:hAnsiTheme="minorEastAsia" w:eastAsiaTheme="minorEastAsia" w:cstheme="minorEastAsia"/>
                        <w:sz w:val="28"/>
                        <w:szCs w:val="28"/>
                      </w:rPr>
                      <w:fldChar w:fldCharType="end"/>
                    </w:r>
                    <w:r>
                      <w:rPr>
                        <w:rStyle w:val="21"/>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F94AD2"/>
    <w:rsid w:val="0EF96D0F"/>
    <w:rsid w:val="0F736B0C"/>
    <w:rsid w:val="0F77A613"/>
    <w:rsid w:val="0F7830AF"/>
    <w:rsid w:val="0FEB31A3"/>
    <w:rsid w:val="10C6291E"/>
    <w:rsid w:val="12207CB7"/>
    <w:rsid w:val="136638AB"/>
    <w:rsid w:val="13763A43"/>
    <w:rsid w:val="14706153"/>
    <w:rsid w:val="1477ED4F"/>
    <w:rsid w:val="15D50686"/>
    <w:rsid w:val="17AD1515"/>
    <w:rsid w:val="191F2D4F"/>
    <w:rsid w:val="197BE933"/>
    <w:rsid w:val="19E63E0C"/>
    <w:rsid w:val="1AA11BA9"/>
    <w:rsid w:val="1C690C00"/>
    <w:rsid w:val="1D2C5FE8"/>
    <w:rsid w:val="1DFB7D1C"/>
    <w:rsid w:val="1E69485B"/>
    <w:rsid w:val="1E9C00A0"/>
    <w:rsid w:val="1F3B6715"/>
    <w:rsid w:val="1F5CA05E"/>
    <w:rsid w:val="1F6F63CD"/>
    <w:rsid w:val="1FFD4D5A"/>
    <w:rsid w:val="219C1C67"/>
    <w:rsid w:val="21A73E45"/>
    <w:rsid w:val="220F0EDB"/>
    <w:rsid w:val="23CC7B8D"/>
    <w:rsid w:val="24432410"/>
    <w:rsid w:val="24D523AF"/>
    <w:rsid w:val="2571113E"/>
    <w:rsid w:val="25C83420"/>
    <w:rsid w:val="261F1106"/>
    <w:rsid w:val="26FFC9B5"/>
    <w:rsid w:val="275C69CE"/>
    <w:rsid w:val="290A7315"/>
    <w:rsid w:val="29C10E64"/>
    <w:rsid w:val="29FD574D"/>
    <w:rsid w:val="2A341411"/>
    <w:rsid w:val="2B1706DC"/>
    <w:rsid w:val="2B17EBFE"/>
    <w:rsid w:val="2CBE2431"/>
    <w:rsid w:val="2DD7175D"/>
    <w:rsid w:val="2DEEB6C4"/>
    <w:rsid w:val="2E7D41B6"/>
    <w:rsid w:val="2ECB239C"/>
    <w:rsid w:val="2F6BC4CA"/>
    <w:rsid w:val="2FEB4B9F"/>
    <w:rsid w:val="2FEB6799"/>
    <w:rsid w:val="30914434"/>
    <w:rsid w:val="31D921A4"/>
    <w:rsid w:val="32BF7018"/>
    <w:rsid w:val="33AFCDDC"/>
    <w:rsid w:val="34581908"/>
    <w:rsid w:val="35020712"/>
    <w:rsid w:val="35065A3A"/>
    <w:rsid w:val="35D5328C"/>
    <w:rsid w:val="370D16B3"/>
    <w:rsid w:val="37C51145"/>
    <w:rsid w:val="37D34713"/>
    <w:rsid w:val="37FFA73D"/>
    <w:rsid w:val="386510FC"/>
    <w:rsid w:val="39BA7744"/>
    <w:rsid w:val="39DF75C1"/>
    <w:rsid w:val="39FBD9D6"/>
    <w:rsid w:val="3AB853C8"/>
    <w:rsid w:val="3B9F2014"/>
    <w:rsid w:val="3BA26649"/>
    <w:rsid w:val="3BCF7D73"/>
    <w:rsid w:val="3BEB2DD8"/>
    <w:rsid w:val="3BEFAF9D"/>
    <w:rsid w:val="3C9A35A3"/>
    <w:rsid w:val="3CFF8C66"/>
    <w:rsid w:val="3D7F5882"/>
    <w:rsid w:val="3DBB3E02"/>
    <w:rsid w:val="3DBF2728"/>
    <w:rsid w:val="3DD030B8"/>
    <w:rsid w:val="3DD7C212"/>
    <w:rsid w:val="3DDE5100"/>
    <w:rsid w:val="3DFBB525"/>
    <w:rsid w:val="3E2BA276"/>
    <w:rsid w:val="3E63500C"/>
    <w:rsid w:val="3E7C6A29"/>
    <w:rsid w:val="3E81138A"/>
    <w:rsid w:val="3EE58A66"/>
    <w:rsid w:val="3EFE8C2A"/>
    <w:rsid w:val="3F7F5A6A"/>
    <w:rsid w:val="3F7F6E9A"/>
    <w:rsid w:val="3F9E975F"/>
    <w:rsid w:val="3FA43F19"/>
    <w:rsid w:val="3FBD95CC"/>
    <w:rsid w:val="3FBF6162"/>
    <w:rsid w:val="3FDF6E79"/>
    <w:rsid w:val="3FDF8E31"/>
    <w:rsid w:val="3FFB0F51"/>
    <w:rsid w:val="3FFF6CE3"/>
    <w:rsid w:val="41285076"/>
    <w:rsid w:val="42AD5BED"/>
    <w:rsid w:val="43396CC2"/>
    <w:rsid w:val="43723646"/>
    <w:rsid w:val="439D17F4"/>
    <w:rsid w:val="46BF18E1"/>
    <w:rsid w:val="46E66BFD"/>
    <w:rsid w:val="473E4D14"/>
    <w:rsid w:val="47FCCC74"/>
    <w:rsid w:val="489A0AE6"/>
    <w:rsid w:val="49FFFFFA"/>
    <w:rsid w:val="4A9317A2"/>
    <w:rsid w:val="4ABCC14A"/>
    <w:rsid w:val="4B4D65A7"/>
    <w:rsid w:val="4BFCBB8E"/>
    <w:rsid w:val="4D2370E7"/>
    <w:rsid w:val="4DECC0FF"/>
    <w:rsid w:val="4E7647D3"/>
    <w:rsid w:val="4E8C447A"/>
    <w:rsid w:val="4EBF1E5C"/>
    <w:rsid w:val="4F502494"/>
    <w:rsid w:val="4FBEF9B5"/>
    <w:rsid w:val="4FC55E23"/>
    <w:rsid w:val="509A7964"/>
    <w:rsid w:val="52FBBD0A"/>
    <w:rsid w:val="53D72F5A"/>
    <w:rsid w:val="53FDACB5"/>
    <w:rsid w:val="54510FE5"/>
    <w:rsid w:val="55FFF0DB"/>
    <w:rsid w:val="56020BB4"/>
    <w:rsid w:val="571E02A3"/>
    <w:rsid w:val="577D5564"/>
    <w:rsid w:val="57EB1FC0"/>
    <w:rsid w:val="57FD7E1B"/>
    <w:rsid w:val="584843AC"/>
    <w:rsid w:val="59F53F6D"/>
    <w:rsid w:val="5A7E2231"/>
    <w:rsid w:val="5ABF87E8"/>
    <w:rsid w:val="5ADF6823"/>
    <w:rsid w:val="5B175D16"/>
    <w:rsid w:val="5B1A0782"/>
    <w:rsid w:val="5B7D4CCA"/>
    <w:rsid w:val="5BF75FB6"/>
    <w:rsid w:val="5C624A97"/>
    <w:rsid w:val="5CFE9547"/>
    <w:rsid w:val="5DBF8188"/>
    <w:rsid w:val="5DDA3951"/>
    <w:rsid w:val="5DFE535C"/>
    <w:rsid w:val="5E5AF9EE"/>
    <w:rsid w:val="5EF7F42E"/>
    <w:rsid w:val="5F3D42B6"/>
    <w:rsid w:val="5F57B4BB"/>
    <w:rsid w:val="5F7DCD7F"/>
    <w:rsid w:val="5FA95F49"/>
    <w:rsid w:val="5FBF8763"/>
    <w:rsid w:val="5FD602F2"/>
    <w:rsid w:val="5FEF0E87"/>
    <w:rsid w:val="5FF7A607"/>
    <w:rsid w:val="61CB412D"/>
    <w:rsid w:val="61E274FB"/>
    <w:rsid w:val="63270190"/>
    <w:rsid w:val="63C07097"/>
    <w:rsid w:val="63F6BC28"/>
    <w:rsid w:val="654340E7"/>
    <w:rsid w:val="664F3B20"/>
    <w:rsid w:val="6677D4F4"/>
    <w:rsid w:val="66FF43DA"/>
    <w:rsid w:val="675B5FBD"/>
    <w:rsid w:val="6788382C"/>
    <w:rsid w:val="67BED0C3"/>
    <w:rsid w:val="6826391B"/>
    <w:rsid w:val="6867608D"/>
    <w:rsid w:val="68EF42C4"/>
    <w:rsid w:val="6A7FB000"/>
    <w:rsid w:val="6A956400"/>
    <w:rsid w:val="6ABF5399"/>
    <w:rsid w:val="6B6E072A"/>
    <w:rsid w:val="6BBB6541"/>
    <w:rsid w:val="6BFFF824"/>
    <w:rsid w:val="6C67536A"/>
    <w:rsid w:val="6D2DDCC5"/>
    <w:rsid w:val="6D4D31CC"/>
    <w:rsid w:val="6E504A7B"/>
    <w:rsid w:val="6EEF4C98"/>
    <w:rsid w:val="6EFE9375"/>
    <w:rsid w:val="6F5A0D30"/>
    <w:rsid w:val="6F5A677D"/>
    <w:rsid w:val="6F9F2C42"/>
    <w:rsid w:val="6FDB23B1"/>
    <w:rsid w:val="6FDF0059"/>
    <w:rsid w:val="6FE6DE43"/>
    <w:rsid w:val="6FEF6CCE"/>
    <w:rsid w:val="6FFE1C0D"/>
    <w:rsid w:val="6FFF2707"/>
    <w:rsid w:val="700A63FA"/>
    <w:rsid w:val="71180D83"/>
    <w:rsid w:val="71F95C1E"/>
    <w:rsid w:val="727D69CE"/>
    <w:rsid w:val="72836946"/>
    <w:rsid w:val="728B5B6F"/>
    <w:rsid w:val="72C3149E"/>
    <w:rsid w:val="732BFBCD"/>
    <w:rsid w:val="73661CF5"/>
    <w:rsid w:val="73AC6CAF"/>
    <w:rsid w:val="73DC4B44"/>
    <w:rsid w:val="73EFE563"/>
    <w:rsid w:val="73F8977C"/>
    <w:rsid w:val="743E4BED"/>
    <w:rsid w:val="744A0831"/>
    <w:rsid w:val="746DE58C"/>
    <w:rsid w:val="757EAA4D"/>
    <w:rsid w:val="75DFB322"/>
    <w:rsid w:val="75FF1D72"/>
    <w:rsid w:val="75FF3358"/>
    <w:rsid w:val="76862FBE"/>
    <w:rsid w:val="76AE5741"/>
    <w:rsid w:val="76F61301"/>
    <w:rsid w:val="77052688"/>
    <w:rsid w:val="771FBC1C"/>
    <w:rsid w:val="774E327C"/>
    <w:rsid w:val="779656C4"/>
    <w:rsid w:val="779FFD24"/>
    <w:rsid w:val="77BE3158"/>
    <w:rsid w:val="77D116E6"/>
    <w:rsid w:val="77DF08BC"/>
    <w:rsid w:val="77F6D61D"/>
    <w:rsid w:val="77FF3C02"/>
    <w:rsid w:val="788619C9"/>
    <w:rsid w:val="78D4654C"/>
    <w:rsid w:val="797DEB38"/>
    <w:rsid w:val="79AE4707"/>
    <w:rsid w:val="7AFB0652"/>
    <w:rsid w:val="7B56DDA2"/>
    <w:rsid w:val="7B5C206A"/>
    <w:rsid w:val="7B5F60E6"/>
    <w:rsid w:val="7BDA7796"/>
    <w:rsid w:val="7BDD098F"/>
    <w:rsid w:val="7BEBF7D2"/>
    <w:rsid w:val="7BF66A1A"/>
    <w:rsid w:val="7BF7DAD7"/>
    <w:rsid w:val="7C3F056E"/>
    <w:rsid w:val="7CAF6D1A"/>
    <w:rsid w:val="7CB461A6"/>
    <w:rsid w:val="7CDEF532"/>
    <w:rsid w:val="7CDF640F"/>
    <w:rsid w:val="7CFF4FA0"/>
    <w:rsid w:val="7D3618D2"/>
    <w:rsid w:val="7D7563CA"/>
    <w:rsid w:val="7DAF588E"/>
    <w:rsid w:val="7DDFD50E"/>
    <w:rsid w:val="7DFB3278"/>
    <w:rsid w:val="7DFB8B7B"/>
    <w:rsid w:val="7DFDC076"/>
    <w:rsid w:val="7DFE4917"/>
    <w:rsid w:val="7DFF30FE"/>
    <w:rsid w:val="7E6FEE09"/>
    <w:rsid w:val="7E773A89"/>
    <w:rsid w:val="7EBCA161"/>
    <w:rsid w:val="7EBF0104"/>
    <w:rsid w:val="7EE6928F"/>
    <w:rsid w:val="7EF53012"/>
    <w:rsid w:val="7EF7C809"/>
    <w:rsid w:val="7EF7EA39"/>
    <w:rsid w:val="7EFB34CC"/>
    <w:rsid w:val="7EFDE791"/>
    <w:rsid w:val="7EFFAC3D"/>
    <w:rsid w:val="7F2F2086"/>
    <w:rsid w:val="7F3BAD2F"/>
    <w:rsid w:val="7F58EF20"/>
    <w:rsid w:val="7F7583FE"/>
    <w:rsid w:val="7FBB89BF"/>
    <w:rsid w:val="7FBE84CD"/>
    <w:rsid w:val="7FBF3A79"/>
    <w:rsid w:val="7FBFA7FC"/>
    <w:rsid w:val="7FCDF859"/>
    <w:rsid w:val="7FDC44AE"/>
    <w:rsid w:val="7FDF2A49"/>
    <w:rsid w:val="7FEB8333"/>
    <w:rsid w:val="7FEEDE92"/>
    <w:rsid w:val="7FEFABF9"/>
    <w:rsid w:val="7FF2B72A"/>
    <w:rsid w:val="7FF878E2"/>
    <w:rsid w:val="7FFAE9C3"/>
    <w:rsid w:val="7FFB35A7"/>
    <w:rsid w:val="7FFBF9D8"/>
    <w:rsid w:val="7FFD7569"/>
    <w:rsid w:val="7FFD9F55"/>
    <w:rsid w:val="7FFF1897"/>
    <w:rsid w:val="7FFF1B15"/>
    <w:rsid w:val="89FDC7F1"/>
    <w:rsid w:val="92AD2B4C"/>
    <w:rsid w:val="95D74240"/>
    <w:rsid w:val="97C778E7"/>
    <w:rsid w:val="97FD6C4A"/>
    <w:rsid w:val="9BDF6923"/>
    <w:rsid w:val="9CBF9212"/>
    <w:rsid w:val="9D5E0256"/>
    <w:rsid w:val="9DFF8143"/>
    <w:rsid w:val="9EB5F665"/>
    <w:rsid w:val="9EDFA34A"/>
    <w:rsid w:val="9F7FDC93"/>
    <w:rsid w:val="9F8E2DAF"/>
    <w:rsid w:val="9FBD1BD1"/>
    <w:rsid w:val="9FC5E453"/>
    <w:rsid w:val="A4A9E009"/>
    <w:rsid w:val="AB7F80E0"/>
    <w:rsid w:val="AB83EC8B"/>
    <w:rsid w:val="AEDCFD40"/>
    <w:rsid w:val="AF3FC071"/>
    <w:rsid w:val="AFFD20B3"/>
    <w:rsid w:val="B0FFBD46"/>
    <w:rsid w:val="B23BFF8E"/>
    <w:rsid w:val="B5C121B5"/>
    <w:rsid w:val="B5DE0672"/>
    <w:rsid w:val="B5EE9E49"/>
    <w:rsid w:val="B5F7B175"/>
    <w:rsid w:val="B73FAB18"/>
    <w:rsid w:val="B77E9286"/>
    <w:rsid w:val="B97F7191"/>
    <w:rsid w:val="BBEA2358"/>
    <w:rsid w:val="BBFF5877"/>
    <w:rsid w:val="BBFF66F1"/>
    <w:rsid w:val="BCCF1D1D"/>
    <w:rsid w:val="BD7CAE0B"/>
    <w:rsid w:val="BDFBD4BA"/>
    <w:rsid w:val="BDFEA223"/>
    <w:rsid w:val="BDFF872F"/>
    <w:rsid w:val="BE7BE03B"/>
    <w:rsid w:val="BEBB3247"/>
    <w:rsid w:val="BED9FC04"/>
    <w:rsid w:val="BEF60C56"/>
    <w:rsid w:val="BEF9CC09"/>
    <w:rsid w:val="BEFB37A3"/>
    <w:rsid w:val="BF2133B4"/>
    <w:rsid w:val="BF6E9522"/>
    <w:rsid w:val="BFB300BB"/>
    <w:rsid w:val="BFD5F831"/>
    <w:rsid w:val="BFDF0CA2"/>
    <w:rsid w:val="BFEF5093"/>
    <w:rsid w:val="BFF597B2"/>
    <w:rsid w:val="BFF75AC5"/>
    <w:rsid w:val="BFF7D093"/>
    <w:rsid w:val="BFF83A6A"/>
    <w:rsid w:val="BFFD2A76"/>
    <w:rsid w:val="BFFE1C57"/>
    <w:rsid w:val="BFFEF6E1"/>
    <w:rsid w:val="C71E8209"/>
    <w:rsid w:val="C7D706C0"/>
    <w:rsid w:val="C9DE5E7B"/>
    <w:rsid w:val="C9FF30A8"/>
    <w:rsid w:val="CB760CF4"/>
    <w:rsid w:val="CFDEA72F"/>
    <w:rsid w:val="CFFFEAFE"/>
    <w:rsid w:val="D2FF0D15"/>
    <w:rsid w:val="D3A73838"/>
    <w:rsid w:val="D3FE97CC"/>
    <w:rsid w:val="D3FF5DBF"/>
    <w:rsid w:val="D5CF3C24"/>
    <w:rsid w:val="D5F5F062"/>
    <w:rsid w:val="D6F795FC"/>
    <w:rsid w:val="D6FD671B"/>
    <w:rsid w:val="D7AF9AF9"/>
    <w:rsid w:val="D7D7DDCC"/>
    <w:rsid w:val="D7E6F503"/>
    <w:rsid w:val="D7EA6D9F"/>
    <w:rsid w:val="D8DCEDE1"/>
    <w:rsid w:val="D97EBC19"/>
    <w:rsid w:val="D9DFAEDD"/>
    <w:rsid w:val="DAFBCEB0"/>
    <w:rsid w:val="DB726C3A"/>
    <w:rsid w:val="DB7EC993"/>
    <w:rsid w:val="DB97E326"/>
    <w:rsid w:val="DBF76714"/>
    <w:rsid w:val="DBFFED5C"/>
    <w:rsid w:val="DDA208C1"/>
    <w:rsid w:val="DDE48CF9"/>
    <w:rsid w:val="DE76A371"/>
    <w:rsid w:val="DE7798B4"/>
    <w:rsid w:val="DEF75473"/>
    <w:rsid w:val="DF4FEB3E"/>
    <w:rsid w:val="DF6A0073"/>
    <w:rsid w:val="DF780174"/>
    <w:rsid w:val="DFCBC77F"/>
    <w:rsid w:val="DFD77326"/>
    <w:rsid w:val="DFDD30F9"/>
    <w:rsid w:val="DFF5A64B"/>
    <w:rsid w:val="DFFDF19D"/>
    <w:rsid w:val="DFFF810B"/>
    <w:rsid w:val="DFFFB97E"/>
    <w:rsid w:val="E2BA878A"/>
    <w:rsid w:val="E3B7C1BF"/>
    <w:rsid w:val="E3DFABFC"/>
    <w:rsid w:val="E7DF917F"/>
    <w:rsid w:val="E7E2616F"/>
    <w:rsid w:val="E7FF481B"/>
    <w:rsid w:val="E97FB2C3"/>
    <w:rsid w:val="E9FE7779"/>
    <w:rsid w:val="EABBC644"/>
    <w:rsid w:val="EABFCD06"/>
    <w:rsid w:val="EAD5273E"/>
    <w:rsid w:val="EAD788B5"/>
    <w:rsid w:val="EAFB0206"/>
    <w:rsid w:val="EAFFADBA"/>
    <w:rsid w:val="EBF27717"/>
    <w:rsid w:val="EBFAE54A"/>
    <w:rsid w:val="EBFFF2A9"/>
    <w:rsid w:val="ECFF6448"/>
    <w:rsid w:val="ED7CB6BF"/>
    <w:rsid w:val="EE369E02"/>
    <w:rsid w:val="EEFF1465"/>
    <w:rsid w:val="EEFF8FF0"/>
    <w:rsid w:val="EF37916E"/>
    <w:rsid w:val="EF5E0B98"/>
    <w:rsid w:val="EF779F32"/>
    <w:rsid w:val="EF7F101E"/>
    <w:rsid w:val="EF9EF7A3"/>
    <w:rsid w:val="EFBBA1E8"/>
    <w:rsid w:val="EFDF2B9D"/>
    <w:rsid w:val="EFE64C18"/>
    <w:rsid w:val="EFEFCEF3"/>
    <w:rsid w:val="EFF6411A"/>
    <w:rsid w:val="EFFD85C2"/>
    <w:rsid w:val="EFFE7920"/>
    <w:rsid w:val="EFFF2025"/>
    <w:rsid w:val="EFFF494D"/>
    <w:rsid w:val="F277D181"/>
    <w:rsid w:val="F37548D2"/>
    <w:rsid w:val="F3EDF549"/>
    <w:rsid w:val="F4C9127B"/>
    <w:rsid w:val="F4D581AD"/>
    <w:rsid w:val="F4D72FEC"/>
    <w:rsid w:val="F4E309F0"/>
    <w:rsid w:val="F5E727F9"/>
    <w:rsid w:val="F5ED2ECC"/>
    <w:rsid w:val="F63D6CD1"/>
    <w:rsid w:val="F67188B8"/>
    <w:rsid w:val="F6FC2EBA"/>
    <w:rsid w:val="F6FD84FB"/>
    <w:rsid w:val="F71C4126"/>
    <w:rsid w:val="F72F39FB"/>
    <w:rsid w:val="F73DF6FB"/>
    <w:rsid w:val="F77BA6A3"/>
    <w:rsid w:val="F77F1B90"/>
    <w:rsid w:val="F7BEDF21"/>
    <w:rsid w:val="F7FF3781"/>
    <w:rsid w:val="F8AF765D"/>
    <w:rsid w:val="F9631D36"/>
    <w:rsid w:val="F9AFB6F0"/>
    <w:rsid w:val="F9F9C2D3"/>
    <w:rsid w:val="FA576F15"/>
    <w:rsid w:val="FA7BB5FD"/>
    <w:rsid w:val="FADC04E4"/>
    <w:rsid w:val="FAEFED88"/>
    <w:rsid w:val="FAF5676F"/>
    <w:rsid w:val="FB6E0296"/>
    <w:rsid w:val="FB7FF2D1"/>
    <w:rsid w:val="FBAD178A"/>
    <w:rsid w:val="FBAD5CE8"/>
    <w:rsid w:val="FBAE5070"/>
    <w:rsid w:val="FBBD53BA"/>
    <w:rsid w:val="FBDF2122"/>
    <w:rsid w:val="FBEE1844"/>
    <w:rsid w:val="FBEF2C87"/>
    <w:rsid w:val="FBEFCE27"/>
    <w:rsid w:val="FBF3DB92"/>
    <w:rsid w:val="FBF76626"/>
    <w:rsid w:val="FBFDA068"/>
    <w:rsid w:val="FBFF379E"/>
    <w:rsid w:val="FCCBB202"/>
    <w:rsid w:val="FCDB6888"/>
    <w:rsid w:val="FD589B48"/>
    <w:rsid w:val="FDB7B2E3"/>
    <w:rsid w:val="FDBFC382"/>
    <w:rsid w:val="FDBFFB3F"/>
    <w:rsid w:val="FDC86040"/>
    <w:rsid w:val="FDDF520B"/>
    <w:rsid w:val="FDE60A8A"/>
    <w:rsid w:val="FDEDFE4B"/>
    <w:rsid w:val="FDEE69C7"/>
    <w:rsid w:val="FDEF0DBC"/>
    <w:rsid w:val="FDF51AF1"/>
    <w:rsid w:val="FDF531D4"/>
    <w:rsid w:val="FDFF507C"/>
    <w:rsid w:val="FE692C48"/>
    <w:rsid w:val="FE7E1D15"/>
    <w:rsid w:val="FEB4630E"/>
    <w:rsid w:val="FEC7CF0B"/>
    <w:rsid w:val="FECC11A6"/>
    <w:rsid w:val="FEDFF276"/>
    <w:rsid w:val="FF18DFEE"/>
    <w:rsid w:val="FF2D6ECE"/>
    <w:rsid w:val="FF5EF1C1"/>
    <w:rsid w:val="FF778549"/>
    <w:rsid w:val="FF7ACDEB"/>
    <w:rsid w:val="FF7DB9F7"/>
    <w:rsid w:val="FF7F25D6"/>
    <w:rsid w:val="FF93452B"/>
    <w:rsid w:val="FFBF5332"/>
    <w:rsid w:val="FFCF68DB"/>
    <w:rsid w:val="FFD3BF6D"/>
    <w:rsid w:val="FFDB4941"/>
    <w:rsid w:val="FFDB89D3"/>
    <w:rsid w:val="FFEF0BE6"/>
    <w:rsid w:val="FFF71438"/>
    <w:rsid w:val="FFFF01AA"/>
    <w:rsid w:val="FFFF8395"/>
    <w:rsid w:val="FFFFF8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link w:val="24"/>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20">
    <w:name w:val="Default Paragraph Font"/>
    <w:qFormat/>
    <w:uiPriority w:val="0"/>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1"/>
      <w:szCs w:val="24"/>
    </w:rPr>
  </w:style>
  <w:style w:type="paragraph" w:styleId="6">
    <w:name w:val="Normal Indent"/>
    <w:basedOn w:val="1"/>
    <w:next w:val="1"/>
    <w:link w:val="25"/>
    <w:qFormat/>
    <w:uiPriority w:val="0"/>
    <w:pPr>
      <w:ind w:firstLine="420"/>
    </w:pPr>
    <w:rPr>
      <w:rFonts w:ascii="宋体"/>
      <w:szCs w:val="20"/>
    </w:rPr>
  </w:style>
  <w:style w:type="paragraph" w:styleId="7">
    <w:name w:val="caption"/>
    <w:next w:val="8"/>
    <w:unhideWhenUsed/>
    <w:qFormat/>
    <w:uiPriority w:val="0"/>
    <w:pPr>
      <w:keepNext w:val="0"/>
      <w:keepLines/>
      <w:widowControl w:val="0"/>
      <w:suppressLineNumbers w:val="0"/>
      <w:overflowPunct w:val="0"/>
      <w:spacing w:before="0" w:beforeAutospacing="0" w:after="0" w:afterAutospacing="0" w:line="480" w:lineRule="exact"/>
      <w:ind w:left="0" w:right="0" w:firstLine="0" w:firstLineChars="0"/>
      <w:jc w:val="center"/>
    </w:pPr>
    <w:rPr>
      <w:rFonts w:ascii="Times New Roman" w:hAnsi="Times New Roman" w:eastAsia="仿宋_GB2312" w:cs="Times New Roman"/>
      <w:b/>
      <w:color w:val="000000"/>
      <w:kern w:val="2"/>
      <w:sz w:val="24"/>
      <w:szCs w:val="26"/>
      <w:lang w:val="en-US" w:eastAsia="zh-CN" w:bidi="ar"/>
    </w:rPr>
  </w:style>
  <w:style w:type="paragraph" w:customStyle="1" w:styleId="8">
    <w:name w:val="1表格"/>
    <w:next w:val="1"/>
    <w:qFormat/>
    <w:uiPriority w:val="0"/>
    <w:pPr>
      <w:widowControl w:val="0"/>
      <w:overflowPunct w:val="0"/>
      <w:spacing w:line="240" w:lineRule="auto"/>
      <w:ind w:firstLine="0" w:firstLineChars="0"/>
      <w:jc w:val="center"/>
    </w:pPr>
    <w:rPr>
      <w:rFonts w:ascii="Times New Roman" w:hAnsi="Times New Roman" w:eastAsia="仿宋_GB2312" w:cs="Times New Roman"/>
      <w:kern w:val="2"/>
      <w:sz w:val="18"/>
      <w:szCs w:val="24"/>
      <w:lang w:val="en-US" w:eastAsia="zh-CN" w:bidi="ar-SA"/>
    </w:rPr>
  </w:style>
  <w:style w:type="paragraph" w:styleId="9">
    <w:name w:val="Document Map"/>
    <w:basedOn w:val="1"/>
    <w:link w:val="26"/>
    <w:qFormat/>
    <w:uiPriority w:val="0"/>
    <w:pPr>
      <w:shd w:val="clear" w:color="auto" w:fill="000080"/>
    </w:pPr>
  </w:style>
  <w:style w:type="paragraph" w:styleId="10">
    <w:name w:val="annotation text"/>
    <w:basedOn w:val="1"/>
    <w:link w:val="27"/>
    <w:qFormat/>
    <w:uiPriority w:val="0"/>
    <w:pPr>
      <w:widowControl/>
      <w:jc w:val="left"/>
    </w:pPr>
    <w:rPr>
      <w:rFonts w:ascii="宋体" w:hAnsi="宋体" w:cs="宋体"/>
      <w:kern w:val="0"/>
      <w:sz w:val="24"/>
    </w:rPr>
  </w:style>
  <w:style w:type="paragraph" w:styleId="11">
    <w:name w:val="Body Text"/>
    <w:basedOn w:val="1"/>
    <w:next w:val="1"/>
    <w:link w:val="28"/>
    <w:qFormat/>
    <w:uiPriority w:val="0"/>
    <w:pPr>
      <w:spacing w:after="120" w:afterLines="0"/>
    </w:pPr>
    <w:rPr>
      <w:sz w:val="21"/>
    </w:rPr>
  </w:style>
  <w:style w:type="paragraph" w:styleId="12">
    <w:name w:val="Body Text Indent"/>
    <w:basedOn w:val="1"/>
    <w:semiHidden/>
    <w:unhideWhenUsed/>
    <w:qFormat/>
    <w:uiPriority w:val="99"/>
    <w:pPr>
      <w:spacing w:after="120"/>
      <w:ind w:left="420" w:leftChars="200"/>
    </w:pPr>
  </w:style>
  <w:style w:type="paragraph" w:styleId="13">
    <w:name w:val="Body Text Indent 2"/>
    <w:basedOn w:val="1"/>
    <w:qFormat/>
    <w:uiPriority w:val="0"/>
    <w:pPr>
      <w:spacing w:after="120" w:afterLines="0" w:line="480" w:lineRule="auto"/>
      <w:ind w:left="420" w:leftChars="200"/>
    </w:pPr>
    <w:rPr>
      <w:sz w:val="21"/>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7">
    <w:name w:val="annotation subject"/>
    <w:basedOn w:val="10"/>
    <w:next w:val="10"/>
    <w:semiHidden/>
    <w:qFormat/>
    <w:uiPriority w:val="0"/>
    <w:pPr>
      <w:widowControl w:val="0"/>
    </w:pPr>
    <w:rPr>
      <w:rFonts w:ascii="Times New Roman" w:hAnsi="Times New Roman" w:cs="Times New Roman"/>
      <w:b/>
      <w:bCs/>
      <w:kern w:val="2"/>
      <w:sz w:val="28"/>
    </w:rPr>
  </w:style>
  <w:style w:type="paragraph" w:styleId="18">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21">
    <w:name w:val="page number"/>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标题 3 字符"/>
    <w:link w:val="2"/>
    <w:qFormat/>
    <w:uiPriority w:val="0"/>
    <w:rPr>
      <w:rFonts w:ascii="宋体" w:hAnsi="宋体" w:eastAsia="宋体"/>
      <w:b/>
      <w:kern w:val="2"/>
      <w:sz w:val="24"/>
      <w:lang w:val="en-US" w:eastAsia="zh-CN" w:bidi="ar-SA"/>
    </w:rPr>
  </w:style>
  <w:style w:type="character" w:customStyle="1" w:styleId="25">
    <w:name w:val="正文缩进 字符"/>
    <w:link w:val="6"/>
    <w:qFormat/>
    <w:uiPriority w:val="0"/>
    <w:rPr>
      <w:rFonts w:ascii="宋体" w:eastAsia="宋体"/>
      <w:kern w:val="2"/>
      <w:sz w:val="28"/>
      <w:lang w:val="en-US" w:eastAsia="zh-CN" w:bidi="ar-SA"/>
    </w:rPr>
  </w:style>
  <w:style w:type="character" w:customStyle="1" w:styleId="26">
    <w:name w:val="文档结构图 字符"/>
    <w:link w:val="9"/>
    <w:qFormat/>
    <w:uiPriority w:val="0"/>
    <w:rPr>
      <w:rFonts w:eastAsia="宋体"/>
      <w:kern w:val="2"/>
      <w:sz w:val="28"/>
      <w:szCs w:val="24"/>
      <w:lang w:val="en-US" w:eastAsia="zh-CN" w:bidi="ar-SA"/>
    </w:rPr>
  </w:style>
  <w:style w:type="character" w:customStyle="1" w:styleId="27">
    <w:name w:val="批注文字 字符"/>
    <w:link w:val="10"/>
    <w:qFormat/>
    <w:uiPriority w:val="0"/>
    <w:rPr>
      <w:rFonts w:ascii="宋体" w:hAnsi="宋体" w:eastAsia="宋体" w:cs="宋体"/>
      <w:sz w:val="24"/>
      <w:szCs w:val="24"/>
      <w:lang w:val="en-US" w:eastAsia="zh-CN" w:bidi="ar-SA"/>
    </w:rPr>
  </w:style>
  <w:style w:type="character" w:customStyle="1" w:styleId="28">
    <w:name w:val="正文文本 字符"/>
    <w:link w:val="11"/>
    <w:qFormat/>
    <w:uiPriority w:val="0"/>
    <w:rPr>
      <w:rFonts w:eastAsia="宋体"/>
      <w:kern w:val="2"/>
      <w:sz w:val="21"/>
      <w:szCs w:val="24"/>
      <w:lang w:val="en-US" w:eastAsia="zh-CN" w:bidi="ar-SA"/>
    </w:rPr>
  </w:style>
  <w:style w:type="character" w:customStyle="1" w:styleId="29">
    <w:name w:val="报告文本 Char"/>
    <w:link w:val="30"/>
    <w:qFormat/>
    <w:uiPriority w:val="0"/>
    <w:rPr>
      <w:kern w:val="24"/>
      <w:sz w:val="24"/>
      <w:szCs w:val="22"/>
    </w:rPr>
  </w:style>
  <w:style w:type="paragraph" w:customStyle="1" w:styleId="30">
    <w:name w:val="报告文本"/>
    <w:basedOn w:val="1"/>
    <w:link w:val="29"/>
    <w:qFormat/>
    <w:uiPriority w:val="0"/>
    <w:pPr>
      <w:spacing w:line="500" w:lineRule="exact"/>
      <w:ind w:firstLine="200" w:firstLineChars="200"/>
    </w:pPr>
    <w:rPr>
      <w:kern w:val="24"/>
      <w:sz w:val="24"/>
      <w:szCs w:val="22"/>
    </w:rPr>
  </w:style>
  <w:style w:type="character" w:customStyle="1" w:styleId="31">
    <w:name w:val="样式12 Char Char"/>
    <w:link w:val="32"/>
    <w:qFormat/>
    <w:uiPriority w:val="0"/>
    <w:rPr>
      <w:rFonts w:ascii="Swis721 BT" w:hAnsi="Swis721 BT" w:eastAsia="黑体"/>
      <w:color w:val="000000"/>
      <w:kern w:val="2"/>
      <w:sz w:val="28"/>
      <w:szCs w:val="28"/>
      <w:lang w:val="en-US" w:eastAsia="zh-CN" w:bidi="ar-SA"/>
    </w:rPr>
  </w:style>
  <w:style w:type="paragraph" w:customStyle="1" w:styleId="32">
    <w:name w:val="样式12"/>
    <w:basedOn w:val="1"/>
    <w:link w:val="31"/>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3">
    <w:name w:val="样式25 Char Char"/>
    <w:link w:val="34"/>
    <w:qFormat/>
    <w:uiPriority w:val="0"/>
    <w:rPr>
      <w:kern w:val="2"/>
      <w:sz w:val="26"/>
      <w:szCs w:val="22"/>
    </w:rPr>
  </w:style>
  <w:style w:type="paragraph" w:customStyle="1" w:styleId="34">
    <w:name w:val="样式25"/>
    <w:basedOn w:val="1"/>
    <w:link w:val="33"/>
    <w:qFormat/>
    <w:uiPriority w:val="0"/>
    <w:pPr>
      <w:spacing w:line="480" w:lineRule="exact"/>
      <w:ind w:firstLine="520" w:firstLineChars="200"/>
    </w:pPr>
    <w:rPr>
      <w:sz w:val="26"/>
      <w:szCs w:val="22"/>
    </w:rPr>
  </w:style>
  <w:style w:type="character" w:customStyle="1" w:styleId="35">
    <w:name w:val="都福路文本"/>
    <w:qFormat/>
    <w:uiPriority w:val="0"/>
    <w:rPr>
      <w:rFonts w:ascii="宋体" w:hAnsi="宋体" w:eastAsia="宋体"/>
      <w:color w:val="0000FF"/>
      <w:kern w:val="0"/>
      <w:sz w:val="24"/>
      <w:lang w:val="en-US" w:eastAsia="zh-CN"/>
    </w:rPr>
  </w:style>
  <w:style w:type="character" w:customStyle="1" w:styleId="36">
    <w:name w:val=" Char Char25"/>
    <w:qFormat/>
    <w:uiPriority w:val="0"/>
    <w:rPr>
      <w:rFonts w:eastAsia="宋体"/>
      <w:kern w:val="2"/>
      <w:sz w:val="21"/>
      <w:szCs w:val="24"/>
      <w:lang w:val="en-US" w:eastAsia="zh-CN" w:bidi="ar-SA"/>
    </w:rPr>
  </w:style>
  <w:style w:type="character" w:customStyle="1" w:styleId="37">
    <w:name w:val="font91"/>
    <w:qFormat/>
    <w:uiPriority w:val="0"/>
    <w:rPr>
      <w:rFonts w:hint="eastAsia" w:ascii="宋体" w:hAnsi="宋体" w:eastAsia="宋体" w:cs="宋体"/>
      <w:color w:val="000000"/>
      <w:sz w:val="20"/>
      <w:szCs w:val="20"/>
      <w:u w:val="none"/>
    </w:rPr>
  </w:style>
  <w:style w:type="character" w:customStyle="1" w:styleId="38">
    <w:name w:val="正文2"/>
    <w:qFormat/>
    <w:uiPriority w:val="0"/>
    <w:rPr>
      <w:rFonts w:eastAsia="宋体"/>
      <w:color w:val="0000FF"/>
    </w:rPr>
  </w:style>
  <w:style w:type="character" w:customStyle="1" w:styleId="39">
    <w:name w:val="font101"/>
    <w:qFormat/>
    <w:uiPriority w:val="0"/>
    <w:rPr>
      <w:rFonts w:hint="eastAsia" w:ascii="宋体" w:hAnsi="宋体" w:eastAsia="宋体" w:cs="宋体"/>
      <w:color w:val="000000"/>
      <w:sz w:val="20"/>
      <w:szCs w:val="20"/>
      <w:u w:val="none"/>
    </w:rPr>
  </w:style>
  <w:style w:type="character" w:customStyle="1" w:styleId="40">
    <w:name w:val="font51"/>
    <w:basedOn w:val="20"/>
    <w:qFormat/>
    <w:uiPriority w:val="0"/>
    <w:rPr>
      <w:rFonts w:hint="default" w:ascii="Times New Roman" w:hAnsi="Times New Roman" w:cs="Times New Roman"/>
      <w:b/>
      <w:bCs/>
      <w:color w:val="000000"/>
      <w:sz w:val="18"/>
      <w:szCs w:val="18"/>
      <w:u w:val="none"/>
    </w:rPr>
  </w:style>
  <w:style w:type="character" w:customStyle="1" w:styleId="41">
    <w:name w:val="文本条款 Char"/>
    <w:qFormat/>
    <w:uiPriority w:val="0"/>
    <w:rPr>
      <w:kern w:val="2"/>
      <w:sz w:val="21"/>
    </w:rPr>
  </w:style>
  <w:style w:type="character" w:customStyle="1" w:styleId="42">
    <w:name w:val="font81"/>
    <w:qFormat/>
    <w:uiPriority w:val="0"/>
    <w:rPr>
      <w:rFonts w:hint="default" w:ascii="Times New Roman" w:hAnsi="Times New Roman" w:cs="Times New Roman"/>
      <w:color w:val="000000"/>
      <w:sz w:val="20"/>
      <w:szCs w:val="20"/>
      <w:u w:val="none"/>
    </w:rPr>
  </w:style>
  <w:style w:type="character" w:customStyle="1" w:styleId="43">
    <w:name w:val="font71"/>
    <w:basedOn w:val="20"/>
    <w:qFormat/>
    <w:uiPriority w:val="0"/>
    <w:rPr>
      <w:rFonts w:hint="default" w:ascii="Times New Roman" w:hAnsi="Times New Roman" w:cs="Times New Roman"/>
      <w:color w:val="000000"/>
      <w:sz w:val="20"/>
      <w:szCs w:val="20"/>
      <w:u w:val="none"/>
    </w:rPr>
  </w:style>
  <w:style w:type="character" w:customStyle="1" w:styleId="44">
    <w:name w:val="样式4 Char Char"/>
    <w:link w:val="45"/>
    <w:qFormat/>
    <w:uiPriority w:val="0"/>
    <w:rPr>
      <w:rFonts w:ascii="宋体" w:hAnsi="宋体" w:eastAsia="仿宋_GB2312"/>
      <w:kern w:val="2"/>
      <w:sz w:val="28"/>
      <w:szCs w:val="28"/>
      <w:lang w:val="en-US" w:eastAsia="zh-CN" w:bidi="ar-SA"/>
    </w:rPr>
  </w:style>
  <w:style w:type="paragraph" w:customStyle="1" w:styleId="45">
    <w:name w:val="样式4"/>
    <w:basedOn w:val="1"/>
    <w:link w:val="44"/>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6">
    <w:name w:val="样式1 Char Char"/>
    <w:link w:val="47"/>
    <w:qFormat/>
    <w:uiPriority w:val="0"/>
    <w:rPr>
      <w:rFonts w:eastAsia="宋体"/>
      <w:color w:val="000000"/>
      <w:sz w:val="21"/>
      <w:szCs w:val="21"/>
      <w:lang w:val="en-US" w:eastAsia="zh-CN" w:bidi="ar-SA"/>
    </w:rPr>
  </w:style>
  <w:style w:type="paragraph" w:customStyle="1" w:styleId="47">
    <w:name w:val="样式1"/>
    <w:basedOn w:val="1"/>
    <w:link w:val="46"/>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8">
    <w:name w:val="font31"/>
    <w:qFormat/>
    <w:uiPriority w:val="0"/>
    <w:rPr>
      <w:rFonts w:hint="default" w:ascii="Times New Roman" w:hAnsi="Times New Roman" w:cs="Times New Roman"/>
      <w:color w:val="000000"/>
      <w:sz w:val="16"/>
      <w:szCs w:val="16"/>
      <w:u w:val="none"/>
    </w:rPr>
  </w:style>
  <w:style w:type="character" w:customStyle="1" w:styleId="49">
    <w:name w:val="样式 样式 样式 正文首行缩进 + 首行缩进:  1 字符 + 宋体 + 自动设置 Char Char"/>
    <w:link w:val="50"/>
    <w:qFormat/>
    <w:uiPriority w:val="0"/>
    <w:rPr>
      <w:rFonts w:ascii="宋体" w:hAnsi="宋体" w:eastAsia="宋体"/>
      <w:kern w:val="2"/>
      <w:sz w:val="24"/>
      <w:lang w:val="en-US" w:eastAsia="zh-CN" w:bidi="ar-SA"/>
    </w:rPr>
  </w:style>
  <w:style w:type="paragraph" w:customStyle="1" w:styleId="50">
    <w:name w:val="样式 样式 样式 正文首行缩进 + 首行缩进:  1 字符 + 宋体 + 自动设置"/>
    <w:basedOn w:val="1"/>
    <w:link w:val="49"/>
    <w:qFormat/>
    <w:uiPriority w:val="0"/>
    <w:pPr>
      <w:spacing w:line="460" w:lineRule="exact"/>
      <w:ind w:firstLine="480" w:firstLineChars="200"/>
      <w:jc w:val="left"/>
    </w:pPr>
    <w:rPr>
      <w:rFonts w:ascii="宋体" w:hAnsi="宋体"/>
      <w:sz w:val="24"/>
      <w:szCs w:val="20"/>
    </w:rPr>
  </w:style>
  <w:style w:type="character" w:customStyle="1" w:styleId="51">
    <w:name w:val="font11"/>
    <w:basedOn w:val="20"/>
    <w:qFormat/>
    <w:uiPriority w:val="0"/>
    <w:rPr>
      <w:rFonts w:hint="default" w:ascii="楷体_GB2312" w:eastAsia="楷体_GB2312" w:cs="楷体_GB2312"/>
      <w:b/>
      <w:bCs/>
      <w:color w:val="000000"/>
      <w:sz w:val="18"/>
      <w:szCs w:val="18"/>
      <w:u w:val="none"/>
    </w:rPr>
  </w:style>
  <w:style w:type="character" w:customStyle="1" w:styleId="52">
    <w:name w:val="font61"/>
    <w:qFormat/>
    <w:uiPriority w:val="0"/>
    <w:rPr>
      <w:rFonts w:ascii="黑体" w:hAnsi="宋体" w:eastAsia="黑体" w:cs="黑体"/>
      <w:color w:val="000000"/>
      <w:sz w:val="28"/>
      <w:szCs w:val="28"/>
      <w:u w:val="none"/>
    </w:rPr>
  </w:style>
  <w:style w:type="character" w:customStyle="1" w:styleId="53">
    <w:name w:val="A正文 Char Char"/>
    <w:link w:val="54"/>
    <w:qFormat/>
    <w:uiPriority w:val="0"/>
    <w:rPr>
      <w:rFonts w:eastAsia="宋体"/>
      <w:kern w:val="2"/>
      <w:sz w:val="24"/>
      <w:szCs w:val="24"/>
      <w:lang w:val="en-US" w:eastAsia="zh-CN" w:bidi="ar-SA"/>
    </w:rPr>
  </w:style>
  <w:style w:type="paragraph" w:customStyle="1" w:styleId="54">
    <w:name w:val="A正文"/>
    <w:basedOn w:val="1"/>
    <w:link w:val="53"/>
    <w:qFormat/>
    <w:uiPriority w:val="0"/>
    <w:pPr>
      <w:widowControl/>
      <w:spacing w:line="360" w:lineRule="auto"/>
      <w:ind w:firstLine="200" w:firstLineChars="200"/>
      <w:jc w:val="left"/>
    </w:pPr>
    <w:rPr>
      <w:sz w:val="24"/>
    </w:rPr>
  </w:style>
  <w:style w:type="paragraph" w:customStyle="1" w:styleId="55">
    <w:name w:val=" Char2 Char Char Char Char Char Char Char Char"/>
    <w:basedOn w:val="1"/>
    <w:qFormat/>
    <w:uiPriority w:val="0"/>
    <w:rPr>
      <w:sz w:val="21"/>
      <w:szCs w:val="20"/>
    </w:rPr>
  </w:style>
  <w:style w:type="paragraph" w:customStyle="1" w:styleId="56">
    <w:name w:val="xc----正文"/>
    <w:basedOn w:val="57"/>
    <w:qFormat/>
    <w:uiPriority w:val="0"/>
    <w:rPr>
      <w:rFonts w:ascii="仿宋_GB2312"/>
      <w:spacing w:val="-4"/>
    </w:rPr>
  </w:style>
  <w:style w:type="paragraph" w:customStyle="1" w:styleId="57">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8">
    <w:name w:val="p0"/>
    <w:basedOn w:val="1"/>
    <w:qFormat/>
    <w:uiPriority w:val="0"/>
    <w:pPr>
      <w:widowControl/>
    </w:pPr>
    <w:rPr>
      <w:kern w:val="0"/>
      <w:sz w:val="21"/>
      <w:szCs w:val="20"/>
    </w:rPr>
  </w:style>
  <w:style w:type="paragraph" w:customStyle="1" w:styleId="59">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60">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61">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2">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3">
    <w:name w:val="样式 xc----正文 + 首行缩进:  2 字符"/>
    <w:basedOn w:val="56"/>
    <w:qFormat/>
    <w:uiPriority w:val="0"/>
    <w:pPr>
      <w:ind w:firstLine="464"/>
    </w:pPr>
    <w:rPr>
      <w:spacing w:val="0"/>
    </w:rPr>
  </w:style>
  <w:style w:type="paragraph" w:customStyle="1" w:styleId="64">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5">
    <w:name w:val="xc----括号"/>
    <w:basedOn w:val="56"/>
    <w:qFormat/>
    <w:uiPriority w:val="0"/>
    <w:pPr>
      <w:outlineLvl w:val="5"/>
    </w:pPr>
    <w:rPr>
      <w:rFonts w:ascii="楷体_GB2312" w:eastAsia="楷体_GB2312" w:cs="Times New Roman"/>
    </w:rPr>
  </w:style>
  <w:style w:type="paragraph" w:customStyle="1" w:styleId="66">
    <w:name w:val="默认段落字体 Para Char Char Char Char Char Char Char Char Char Char"/>
    <w:basedOn w:val="1"/>
    <w:qFormat/>
    <w:uiPriority w:val="0"/>
    <w:rPr>
      <w:sz w:val="21"/>
      <w:szCs w:val="20"/>
    </w:rPr>
  </w:style>
  <w:style w:type="paragraph" w:customStyle="1" w:styleId="67">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8">
    <w:name w:val="Char Char Char Char Char Char Char Char Char1 Char"/>
    <w:next w:val="69"/>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9">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70">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71">
    <w:name w:val="Char Char Char1 Char Char Char Char Char Char Char Char Char Char Char Char Char"/>
    <w:basedOn w:val="4"/>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2">
    <w:name w:val=" Char Char Char Char Char Char Char Char Char Char"/>
    <w:basedOn w:val="1"/>
    <w:qFormat/>
    <w:uiPriority w:val="0"/>
    <w:rPr>
      <w:sz w:val="21"/>
    </w:rPr>
  </w:style>
  <w:style w:type="paragraph" w:customStyle="1" w:styleId="73">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4">
    <w:name w:val=" Char Char Char Char Char Char Char"/>
    <w:basedOn w:val="1"/>
    <w:qFormat/>
    <w:uiPriority w:val="0"/>
    <w:pPr>
      <w:widowControl/>
      <w:spacing w:after="160" w:afterLines="0" w:line="240" w:lineRule="exact"/>
      <w:jc w:val="left"/>
    </w:pPr>
    <w:rPr>
      <w:sz w:val="21"/>
      <w:szCs w:val="20"/>
    </w:rPr>
  </w:style>
  <w:style w:type="paragraph" w:customStyle="1" w:styleId="75">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6">
    <w:name w:val=" Char"/>
    <w:basedOn w:val="1"/>
    <w:qFormat/>
    <w:uiPriority w:val="0"/>
    <w:rPr>
      <w:sz w:val="21"/>
    </w:rPr>
  </w:style>
  <w:style w:type="paragraph" w:customStyle="1" w:styleId="77">
    <w:name w:val="表格内文字"/>
    <w:basedOn w:val="1"/>
    <w:qFormat/>
    <w:uiPriority w:val="0"/>
    <w:pPr>
      <w:spacing w:line="240" w:lineRule="auto"/>
      <w:ind w:firstLine="0" w:firstLineChars="0"/>
      <w:jc w:val="center"/>
    </w:pPr>
    <w:rPr>
      <w:rFonts w:cs="宋体"/>
      <w:sz w:val="1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9">
    <w:name w:val="font41"/>
    <w:basedOn w:val="20"/>
    <w:qFormat/>
    <w:uiPriority w:val="0"/>
    <w:rPr>
      <w:rFonts w:hint="eastAsia" w:ascii="仿宋" w:hAnsi="仿宋" w:eastAsia="仿宋" w:cs="仿宋"/>
      <w:color w:val="000000"/>
      <w:sz w:val="18"/>
      <w:szCs w:val="18"/>
      <w:u w:val="none"/>
    </w:rPr>
  </w:style>
  <w:style w:type="paragraph" w:customStyle="1" w:styleId="80">
    <w:name w:val="表格文字"/>
    <w:next w:val="1"/>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81">
    <w:name w:val="列出段落1"/>
    <w:qFormat/>
    <w:uiPriority w:val="99"/>
    <w:pPr>
      <w:widowControl/>
      <w:spacing w:line="240" w:lineRule="auto"/>
      <w:ind w:firstLine="0" w:firstLineChars="0"/>
      <w:jc w:val="left"/>
    </w:pPr>
    <w:rPr>
      <w:rFonts w:ascii="Times New Roman" w:hAnsi="Times New Roman" w:eastAsia="仿宋_GB2312" w:cs="宋体"/>
      <w:kern w:val="2"/>
      <w:sz w:val="21"/>
      <w:szCs w:val="24"/>
      <w:lang w:val="en-US" w:eastAsia="zh-CN" w:bidi="ar-SA"/>
    </w:rPr>
  </w:style>
  <w:style w:type="character" w:customStyle="1" w:styleId="82">
    <w:name w:val="font21"/>
    <w:qFormat/>
    <w:uiPriority w:val="0"/>
    <w:rPr>
      <w:rFonts w:hint="default" w:ascii="仿宋_GB2312" w:eastAsia="仿宋_GB2312" w:cs="仿宋_GB2312"/>
      <w:b/>
      <w:bCs/>
      <w:color w:val="000000"/>
      <w:sz w:val="18"/>
      <w:szCs w:val="18"/>
      <w:u w:val="none"/>
    </w:rPr>
  </w:style>
  <w:style w:type="paragraph" w:customStyle="1" w:styleId="83">
    <w:name w:val="表格123"/>
    <w:qFormat/>
    <w:uiPriority w:val="0"/>
    <w:pPr>
      <w:widowControl w:val="0"/>
      <w:adjustRightInd w:val="0"/>
      <w:snapToGrid w:val="0"/>
      <w:spacing w:line="240" w:lineRule="auto"/>
      <w:ind w:left="-30" w:leftChars="-30" w:right="-30" w:rightChars="-30" w:firstLine="0" w:firstLineChars="0"/>
      <w:jc w:val="center"/>
    </w:pPr>
    <w:rPr>
      <w:rFonts w:ascii="Times New Roman" w:hAnsi="Times New Roman" w:eastAsia="仿宋_GB2312" w:cs="Times New Roman"/>
      <w:w w:val="95"/>
      <w:kern w:val="0"/>
      <w:sz w:val="20"/>
      <w:szCs w:val="24"/>
      <w:lang w:val="zh-CN" w:eastAsia="zh-CN" w:bidi="ar-SA"/>
    </w:rPr>
  </w:style>
  <w:style w:type="paragraph" w:customStyle="1" w:styleId="84">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character" w:customStyle="1" w:styleId="85">
    <w:name w:val="正文啊 Char"/>
    <w:link w:val="86"/>
    <w:qFormat/>
    <w:uiPriority w:val="0"/>
    <w:rPr>
      <w:rFonts w:ascii="仿宋_GB2312" w:eastAsia="仿宋_GB2312"/>
      <w:kern w:val="0"/>
      <w:sz w:val="28"/>
      <w:szCs w:val="22"/>
      <w:lang w:val="en-US" w:eastAsia="zh-CN" w:bidi="ar-SA"/>
    </w:rPr>
  </w:style>
  <w:style w:type="paragraph" w:customStyle="1" w:styleId="86">
    <w:name w:val="正文啊"/>
    <w:link w:val="85"/>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paragraph" w:customStyle="1" w:styleId="87">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88">
    <w:name w:val="样式 表格文字 + 宋体"/>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FF"/>
      <w:sz w:val="21"/>
      <w:szCs w:val="20"/>
      <w:u w:color="000000"/>
      <w:lang w:val="en-US" w:eastAsia="zh-CN" w:bidi="ar-SA"/>
    </w:rPr>
  </w:style>
  <w:style w:type="paragraph" w:customStyle="1" w:styleId="89">
    <w:name w:val="Table Text"/>
    <w:semiHidden/>
    <w:qFormat/>
    <w:uiPriority w:val="0"/>
    <w:pPr>
      <w:widowControl w:val="0"/>
      <w:jc w:val="both"/>
    </w:pPr>
    <w:rPr>
      <w:rFonts w:ascii="仿宋" w:hAnsi="仿宋" w:eastAsia="仿宋" w:cs="仿宋"/>
      <w:kern w:val="2"/>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1032</Words>
  <Characters>5886</Characters>
  <Lines>49</Lines>
  <Paragraphs>13</Paragraphs>
  <TotalTime>66</TotalTime>
  <ScaleCrop>false</ScaleCrop>
  <LinksUpToDate>false</LinksUpToDate>
  <CharactersWithSpaces>6905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2021-07-30T03:38:00Z</dcterms:created>
  <dc:creator>张艺馨</dc:creator>
  <cp:lastModifiedBy>Administrator</cp:lastModifiedBy>
  <cp:lastPrinted>2022-11-18T19:20:00Z</cp:lastPrinted>
  <dcterms:modified xsi:type="dcterms:W3CDTF">2025-10-17T02:17:55Z</dcterms:modified>
  <dc:title>水保审查意见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06A34CF63B3CF344BD43EF689BC59769_43</vt:lpwstr>
  </property>
</Properties>
</file>