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0" w:firstLineChars="0"/>
        <w:jc w:val="center"/>
        <w:rPr>
          <w:rFonts w:eastAsia="方正小标宋_GBK"/>
          <w:sz w:val="44"/>
          <w:szCs w:val="44"/>
        </w:rPr>
      </w:pPr>
      <w:r>
        <w:rPr>
          <w:rFonts w:eastAsia="方正小标宋_GBK"/>
          <w:sz w:val="44"/>
          <w:szCs w:val="44"/>
        </w:rPr>
        <w:t>重庆市水利局</w:t>
      </w:r>
    </w:p>
    <w:p>
      <w:pPr>
        <w:spacing w:line="594" w:lineRule="exact"/>
        <w:ind w:firstLine="0" w:firstLineChars="0"/>
        <w:jc w:val="center"/>
        <w:rPr>
          <w:rFonts w:hint="eastAsia" w:ascii="方正小标宋_GBK" w:eastAsia="方正小标宋_GBK"/>
          <w:kern w:val="0"/>
          <w:sz w:val="44"/>
          <w:szCs w:val="44"/>
          <w:highlight w:val="none"/>
        </w:rPr>
      </w:pPr>
      <w:r>
        <w:rPr>
          <w:rFonts w:eastAsia="方正小标宋_GBK"/>
          <w:sz w:val="44"/>
          <w:szCs w:val="44"/>
        </w:rPr>
        <w:t>关于</w:t>
      </w:r>
      <w:r>
        <w:rPr>
          <w:rFonts w:hint="eastAsia" w:ascii="方正小标宋_GBK" w:eastAsia="方正小标宋_GBK"/>
          <w:kern w:val="0"/>
          <w:sz w:val="44"/>
          <w:szCs w:val="44"/>
          <w:highlight w:val="none"/>
        </w:rPr>
        <w:t>重庆市巴南区长江佛耳岩段防洪护岸综合整治工程（二期）初步设计报告</w:t>
      </w:r>
    </w:p>
    <w:p>
      <w:pPr>
        <w:spacing w:line="594" w:lineRule="exact"/>
        <w:ind w:firstLine="0" w:firstLineChars="0"/>
        <w:jc w:val="center"/>
        <w:rPr>
          <w:rFonts w:eastAsia="方正小标宋_GBK"/>
          <w:sz w:val="44"/>
          <w:szCs w:val="44"/>
        </w:rPr>
      </w:pPr>
      <w:r>
        <w:rPr>
          <w:rFonts w:eastAsia="方正小标宋_GBK"/>
          <w:sz w:val="44"/>
          <w:szCs w:val="44"/>
          <w:highlight w:val="none"/>
        </w:rPr>
        <w:t>准</w:t>
      </w:r>
      <w:r>
        <w:rPr>
          <w:rFonts w:eastAsia="方正小标宋_GBK"/>
          <w:sz w:val="44"/>
          <w:szCs w:val="44"/>
        </w:rPr>
        <w:t>予行政许可的决定</w:t>
      </w:r>
    </w:p>
    <w:p>
      <w:pPr>
        <w:spacing w:line="594" w:lineRule="exact"/>
        <w:jc w:val="center"/>
        <w:rPr>
          <w:rFonts w:eastAsia="方正小标宋_GBK"/>
          <w:szCs w:val="32"/>
        </w:rPr>
      </w:pPr>
    </w:p>
    <w:p>
      <w:pPr>
        <w:spacing w:line="594" w:lineRule="exact"/>
        <w:ind w:firstLine="0" w:firstLineChars="0"/>
        <w:jc w:val="left"/>
        <w:rPr>
          <w:szCs w:val="32"/>
        </w:rPr>
      </w:pPr>
      <w:r>
        <w:rPr>
          <w:rFonts w:hint="eastAsia"/>
          <w:szCs w:val="32"/>
          <w:lang w:eastAsia="zh-CN"/>
        </w:rPr>
        <w:t>巴南区</w:t>
      </w:r>
      <w:r>
        <w:rPr>
          <w:rFonts w:hint="eastAsia"/>
          <w:szCs w:val="32"/>
        </w:rPr>
        <w:t>水利局</w:t>
      </w:r>
      <w:r>
        <w:rPr>
          <w:szCs w:val="32"/>
        </w:rPr>
        <w:t>：</w:t>
      </w:r>
    </w:p>
    <w:p>
      <w:pPr>
        <w:keepNext w:val="0"/>
        <w:keepLines w:val="0"/>
        <w:widowControl/>
        <w:suppressLineNumbers w:val="0"/>
        <w:jc w:val="left"/>
        <w:rPr>
          <w:rFonts w:hint="default" w:ascii="Times New Roman" w:hAnsi="Times New Roman" w:cs="Times New Roman"/>
          <w:szCs w:val="32"/>
          <w:lang w:val="en"/>
        </w:rPr>
      </w:pPr>
      <w:r>
        <w:rPr>
          <w:rFonts w:hint="default" w:ascii="Times New Roman" w:hAnsi="Times New Roman" w:cs="Times New Roman"/>
          <w:szCs w:val="32"/>
        </w:rPr>
        <w:t>你局</w:t>
      </w:r>
      <w:r>
        <w:rPr>
          <w:rFonts w:hint="eastAsia" w:eastAsia="方正仿宋_GBK" w:cs="Times New Roman"/>
          <w:color w:val="000000"/>
          <w:sz w:val="32"/>
          <w:szCs w:val="32"/>
          <w:lang w:eastAsia="zh-CN"/>
        </w:rPr>
        <w:t>《关于审批重庆市巴南区长江佛耳岩段防洪护岸综合整治工程（二期）初步设计报告的请示》（巴南水利文〔</w:t>
      </w:r>
      <w:r>
        <w:rPr>
          <w:rFonts w:hint="eastAsia" w:eastAsia="方正仿宋_GBK" w:cs="Times New Roman"/>
          <w:color w:val="000000"/>
          <w:sz w:val="32"/>
          <w:szCs w:val="32"/>
          <w:lang w:val="en-US" w:eastAsia="zh-CN"/>
        </w:rPr>
        <w:t>2022</w:t>
      </w:r>
      <w:r>
        <w:rPr>
          <w:rFonts w:hint="eastAsia" w:eastAsia="方正仿宋_GBK" w:cs="Times New Roman"/>
          <w:color w:val="000000"/>
          <w:sz w:val="32"/>
          <w:szCs w:val="32"/>
          <w:lang w:eastAsia="zh-CN"/>
        </w:rPr>
        <w:t>〕</w:t>
      </w:r>
      <w:r>
        <w:rPr>
          <w:rFonts w:hint="eastAsia" w:eastAsia="方正仿宋_GBK" w:cs="Times New Roman"/>
          <w:color w:val="000000"/>
          <w:sz w:val="32"/>
          <w:szCs w:val="32"/>
          <w:lang w:val="en-US" w:eastAsia="zh-CN"/>
        </w:rPr>
        <w:t>68号</w:t>
      </w:r>
      <w:r>
        <w:rPr>
          <w:rFonts w:hint="eastAsia" w:eastAsia="方正仿宋_GBK" w:cs="Times New Roman"/>
          <w:color w:val="000000"/>
          <w:sz w:val="32"/>
          <w:szCs w:val="32"/>
          <w:lang w:eastAsia="zh-CN"/>
        </w:rPr>
        <w:t>）</w:t>
      </w:r>
      <w:r>
        <w:rPr>
          <w:rFonts w:hint="default" w:ascii="Times New Roman" w:hAnsi="Times New Roman" w:cs="Times New Roman"/>
          <w:szCs w:val="32"/>
        </w:rPr>
        <w:t>和相关资料（项目代码：2019-500113-78-01-063963）已收悉。结合我局组织专家组对该项目的专家评审意见（详见附件），根据《中华人民共和国行政许可法》第三十八条第一款、《水行政许可实施办法》第三十二条第一项规定，经研究，</w:t>
      </w:r>
      <w:r>
        <w:rPr>
          <w:rFonts w:hint="eastAsia" w:cs="Times New Roman"/>
          <w:szCs w:val="32"/>
          <w:lang w:eastAsia="zh-CN"/>
        </w:rPr>
        <w:t>同意</w:t>
      </w:r>
      <w:r>
        <w:rPr>
          <w:rFonts w:hint="default" w:cs="Times New Roman"/>
          <w:szCs w:val="32"/>
          <w:highlight w:val="none"/>
          <w:lang w:val="en" w:eastAsia="zh-CN"/>
        </w:rPr>
        <w:t>对</w:t>
      </w:r>
      <w:r>
        <w:rPr>
          <w:rFonts w:hint="default" w:ascii="Times New Roman" w:hAnsi="Times New Roman" w:cs="Times New Roman"/>
          <w:color w:val="000000"/>
          <w:szCs w:val="32"/>
          <w:highlight w:val="none"/>
        </w:rPr>
        <w:t>重庆市巴南区长江佛耳岩段防洪护岸综合整治工程（二期）初步设计报告</w:t>
      </w:r>
      <w:r>
        <w:rPr>
          <w:rFonts w:hint="default" w:cs="Times New Roman"/>
          <w:color w:val="000000"/>
          <w:szCs w:val="32"/>
          <w:lang w:val="en" w:eastAsia="zh-CN"/>
        </w:rPr>
        <w:t>作出准予行政许可决定。</w:t>
      </w:r>
    </w:p>
    <w:p>
      <w:pPr>
        <w:spacing w:line="594" w:lineRule="exact"/>
        <w:ind w:left="640" w:firstLine="0" w:firstLineChars="0"/>
        <w:rPr>
          <w:rFonts w:eastAsia="方正黑体_GBK"/>
          <w:szCs w:val="32"/>
        </w:rPr>
      </w:pPr>
      <w:r>
        <w:rPr>
          <w:rFonts w:hint="eastAsia" w:eastAsia="方正黑体_GBK"/>
          <w:szCs w:val="32"/>
        </w:rPr>
        <w:t>一</w:t>
      </w:r>
      <w:r>
        <w:rPr>
          <w:rFonts w:eastAsia="方正黑体_GBK"/>
          <w:szCs w:val="32"/>
        </w:rPr>
        <w:t>、</w:t>
      </w:r>
      <w:r>
        <w:rPr>
          <w:rFonts w:hint="eastAsia" w:eastAsia="方正黑体_GBK"/>
          <w:szCs w:val="32"/>
        </w:rPr>
        <w:t>工程</w:t>
      </w:r>
      <w:r>
        <w:rPr>
          <w:rFonts w:hint="default" w:eastAsia="方正黑体_GBK"/>
          <w:szCs w:val="32"/>
          <w:lang w:val="en"/>
        </w:rPr>
        <w:t>位置和工程</w:t>
      </w:r>
      <w:r>
        <w:rPr>
          <w:rFonts w:eastAsia="方正黑体_GBK"/>
          <w:szCs w:val="32"/>
        </w:rPr>
        <w:t>任务</w:t>
      </w:r>
    </w:p>
    <w:p>
      <w:pPr>
        <w:adjustRightInd w:val="0"/>
        <w:snapToGrid w:val="0"/>
        <w:spacing w:line="594" w:lineRule="exact"/>
        <w:ind w:firstLine="640" w:firstLineChars="200"/>
        <w:rPr>
          <w:rFonts w:hint="eastAsia" w:ascii="Times New Roman" w:hAnsi="Times New Roman" w:cs="Times New Roman"/>
          <w:szCs w:val="32"/>
          <w:lang w:eastAsia="zh-CN"/>
        </w:rPr>
      </w:pPr>
      <w:r>
        <w:rPr>
          <w:rFonts w:hint="eastAsia"/>
          <w:sz w:val="32"/>
          <w:szCs w:val="32"/>
          <w:lang w:eastAsia="zh-CN"/>
        </w:rPr>
        <w:t>本</w:t>
      </w:r>
      <w:r>
        <w:rPr>
          <w:rFonts w:hint="eastAsia" w:ascii="Times New Roman" w:eastAsia="方正仿宋_GBK"/>
          <w:sz w:val="32"/>
          <w:szCs w:val="32"/>
        </w:rPr>
        <w:t>工程</w:t>
      </w:r>
      <w:r>
        <w:rPr>
          <w:rFonts w:hint="eastAsia"/>
          <w:sz w:val="32"/>
          <w:szCs w:val="32"/>
          <w:lang w:eastAsia="zh-CN"/>
        </w:rPr>
        <w:t>位于</w:t>
      </w:r>
      <w:r>
        <w:rPr>
          <w:rFonts w:hint="eastAsia" w:ascii="Times New Roman" w:eastAsia="方正仿宋_GBK"/>
          <w:sz w:val="32"/>
          <w:szCs w:val="32"/>
        </w:rPr>
        <w:t>巴南区长江佛耳岩段右岸，起点位于天明村高家沱支沟处，终点位于重庆航发佛耳寺港上游处，整治岸线全长958.28m。工程建设任务以防洪、岸坡整治为主，兼有美化和绿化环境</w:t>
      </w:r>
      <w:r>
        <w:rPr>
          <w:rFonts w:hint="eastAsia"/>
          <w:sz w:val="32"/>
          <w:szCs w:val="32"/>
          <w:lang w:eastAsia="zh-CN"/>
        </w:rPr>
        <w:t>、改善城市交通</w:t>
      </w:r>
      <w:r>
        <w:rPr>
          <w:rFonts w:hint="eastAsia" w:ascii="Times New Roman" w:eastAsia="方正仿宋_GBK"/>
          <w:sz w:val="32"/>
          <w:szCs w:val="32"/>
        </w:rPr>
        <w:t>等综合效益。</w:t>
      </w:r>
    </w:p>
    <w:p>
      <w:pPr>
        <w:snapToGrid/>
        <w:spacing w:line="594" w:lineRule="exact"/>
        <w:ind w:left="640" w:firstLine="0" w:firstLineChars="0"/>
        <w:outlineLvl w:val="9"/>
        <w:rPr>
          <w:rFonts w:hint="eastAsia" w:ascii="Times New Roman" w:hAnsi="Times New Roman" w:eastAsia="方正黑体_GBK" w:cs="Times New Roman"/>
          <w:szCs w:val="32"/>
          <w:lang w:val="en" w:eastAsia="zh-CN"/>
        </w:rPr>
      </w:pPr>
      <w:r>
        <w:rPr>
          <w:rFonts w:hint="eastAsia" w:eastAsia="方正黑体_GBK" w:cs="Times New Roman"/>
          <w:szCs w:val="32"/>
          <w:lang w:val="en" w:eastAsia="zh-CN"/>
        </w:rPr>
        <w:t>二、工程规模和建设内容</w:t>
      </w:r>
    </w:p>
    <w:p>
      <w:pPr>
        <w:adjustRightInd w:val="0"/>
        <w:snapToGrid w:val="0"/>
        <w:spacing w:line="594" w:lineRule="exact"/>
        <w:ind w:firstLine="640" w:firstLineChars="200"/>
        <w:rPr>
          <w:rFonts w:ascii="Times New Roman" w:eastAsia="方正仿宋_GBK"/>
          <w:sz w:val="32"/>
          <w:szCs w:val="32"/>
        </w:rPr>
      </w:pPr>
      <w:r>
        <w:rPr>
          <w:rFonts w:ascii="Times New Roman" w:eastAsia="方正仿宋_GBK"/>
          <w:sz w:val="32"/>
          <w:szCs w:val="32"/>
        </w:rPr>
        <w:t>同意</w:t>
      </w:r>
      <w:r>
        <w:rPr>
          <w:rFonts w:hint="eastAsia" w:ascii="Times New Roman" w:eastAsia="方正仿宋_GBK"/>
          <w:sz w:val="32"/>
          <w:szCs w:val="32"/>
        </w:rPr>
        <w:t>本工程防洪标准</w:t>
      </w:r>
      <w:r>
        <w:rPr>
          <w:rFonts w:hint="eastAsia"/>
          <w:sz w:val="32"/>
          <w:szCs w:val="32"/>
          <w:lang w:eastAsia="zh-CN"/>
        </w:rPr>
        <w:t>为</w:t>
      </w:r>
      <w:r>
        <w:rPr>
          <w:rFonts w:hint="eastAsia" w:ascii="Times New Roman" w:eastAsia="方正仿宋_GBK"/>
          <w:sz w:val="32"/>
          <w:szCs w:val="32"/>
        </w:rPr>
        <w:t>100年一遇，工程措施按三峡运行初期河道50年一遇洪水设计标准设计</w:t>
      </w:r>
      <w:r>
        <w:rPr>
          <w:rFonts w:ascii="Times New Roman" w:eastAsia="方正仿宋_GBK"/>
          <w:sz w:val="32"/>
          <w:szCs w:val="32"/>
        </w:rPr>
        <w:t>。</w:t>
      </w:r>
    </w:p>
    <w:p>
      <w:pPr>
        <w:adjustRightInd w:val="0"/>
        <w:snapToGrid w:val="0"/>
        <w:spacing w:line="594" w:lineRule="exact"/>
        <w:rPr>
          <w:rFonts w:ascii="Times New Roman" w:eastAsia="方正仿宋_GBK"/>
          <w:sz w:val="32"/>
          <w:szCs w:val="32"/>
        </w:rPr>
      </w:pPr>
      <w:r>
        <w:rPr>
          <w:rFonts w:ascii="Times New Roman" w:eastAsia="方正仿宋_GBK"/>
          <w:sz w:val="32"/>
          <w:szCs w:val="32"/>
        </w:rPr>
        <w:t>基本同意</w:t>
      </w:r>
      <w:r>
        <w:rPr>
          <w:rFonts w:hint="eastAsia" w:ascii="Times New Roman" w:eastAsia="方正仿宋_GBK"/>
          <w:sz w:val="32"/>
          <w:szCs w:val="32"/>
        </w:rPr>
        <w:t>工程治理范围和岸线布置。</w:t>
      </w:r>
    </w:p>
    <w:p>
      <w:pPr>
        <w:adjustRightInd w:val="0"/>
        <w:snapToGrid w:val="0"/>
        <w:spacing w:line="594" w:lineRule="exact"/>
        <w:rPr>
          <w:rFonts w:hint="eastAsia" w:ascii="Times New Roman" w:hAnsi="Times New Roman" w:cs="Times New Roman"/>
          <w:szCs w:val="32"/>
          <w:lang w:eastAsia="zh-CN"/>
        </w:rPr>
      </w:pPr>
      <w:r>
        <w:rPr>
          <w:rFonts w:ascii="Times New Roman" w:eastAsia="方正仿宋_GBK"/>
          <w:sz w:val="32"/>
          <w:szCs w:val="32"/>
        </w:rPr>
        <w:t>基本同意</w:t>
      </w:r>
      <w:r>
        <w:rPr>
          <w:rFonts w:hint="eastAsia" w:ascii="Times New Roman" w:eastAsia="方正仿宋_GBK"/>
          <w:sz w:val="32"/>
          <w:szCs w:val="32"/>
        </w:rPr>
        <w:t>工程主要建设内容。本工程设计堤脚线总长958.28m，堤顶高程为197.17</w:t>
      </w:r>
      <w:r>
        <w:rPr>
          <w:rFonts w:hint="eastAsia"/>
          <w:sz w:val="32"/>
          <w:szCs w:val="32"/>
          <w:lang w:val="en-US" w:eastAsia="zh-CN"/>
        </w:rPr>
        <w:t>m</w:t>
      </w:r>
      <w:r>
        <w:rPr>
          <w:rFonts w:hint="eastAsia" w:ascii="Times New Roman" w:eastAsia="方正仿宋_GBK"/>
          <w:sz w:val="32"/>
          <w:szCs w:val="32"/>
        </w:rPr>
        <w:t>～197.43m。堤型主要采用</w:t>
      </w:r>
      <w:r>
        <w:rPr>
          <w:rFonts w:hint="eastAsia"/>
          <w:sz w:val="32"/>
          <w:szCs w:val="32"/>
          <w:lang w:eastAsia="zh-CN"/>
        </w:rPr>
        <w:t>“</w:t>
      </w:r>
      <w:r>
        <w:rPr>
          <w:rFonts w:hint="eastAsia" w:ascii="Times New Roman" w:eastAsia="方正仿宋_GBK"/>
          <w:sz w:val="32"/>
          <w:szCs w:val="32"/>
        </w:rPr>
        <w:t>挡墙（或镇脚）+斜坡</w:t>
      </w:r>
      <w:r>
        <w:rPr>
          <w:rFonts w:hint="eastAsia"/>
          <w:sz w:val="32"/>
          <w:szCs w:val="32"/>
          <w:lang w:eastAsia="zh-CN"/>
        </w:rPr>
        <w:t>”</w:t>
      </w:r>
      <w:r>
        <w:rPr>
          <w:rFonts w:hint="eastAsia" w:ascii="Times New Roman" w:eastAsia="方正仿宋_GBK"/>
          <w:sz w:val="32"/>
          <w:szCs w:val="32"/>
        </w:rPr>
        <w:t>型式布置，其中：</w:t>
      </w:r>
      <w:r>
        <w:rPr>
          <w:rFonts w:hint="eastAsia"/>
          <w:sz w:val="32"/>
          <w:szCs w:val="32"/>
          <w:lang w:eastAsia="zh-CN"/>
        </w:rPr>
        <w:t>“</w:t>
      </w:r>
      <w:r>
        <w:rPr>
          <w:rFonts w:hint="eastAsia" w:ascii="Times New Roman" w:eastAsia="方正仿宋_GBK"/>
          <w:sz w:val="32"/>
          <w:szCs w:val="32"/>
        </w:rPr>
        <w:t>镇脚+两级斜坡</w:t>
      </w:r>
      <w:r>
        <w:rPr>
          <w:rFonts w:hint="eastAsia"/>
          <w:sz w:val="32"/>
          <w:szCs w:val="32"/>
          <w:lang w:eastAsia="zh-CN"/>
        </w:rPr>
        <w:t>”</w:t>
      </w:r>
      <w:r>
        <w:rPr>
          <w:rFonts w:hint="eastAsia" w:ascii="Times New Roman" w:eastAsia="方正仿宋_GBK"/>
          <w:sz w:val="32"/>
          <w:szCs w:val="32"/>
        </w:rPr>
        <w:t>型式段长91.71m，</w:t>
      </w:r>
      <w:r>
        <w:rPr>
          <w:rFonts w:hint="eastAsia"/>
          <w:sz w:val="32"/>
          <w:szCs w:val="32"/>
          <w:lang w:eastAsia="zh-CN"/>
        </w:rPr>
        <w:t>“</w:t>
      </w:r>
      <w:r>
        <w:rPr>
          <w:rFonts w:hint="eastAsia" w:ascii="Times New Roman" w:eastAsia="方正仿宋_GBK"/>
          <w:sz w:val="32"/>
          <w:szCs w:val="32"/>
        </w:rPr>
        <w:t>挡墙+三级斜坡</w:t>
      </w:r>
      <w:r>
        <w:rPr>
          <w:rFonts w:hint="eastAsia"/>
          <w:sz w:val="32"/>
          <w:szCs w:val="32"/>
          <w:lang w:eastAsia="zh-CN"/>
        </w:rPr>
        <w:t>”</w:t>
      </w:r>
      <w:r>
        <w:rPr>
          <w:rFonts w:hint="eastAsia" w:ascii="Times New Roman" w:eastAsia="方正仿宋_GBK"/>
          <w:sz w:val="32"/>
          <w:szCs w:val="32"/>
        </w:rPr>
        <w:t>型式段长866.57m；沿线每隔150m～200m布置一处下河梯道，共设6处下河梯道；布置排洪箱涵一处。堤顶增设防汛道路，总长1274.16m。</w:t>
      </w:r>
    </w:p>
    <w:p>
      <w:pPr>
        <w:spacing w:line="594" w:lineRule="exact"/>
        <w:ind w:left="640" w:firstLine="0" w:firstLineChars="0"/>
        <w:rPr>
          <w:rFonts w:hint="eastAsia" w:eastAsia="方正黑体_GBK" w:cs="Times New Roman"/>
          <w:b w:val="0"/>
          <w:bCs w:val="0"/>
          <w:szCs w:val="32"/>
          <w:lang w:eastAsia="zh-CN"/>
        </w:rPr>
      </w:pPr>
      <w:r>
        <w:rPr>
          <w:rFonts w:hint="eastAsia" w:eastAsia="方正黑体_GBK" w:cs="Times New Roman"/>
          <w:b w:val="0"/>
          <w:bCs w:val="0"/>
          <w:szCs w:val="32"/>
          <w:lang w:val="en-US" w:eastAsia="zh-CN"/>
        </w:rPr>
        <w:t>三</w:t>
      </w:r>
      <w:r>
        <w:rPr>
          <w:rFonts w:hint="eastAsia" w:eastAsia="方正黑体_GBK" w:cs="Times New Roman"/>
          <w:b w:val="0"/>
          <w:bCs w:val="0"/>
          <w:szCs w:val="32"/>
          <w:lang w:eastAsia="zh-CN"/>
        </w:rPr>
        <w:t>、工程布置和主要建筑物</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同意建筑物级别和设计标准。工程位于重庆市巴南区城区长江干流右岸，护岸工程和箱涵设计洪水标准分别为50年一遇、100年一遇，主要建筑物级别为2级，次要建筑物</w:t>
      </w:r>
      <w:r>
        <w:rPr>
          <w:rFonts w:hint="eastAsia"/>
          <w:sz w:val="32"/>
          <w:szCs w:val="32"/>
          <w:lang w:eastAsia="zh-CN"/>
        </w:rPr>
        <w:t>级别</w:t>
      </w:r>
      <w:r>
        <w:rPr>
          <w:rFonts w:hint="eastAsia" w:ascii="Times New Roman" w:eastAsia="方正仿宋_GBK"/>
          <w:sz w:val="32"/>
          <w:szCs w:val="32"/>
        </w:rPr>
        <w:t>为3级，临时建筑物</w:t>
      </w:r>
      <w:r>
        <w:rPr>
          <w:rFonts w:hint="eastAsia"/>
          <w:sz w:val="32"/>
          <w:szCs w:val="32"/>
          <w:lang w:eastAsia="zh-CN"/>
        </w:rPr>
        <w:t>级别</w:t>
      </w:r>
      <w:r>
        <w:rPr>
          <w:rFonts w:hint="eastAsia" w:ascii="Times New Roman" w:eastAsia="方正仿宋_GBK"/>
          <w:sz w:val="32"/>
          <w:szCs w:val="32"/>
        </w:rPr>
        <w:t>为4级。</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同意工程合理使用年限为50年，护岸工程、箱涵合理使用年限为50年。</w:t>
      </w:r>
    </w:p>
    <w:p>
      <w:pPr>
        <w:snapToGrid w:val="0"/>
        <w:spacing w:line="594" w:lineRule="exact"/>
        <w:ind w:firstLine="640" w:firstLineChars="200"/>
        <w:rPr>
          <w:rFonts w:hint="eastAsia" w:ascii="Times New Roman" w:eastAsia="方正仿宋_GBK"/>
          <w:sz w:val="32"/>
          <w:szCs w:val="32"/>
        </w:rPr>
      </w:pPr>
      <w:r>
        <w:rPr>
          <w:rFonts w:hint="eastAsia" w:cs="Times New Roman"/>
          <w:color w:val="000000"/>
          <w:szCs w:val="32"/>
          <w:highlight w:val="none"/>
          <w:lang w:eastAsia="zh-CN"/>
        </w:rPr>
        <w:t>同意工程布置。</w:t>
      </w:r>
      <w:r>
        <w:rPr>
          <w:rFonts w:hint="eastAsia" w:ascii="Times New Roman" w:eastAsia="方正仿宋_GBK"/>
          <w:sz w:val="32"/>
          <w:szCs w:val="32"/>
        </w:rPr>
        <w:t>工程由护岸工程、排水箱涵及防汛道路组成。</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护岸工程起于天明村高家沱支沟桥梁处，止于重庆航发佛耳寺港上游端，新建护岸长958.28m，其中：长江干流段866.57m，支沟段91.71m。护岸顶高程为197.17m～197.43m。K0</w:t>
      </w:r>
      <w:r>
        <w:rPr>
          <w:rFonts w:hint="eastAsia" w:ascii="Times New Roman" w:eastAsia="方正仿宋_GBK"/>
          <w:sz w:val="32"/>
          <w:szCs w:val="32"/>
          <w:highlight w:val="none"/>
        </w:rPr>
        <w:t>+000.000</w:t>
      </w:r>
      <w:r>
        <w:rPr>
          <w:rFonts w:hint="eastAsia" w:ascii="Times New Roman" w:eastAsia="方正仿宋_GBK"/>
          <w:sz w:val="32"/>
          <w:szCs w:val="32"/>
        </w:rPr>
        <w:t>（工程起点）～K0+</w:t>
      </w:r>
      <w:r>
        <w:rPr>
          <w:rFonts w:hint="eastAsia"/>
          <w:sz w:val="32"/>
          <w:szCs w:val="32"/>
          <w:lang w:val="en-US" w:eastAsia="zh-CN"/>
        </w:rPr>
        <w:t>0</w:t>
      </w:r>
      <w:r>
        <w:rPr>
          <w:rFonts w:hint="eastAsia" w:ascii="Times New Roman" w:eastAsia="方正仿宋_GBK"/>
          <w:sz w:val="32"/>
          <w:szCs w:val="32"/>
        </w:rPr>
        <w:t>91.71段采用</w:t>
      </w:r>
      <w:r>
        <w:rPr>
          <w:rFonts w:hint="eastAsia"/>
          <w:sz w:val="32"/>
          <w:szCs w:val="32"/>
          <w:lang w:eastAsia="zh-CN"/>
        </w:rPr>
        <w:t>“</w:t>
      </w:r>
      <w:r>
        <w:rPr>
          <w:rFonts w:hint="eastAsia" w:ascii="Times New Roman" w:eastAsia="方正仿宋_GBK"/>
          <w:sz w:val="32"/>
          <w:szCs w:val="32"/>
        </w:rPr>
        <w:t>镇脚+两级斜坡</w:t>
      </w:r>
      <w:r>
        <w:rPr>
          <w:rFonts w:hint="eastAsia"/>
          <w:sz w:val="32"/>
          <w:szCs w:val="32"/>
          <w:lang w:eastAsia="zh-CN"/>
        </w:rPr>
        <w:t>”</w:t>
      </w:r>
      <w:r>
        <w:rPr>
          <w:rFonts w:hint="eastAsia" w:ascii="Times New Roman" w:eastAsia="方正仿宋_GBK"/>
          <w:sz w:val="32"/>
          <w:szCs w:val="32"/>
        </w:rPr>
        <w:t>型式，镇脚顶高程为183.00m，在高程190.00m处设置宽3.0m马道；K0+091.71～K0+958.28（工程终点）段采用</w:t>
      </w:r>
      <w:r>
        <w:rPr>
          <w:rFonts w:hint="eastAsia"/>
          <w:sz w:val="32"/>
          <w:szCs w:val="32"/>
          <w:lang w:eastAsia="zh-CN"/>
        </w:rPr>
        <w:t>“</w:t>
      </w:r>
      <w:r>
        <w:rPr>
          <w:rFonts w:hint="eastAsia" w:ascii="Times New Roman" w:eastAsia="方正仿宋_GBK"/>
          <w:sz w:val="32"/>
          <w:szCs w:val="32"/>
        </w:rPr>
        <w:t>挡墙+</w:t>
      </w:r>
      <w:r>
        <w:rPr>
          <w:rFonts w:hint="eastAsia"/>
          <w:sz w:val="32"/>
          <w:szCs w:val="32"/>
          <w:lang w:eastAsia="zh-CN"/>
        </w:rPr>
        <w:t>三</w:t>
      </w:r>
      <w:r>
        <w:rPr>
          <w:rFonts w:hint="eastAsia" w:ascii="Times New Roman" w:eastAsia="方正仿宋_GBK"/>
          <w:sz w:val="32"/>
          <w:szCs w:val="32"/>
        </w:rPr>
        <w:t>级斜坡</w:t>
      </w:r>
      <w:r>
        <w:rPr>
          <w:rFonts w:hint="eastAsia"/>
          <w:sz w:val="32"/>
          <w:szCs w:val="32"/>
          <w:lang w:eastAsia="zh-CN"/>
        </w:rPr>
        <w:t>”</w:t>
      </w:r>
      <w:r>
        <w:rPr>
          <w:rFonts w:hint="eastAsia" w:ascii="Times New Roman" w:eastAsia="方正仿宋_GBK"/>
          <w:sz w:val="32"/>
          <w:szCs w:val="32"/>
        </w:rPr>
        <w:t>型式，挡墙顶高程175</w:t>
      </w:r>
      <w:r>
        <w:rPr>
          <w:rFonts w:hint="eastAsia"/>
          <w:sz w:val="32"/>
          <w:szCs w:val="32"/>
          <w:lang w:val="en-US" w:eastAsia="zh-CN"/>
        </w:rPr>
        <w:t>.00</w:t>
      </w:r>
      <w:r>
        <w:rPr>
          <w:rFonts w:hint="eastAsia" w:ascii="Times New Roman" w:eastAsia="方正仿宋_GBK"/>
          <w:sz w:val="32"/>
          <w:szCs w:val="32"/>
        </w:rPr>
        <w:t>m，在高程183.00m和190.00m</w:t>
      </w:r>
      <w:r>
        <w:rPr>
          <w:rFonts w:hint="eastAsia"/>
          <w:sz w:val="32"/>
          <w:szCs w:val="32"/>
          <w:lang w:eastAsia="zh-CN"/>
        </w:rPr>
        <w:t>处</w:t>
      </w:r>
      <w:r>
        <w:rPr>
          <w:rFonts w:hint="eastAsia" w:ascii="Times New Roman" w:eastAsia="方正仿宋_GBK"/>
          <w:sz w:val="32"/>
          <w:szCs w:val="32"/>
        </w:rPr>
        <w:t>各设置一马道，宽度分别为3m和2m。沿护岸设6处下河梯道。在护岸顶和护脚175.0</w:t>
      </w:r>
      <w:r>
        <w:rPr>
          <w:rFonts w:hint="eastAsia"/>
          <w:sz w:val="32"/>
          <w:szCs w:val="32"/>
          <w:lang w:val="en-US" w:eastAsia="zh-CN"/>
        </w:rPr>
        <w:t>0</w:t>
      </w:r>
      <w:r>
        <w:rPr>
          <w:rFonts w:hint="eastAsia" w:ascii="Times New Roman" w:eastAsia="方正仿宋_GBK"/>
          <w:sz w:val="32"/>
          <w:szCs w:val="32"/>
        </w:rPr>
        <w:t>m平台外侧设防护栏杆。</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在桩号K0+37</w:t>
      </w:r>
      <w:r>
        <w:rPr>
          <w:rFonts w:hint="eastAsia" w:ascii="Times New Roman" w:eastAsia="方正仿宋_GBK"/>
          <w:sz w:val="32"/>
          <w:szCs w:val="32"/>
          <w:highlight w:val="none"/>
        </w:rPr>
        <w:t>7.930设排</w:t>
      </w:r>
      <w:r>
        <w:rPr>
          <w:rFonts w:hint="eastAsia" w:ascii="Times New Roman" w:eastAsia="方正仿宋_GBK"/>
          <w:sz w:val="32"/>
          <w:szCs w:val="32"/>
        </w:rPr>
        <w:t>洪建筑物，全长143.43m，由明渠段和箱涵段组成，进口设翼墙，出口设消力池，并采用护坦防冲。</w:t>
      </w:r>
    </w:p>
    <w:p>
      <w:pPr>
        <w:snapToGrid w:val="0"/>
        <w:spacing w:line="594" w:lineRule="exact"/>
        <w:ind w:firstLine="640" w:firstLineChars="200"/>
        <w:rPr>
          <w:rFonts w:hint="default" w:ascii="Times New Roman" w:eastAsia="方正仿宋_GBK"/>
          <w:sz w:val="32"/>
          <w:szCs w:val="32"/>
          <w:lang w:val="en-US" w:eastAsia="zh-CN"/>
        </w:rPr>
      </w:pPr>
      <w:r>
        <w:rPr>
          <w:rFonts w:hint="eastAsia" w:ascii="Times New Roman" w:eastAsia="方正仿宋_GBK"/>
          <w:sz w:val="32"/>
          <w:szCs w:val="32"/>
        </w:rPr>
        <w:t>防汛道路布置在护岸顶和高家沱支沟，</w:t>
      </w:r>
      <w:r>
        <w:rPr>
          <w:rFonts w:hint="eastAsia" w:ascii="Times New Roman" w:eastAsia="方正仿宋_GBK"/>
          <w:color w:val="auto"/>
          <w:sz w:val="32"/>
          <w:szCs w:val="32"/>
          <w:highlight w:val="none"/>
        </w:rPr>
        <w:t>长1274.16m，</w:t>
      </w:r>
      <w:r>
        <w:rPr>
          <w:rFonts w:hint="eastAsia" w:ascii="Times New Roman" w:eastAsia="方正仿宋_GBK"/>
          <w:sz w:val="32"/>
          <w:szCs w:val="32"/>
        </w:rPr>
        <w:t>宽6.0m</w:t>
      </w:r>
      <w:r>
        <w:rPr>
          <w:rFonts w:hint="eastAsia"/>
          <w:sz w:val="32"/>
          <w:szCs w:val="32"/>
          <w:lang w:eastAsia="zh-CN"/>
        </w:rPr>
        <w:t>，</w:t>
      </w:r>
      <w:r>
        <w:rPr>
          <w:rFonts w:hint="eastAsia" w:ascii="Times New Roman" w:eastAsia="方正仿宋_GBK"/>
          <w:sz w:val="32"/>
          <w:szCs w:val="32"/>
        </w:rPr>
        <w:t>其中高家沱支沟段防汛道路利用施工临时道路改造，长370.16m。</w:t>
      </w:r>
    </w:p>
    <w:p>
      <w:pPr>
        <w:snapToGrid w:val="0"/>
        <w:spacing w:line="594" w:lineRule="exact"/>
        <w:ind w:firstLine="640" w:firstLineChars="200"/>
        <w:outlineLvl w:val="1"/>
        <w:rPr>
          <w:rFonts w:hint="eastAsia" w:ascii="方正仿宋_GBK" w:eastAsia="方正仿宋_GBK"/>
          <w:b w:val="0"/>
          <w:bCs/>
          <w:sz w:val="32"/>
          <w:szCs w:val="32"/>
        </w:rPr>
      </w:pPr>
      <w:r>
        <w:rPr>
          <w:rFonts w:hint="eastAsia" w:ascii="方正黑体_GBK" w:eastAsia="方正黑体_GBK"/>
          <w:b w:val="0"/>
          <w:bCs/>
          <w:sz w:val="32"/>
          <w:szCs w:val="32"/>
          <w:lang w:eastAsia="zh-CN"/>
        </w:rPr>
        <w:t>四</w:t>
      </w:r>
      <w:r>
        <w:rPr>
          <w:rFonts w:hint="eastAsia" w:ascii="方正黑体_GBK" w:eastAsia="方正黑体_GBK"/>
          <w:b w:val="0"/>
          <w:bCs/>
          <w:sz w:val="32"/>
          <w:szCs w:val="32"/>
        </w:rPr>
        <w:t>、</w:t>
      </w:r>
      <w:r>
        <w:rPr>
          <w:rFonts w:hint="eastAsia" w:ascii="方正黑体_GBK" w:eastAsia="方正黑体_GBK"/>
          <w:b w:val="0"/>
          <w:bCs/>
          <w:sz w:val="32"/>
          <w:szCs w:val="32"/>
          <w:lang w:eastAsia="zh-CN"/>
        </w:rPr>
        <w:t>工期及征占地</w:t>
      </w:r>
    </w:p>
    <w:p>
      <w:pPr>
        <w:spacing w:line="594" w:lineRule="exact"/>
        <w:ind w:firstLine="600"/>
        <w:rPr>
          <w:rFonts w:ascii="Times New Roman" w:eastAsia="方正仿宋_GBK"/>
          <w:sz w:val="32"/>
          <w:szCs w:val="32"/>
        </w:rPr>
      </w:pPr>
      <w:r>
        <w:rPr>
          <w:rFonts w:ascii="Times New Roman" w:eastAsia="方正仿宋_GBK"/>
          <w:sz w:val="32"/>
          <w:szCs w:val="32"/>
        </w:rPr>
        <w:t>基本同意</w:t>
      </w:r>
      <w:r>
        <w:rPr>
          <w:rFonts w:hint="eastAsia" w:ascii="Times New Roman" w:eastAsia="方正仿宋_GBK"/>
          <w:sz w:val="32"/>
          <w:szCs w:val="32"/>
        </w:rPr>
        <w:t>施工总工期</w:t>
      </w:r>
      <w:r>
        <w:rPr>
          <w:rFonts w:hint="eastAsia"/>
          <w:sz w:val="32"/>
          <w:szCs w:val="32"/>
          <w:lang w:eastAsia="zh-CN"/>
        </w:rPr>
        <w:t>为</w:t>
      </w:r>
      <w:r>
        <w:rPr>
          <w:rFonts w:hint="eastAsia" w:ascii="Times New Roman" w:eastAsia="方正仿宋_GBK"/>
          <w:sz w:val="32"/>
          <w:szCs w:val="32"/>
        </w:rPr>
        <w:t>19个月</w:t>
      </w:r>
      <w:r>
        <w:rPr>
          <w:rFonts w:ascii="Times New Roman" w:eastAsia="方正仿宋_GBK"/>
          <w:sz w:val="32"/>
          <w:szCs w:val="32"/>
        </w:rPr>
        <w:t>。</w:t>
      </w:r>
    </w:p>
    <w:p>
      <w:pPr>
        <w:spacing w:line="594" w:lineRule="exact"/>
        <w:ind w:firstLine="640" w:firstLineChars="200"/>
        <w:rPr>
          <w:rFonts w:hint="eastAsia"/>
          <w:sz w:val="32"/>
          <w:szCs w:val="32"/>
          <w:lang w:eastAsia="zh-CN"/>
        </w:rPr>
      </w:pPr>
      <w:r>
        <w:rPr>
          <w:rFonts w:hint="eastAsia" w:ascii="Times New Roman" w:eastAsia="方正仿宋_GBK"/>
          <w:sz w:val="32"/>
          <w:szCs w:val="32"/>
        </w:rPr>
        <w:t>基本同意实物调查成果</w:t>
      </w:r>
      <w:r>
        <w:rPr>
          <w:rFonts w:hint="eastAsia"/>
          <w:sz w:val="32"/>
          <w:szCs w:val="32"/>
          <w:lang w:eastAsia="zh-CN"/>
        </w:rPr>
        <w:t>。</w:t>
      </w:r>
      <w:r>
        <w:rPr>
          <w:rFonts w:hint="eastAsia" w:ascii="Times New Roman" w:eastAsia="方正仿宋_GBK"/>
          <w:sz w:val="32"/>
          <w:szCs w:val="32"/>
        </w:rPr>
        <w:t>工程永久征地134.99亩，其中</w:t>
      </w:r>
      <w:r>
        <w:rPr>
          <w:rFonts w:hint="eastAsia"/>
          <w:sz w:val="32"/>
          <w:szCs w:val="32"/>
          <w:lang w:eastAsia="zh-CN"/>
        </w:rPr>
        <w:t>：</w:t>
      </w:r>
      <w:r>
        <w:rPr>
          <w:rFonts w:hint="eastAsia" w:ascii="Times New Roman" w:eastAsia="方正仿宋_GBK"/>
          <w:sz w:val="32"/>
          <w:szCs w:val="32"/>
        </w:rPr>
        <w:t>国有已征土地85.76亩，集体土地49.23亩（含耕地27.06亩，林地16.09亩，住宅用地0.54亩，其他土地5.54亩）；临时占地1.26亩（含耕地0.38亩，林地0.88亩）。</w:t>
      </w:r>
    </w:p>
    <w:p>
      <w:pPr>
        <w:spacing w:line="594" w:lineRule="exact"/>
        <w:ind w:firstLine="640" w:firstLineChars="200"/>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lang w:eastAsia="zh-CN"/>
        </w:rPr>
        <w:t>五、工程投资</w:t>
      </w:r>
    </w:p>
    <w:p>
      <w:pPr>
        <w:spacing w:line="594" w:lineRule="exact"/>
        <w:ind w:firstLine="640" w:firstLineChars="200"/>
        <w:rPr>
          <w:rFonts w:hint="eastAsia"/>
          <w:szCs w:val="32"/>
        </w:rPr>
      </w:pPr>
      <w:r>
        <w:rPr>
          <w:rFonts w:hint="eastAsia"/>
          <w:szCs w:val="32"/>
        </w:rPr>
        <w:t>工程</w:t>
      </w:r>
      <w:r>
        <w:rPr>
          <w:szCs w:val="32"/>
        </w:rPr>
        <w:t>投资和</w:t>
      </w:r>
      <w:r>
        <w:rPr>
          <w:rFonts w:hint="eastAsia"/>
          <w:szCs w:val="32"/>
        </w:rPr>
        <w:t>资金</w:t>
      </w:r>
      <w:r>
        <w:rPr>
          <w:szCs w:val="32"/>
        </w:rPr>
        <w:t>来源以市发展改革委批复为准。</w:t>
      </w:r>
    </w:p>
    <w:p>
      <w:pPr>
        <w:spacing w:line="594" w:lineRule="exac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lang w:eastAsia="zh-CN"/>
        </w:rPr>
        <w:t>六</w:t>
      </w:r>
      <w:r>
        <w:rPr>
          <w:rFonts w:hint="eastAsia" w:ascii="方正黑体_GBK" w:hAnsi="方正黑体_GBK" w:eastAsia="方正黑体_GBK" w:cs="方正黑体_GBK"/>
          <w:szCs w:val="32"/>
        </w:rPr>
        <w:t>、其他</w:t>
      </w:r>
    </w:p>
    <w:p>
      <w:pPr>
        <w:spacing w:line="594" w:lineRule="exact"/>
        <w:rPr>
          <w:szCs w:val="32"/>
        </w:rPr>
      </w:pPr>
      <w:r>
        <w:rPr>
          <w:rFonts w:hint="eastAsia"/>
          <w:szCs w:val="32"/>
        </w:rPr>
        <w:t>（一）请你局督促项目法人完善开工前相关手续，及时开工建设。项目法人应自工程开工之日起</w:t>
      </w:r>
      <w:r>
        <w:rPr>
          <w:szCs w:val="32"/>
        </w:rPr>
        <w:t>15个工作日内完成开工备案。</w:t>
      </w:r>
    </w:p>
    <w:p>
      <w:pPr>
        <w:spacing w:line="594" w:lineRule="exact"/>
        <w:rPr>
          <w:szCs w:val="32"/>
        </w:rPr>
      </w:pPr>
      <w:r>
        <w:rPr>
          <w:rFonts w:hint="eastAsia"/>
          <w:szCs w:val="32"/>
        </w:rPr>
        <w:t>（二）请你局按照批复内容，严格控制工程建设标准。落实项目法人责任制、招标投标制、建设监理制、合同管理制，建立质量与安全监督体系。工程开工前，项目法人应向</w:t>
      </w:r>
      <w:r>
        <w:rPr>
          <w:rFonts w:hint="eastAsia"/>
          <w:szCs w:val="32"/>
          <w:lang w:eastAsia="zh-CN"/>
        </w:rPr>
        <w:t>巴南区</w:t>
      </w:r>
      <w:r>
        <w:rPr>
          <w:rFonts w:hint="eastAsia"/>
          <w:szCs w:val="32"/>
        </w:rPr>
        <w:t>水行政主管部门实行安全属地监管备案，并加强对危险性较大单项工程安全施工进行监督实施，确保工程施工质量和安全，认真组织编制、审定工程施工组织方案，确保工程如期建成发挥效益。</w:t>
      </w:r>
    </w:p>
    <w:p>
      <w:pPr>
        <w:spacing w:line="594" w:lineRule="exact"/>
        <w:rPr>
          <w:szCs w:val="32"/>
        </w:rPr>
      </w:pPr>
      <w:r>
        <w:rPr>
          <w:rFonts w:hint="eastAsia"/>
          <w:szCs w:val="32"/>
        </w:rPr>
        <w:t>（三）本行政许可决定有效期为三年，自签发之日起计算。期满后，若该工程未开工建设，本许可决定自行失效。需</w:t>
      </w:r>
      <w:r>
        <w:rPr>
          <w:szCs w:val="32"/>
        </w:rPr>
        <w:t>延续有效期的，你局</w:t>
      </w:r>
      <w:r>
        <w:rPr>
          <w:rFonts w:hint="eastAsia"/>
          <w:szCs w:val="32"/>
        </w:rPr>
        <w:t>须</w:t>
      </w:r>
      <w:r>
        <w:rPr>
          <w:szCs w:val="32"/>
        </w:rPr>
        <w:t>在有效期届满前三十日提出延续申请。</w:t>
      </w:r>
    </w:p>
    <w:p>
      <w:pPr>
        <w:spacing w:line="594" w:lineRule="exact"/>
        <w:rPr>
          <w:szCs w:val="32"/>
        </w:rPr>
      </w:pPr>
    </w:p>
    <w:p>
      <w:pPr>
        <w:spacing w:line="594" w:lineRule="exact"/>
        <w:ind w:left="1600" w:leftChars="200" w:hanging="960" w:hangingChars="300"/>
        <w:rPr>
          <w:szCs w:val="32"/>
        </w:rPr>
      </w:pPr>
      <w:r>
        <w:rPr>
          <w:rFonts w:hint="eastAsia"/>
          <w:szCs w:val="32"/>
        </w:rPr>
        <w:t>附件：</w:t>
      </w:r>
      <w:r>
        <w:rPr>
          <w:rFonts w:hint="default" w:ascii="Times New Roman" w:hAnsi="Times New Roman" w:cs="Times New Roman"/>
          <w:color w:val="000000"/>
          <w:szCs w:val="32"/>
          <w:highlight w:val="none"/>
        </w:rPr>
        <w:t>重庆市巴南区长江佛耳岩段防洪护岸综合整治工程（二期）初步设计报告</w:t>
      </w:r>
      <w:r>
        <w:rPr>
          <w:rFonts w:hint="eastAsia"/>
          <w:szCs w:val="32"/>
          <w:highlight w:val="none"/>
        </w:rPr>
        <w:t>专</w:t>
      </w:r>
      <w:r>
        <w:rPr>
          <w:rFonts w:hint="eastAsia"/>
          <w:szCs w:val="32"/>
        </w:rPr>
        <w:t>家评审意见</w:t>
      </w:r>
    </w:p>
    <w:p>
      <w:pPr>
        <w:spacing w:line="594" w:lineRule="exact"/>
        <w:ind w:firstLine="5600" w:firstLineChars="1750"/>
        <w:rPr>
          <w:rFonts w:hint="eastAsia"/>
          <w:szCs w:val="32"/>
        </w:rPr>
      </w:pPr>
    </w:p>
    <w:p>
      <w:pPr>
        <w:spacing w:line="594" w:lineRule="exact"/>
        <w:ind w:firstLine="5600" w:firstLineChars="1750"/>
        <w:rPr>
          <w:szCs w:val="32"/>
        </w:rPr>
      </w:pPr>
      <w:r>
        <w:rPr>
          <w:rFonts w:hint="eastAsia"/>
          <w:szCs w:val="32"/>
        </w:rPr>
        <w:t>重庆市水利局</w:t>
      </w:r>
    </w:p>
    <w:p>
      <w:pPr>
        <w:spacing w:line="594" w:lineRule="exact"/>
        <w:ind w:firstLine="5600" w:firstLineChars="1750"/>
        <w:rPr>
          <w:szCs w:val="32"/>
        </w:rPr>
      </w:pPr>
      <w:r>
        <w:rPr>
          <w:szCs w:val="32"/>
        </w:rPr>
        <w:t>202</w:t>
      </w:r>
      <w:r>
        <w:rPr>
          <w:rFonts w:hint="eastAsia"/>
          <w:szCs w:val="32"/>
          <w:lang w:val="en-US" w:eastAsia="zh-CN"/>
        </w:rPr>
        <w:t>2</w:t>
      </w:r>
      <w:r>
        <w:rPr>
          <w:szCs w:val="32"/>
        </w:rPr>
        <w:t>年</w:t>
      </w:r>
      <w:r>
        <w:rPr>
          <w:rFonts w:hint="eastAsia"/>
          <w:szCs w:val="32"/>
          <w:lang w:val="en-US" w:eastAsia="zh-CN"/>
        </w:rPr>
        <w:t>11</w:t>
      </w:r>
      <w:r>
        <w:rPr>
          <w:szCs w:val="32"/>
        </w:rPr>
        <w:t>月</w:t>
      </w:r>
      <w:r>
        <w:rPr>
          <w:rFonts w:hint="eastAsia"/>
          <w:szCs w:val="32"/>
          <w:lang w:val="en-US" w:eastAsia="zh-CN"/>
        </w:rPr>
        <w:t>1</w:t>
      </w:r>
      <w:bookmarkStart w:id="2" w:name="_GoBack"/>
      <w:bookmarkEnd w:id="2"/>
      <w:r>
        <w:rPr>
          <w:rFonts w:hint="eastAsia"/>
          <w:szCs w:val="32"/>
        </w:rPr>
        <w:t xml:space="preserve"> </w:t>
      </w:r>
      <w:r>
        <w:rPr>
          <w:szCs w:val="32"/>
        </w:rPr>
        <w:t>日</w:t>
      </w:r>
    </w:p>
    <w:p>
      <w:pPr>
        <w:spacing w:line="594" w:lineRule="exact"/>
        <w:rPr>
          <w:rFonts w:hint="eastAsia"/>
          <w:szCs w:val="32"/>
        </w:rPr>
      </w:pPr>
    </w:p>
    <w:p>
      <w:pPr>
        <w:spacing w:line="594" w:lineRule="exact"/>
        <w:rPr>
          <w:rFonts w:hint="eastAsia"/>
          <w:szCs w:val="32"/>
        </w:rPr>
      </w:pPr>
      <w:r>
        <w:rPr>
          <w:rFonts w:hint="eastAsia"/>
          <w:szCs w:val="32"/>
        </w:rPr>
        <w:t>（此件</w:t>
      </w:r>
      <w:r>
        <w:rPr>
          <w:rFonts w:hint="eastAsia"/>
          <w:szCs w:val="32"/>
          <w:lang w:eastAsia="zh-CN"/>
        </w:rPr>
        <w:t>主动</w:t>
      </w:r>
      <w:r>
        <w:rPr>
          <w:rFonts w:hint="eastAsia"/>
          <w:szCs w:val="32"/>
        </w:rPr>
        <w:t>公开发布）</w:t>
      </w:r>
    </w:p>
    <w:p>
      <w:pPr>
        <w:spacing w:line="594" w:lineRule="exact"/>
        <w:rPr>
          <w:szCs w:val="32"/>
        </w:rPr>
      </w:pPr>
      <w:r>
        <w:rPr>
          <w:rFonts w:hint="eastAsia"/>
          <w:szCs w:val="32"/>
        </w:rPr>
        <w:t>（联系</w:t>
      </w:r>
      <w:r>
        <w:rPr>
          <w:szCs w:val="32"/>
        </w:rPr>
        <w:t>人：</w:t>
      </w:r>
      <w:r>
        <w:rPr>
          <w:rFonts w:hint="eastAsia"/>
          <w:szCs w:val="32"/>
          <w:lang w:eastAsia="zh-CN"/>
        </w:rPr>
        <w:t>秦怡</w:t>
      </w:r>
      <w:r>
        <w:rPr>
          <w:rFonts w:hint="eastAsia"/>
          <w:szCs w:val="32"/>
        </w:rPr>
        <w:t>；</w:t>
      </w:r>
      <w:r>
        <w:rPr>
          <w:szCs w:val="32"/>
        </w:rPr>
        <w:t>联系电话：</w:t>
      </w:r>
      <w:r>
        <w:rPr>
          <w:rFonts w:hint="default"/>
          <w:szCs w:val="32"/>
          <w:lang w:val="en"/>
        </w:rPr>
        <w:t>023</w:t>
      </w:r>
      <w:r>
        <w:rPr>
          <w:rFonts w:hint="eastAsia"/>
          <w:szCs w:val="32"/>
          <w:lang w:val="en" w:eastAsia="zh-CN"/>
        </w:rPr>
        <w:t>—</w:t>
      </w:r>
      <w:r>
        <w:rPr>
          <w:rFonts w:hint="eastAsia"/>
          <w:szCs w:val="32"/>
        </w:rPr>
        <w:t>887070</w:t>
      </w:r>
      <w:r>
        <w:rPr>
          <w:rFonts w:hint="eastAsia"/>
          <w:szCs w:val="32"/>
          <w:lang w:val="en-US" w:eastAsia="zh-CN"/>
        </w:rPr>
        <w:t>24</w:t>
      </w:r>
      <w:r>
        <w:rPr>
          <w:szCs w:val="32"/>
        </w:rPr>
        <w:t>）</w:t>
      </w:r>
    </w:p>
    <w:p>
      <w:pPr>
        <w:spacing w:line="594" w:lineRule="atLeast"/>
        <w:ind w:left="0" w:leftChars="0" w:firstLine="0" w:firstLineChars="0"/>
        <w:rPr>
          <w:rFonts w:hint="eastAsia" w:ascii="方正黑体_GBK" w:hAnsi="宋体" w:eastAsia="方正黑体_GBK"/>
          <w:b/>
          <w:sz w:val="32"/>
          <w:szCs w:val="32"/>
        </w:rPr>
      </w:pPr>
      <w:r>
        <w:rPr>
          <w:szCs w:val="32"/>
        </w:rPr>
        <w:br w:type="page"/>
      </w:r>
      <w:r>
        <w:rPr>
          <w:rFonts w:hint="eastAsia" w:ascii="方正黑体_GBK" w:hAnsi="宋体" w:eastAsia="方正黑体_GBK" w:cs="Calibri"/>
          <w:sz w:val="32"/>
          <w:szCs w:val="32"/>
        </w:rPr>
        <w:t>附件</w:t>
      </w:r>
    </w:p>
    <w:p>
      <w:pPr>
        <w:spacing w:line="594" w:lineRule="exact"/>
        <w:ind w:left="0" w:leftChars="0" w:firstLine="0" w:firstLineChars="0"/>
        <w:jc w:val="both"/>
        <w:rPr>
          <w:rFonts w:hint="eastAsia" w:ascii="方正小标宋_GBK" w:hAnsi="宋体" w:eastAsia="方正小标宋_GBK"/>
          <w:sz w:val="44"/>
          <w:szCs w:val="44"/>
        </w:rPr>
      </w:pPr>
    </w:p>
    <w:p>
      <w:pPr>
        <w:spacing w:line="594" w:lineRule="exact"/>
        <w:ind w:left="0" w:leftChars="0" w:firstLine="0" w:firstLineChars="0"/>
        <w:jc w:val="center"/>
        <w:rPr>
          <w:rFonts w:hint="eastAsia" w:ascii="方正小标宋_GBK" w:hAnsi="宋体" w:eastAsia="方正小标宋_GBK"/>
          <w:sz w:val="44"/>
          <w:szCs w:val="44"/>
        </w:rPr>
      </w:pPr>
      <w:r>
        <w:rPr>
          <w:rFonts w:hint="eastAsia" w:ascii="方正小标宋_GBK" w:hAnsi="宋体" w:eastAsia="方正小标宋_GBK"/>
          <w:sz w:val="44"/>
          <w:szCs w:val="44"/>
        </w:rPr>
        <w:t>重庆市巴南区长江佛耳岩段防洪护岸综合整治工程（二期）初步设计报告专家</w:t>
      </w:r>
      <w:r>
        <w:rPr>
          <w:rFonts w:ascii="方正小标宋_GBK" w:hAnsi="宋体" w:eastAsia="方正小标宋_GBK"/>
          <w:sz w:val="44"/>
          <w:szCs w:val="44"/>
        </w:rPr>
        <w:t>评审意见</w:t>
      </w:r>
    </w:p>
    <w:p>
      <w:pPr>
        <w:adjustRightInd w:val="0"/>
        <w:snapToGrid w:val="0"/>
        <w:spacing w:line="594" w:lineRule="exact"/>
        <w:ind w:firstLine="640" w:firstLineChars="200"/>
        <w:rPr>
          <w:rFonts w:ascii="Times New Roman" w:eastAsia="方正仿宋_GBK"/>
          <w:sz w:val="32"/>
          <w:szCs w:val="32"/>
        </w:rPr>
      </w:pPr>
    </w:p>
    <w:p>
      <w:pPr>
        <w:spacing w:line="594" w:lineRule="atLeast"/>
        <w:ind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重庆市巴南区长江佛耳岩段防洪护岸综合整治工程（二期）位于巴南区长江佛耳岩段右岸，起点位于天明村高家沱支沟处，终点位于重庆航发佛耳寺港上游处，整治后岸线全长958.28m。重庆市发展改革委以“渝发改振兴〔2022〕940号”文对该工程可行性研究报告进行了批复。</w:t>
      </w:r>
    </w:p>
    <w:p>
      <w:pPr>
        <w:spacing w:line="594" w:lineRule="atLeast"/>
        <w:ind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受重庆市巴南公路建设有限公司（以下简称项目法人）的委托，重庆市水利电力建筑勘测设计研究院有限公司（以下简称设计单位）于</w:t>
      </w:r>
      <w:r>
        <w:rPr>
          <w:rFonts w:hint="eastAsia" w:ascii="Times New Roman" w:hAnsi="Times New Roman" w:eastAsia="方正仿宋_GBK" w:cs="Times New Roman"/>
          <w:sz w:val="32"/>
          <w:szCs w:val="32"/>
          <w:highlight w:val="none"/>
          <w:lang w:eastAsia="zh-CN"/>
        </w:rPr>
        <w:t>2022年</w:t>
      </w:r>
      <w:r>
        <w:rPr>
          <w:rFonts w:hint="eastAsia" w:cs="Times New Roman"/>
          <w:sz w:val="32"/>
          <w:szCs w:val="32"/>
          <w:highlight w:val="none"/>
          <w:lang w:val="en-US" w:eastAsia="zh-CN"/>
        </w:rPr>
        <w:t>9</w:t>
      </w:r>
      <w:r>
        <w:rPr>
          <w:rFonts w:hint="eastAsia" w:ascii="Times New Roman" w:hAnsi="Times New Roman" w:eastAsia="方正仿宋_GBK" w:cs="Times New Roman"/>
          <w:sz w:val="32"/>
          <w:szCs w:val="32"/>
          <w:highlight w:val="none"/>
          <w:lang w:eastAsia="zh-CN"/>
        </w:rPr>
        <w:t>月编制</w:t>
      </w:r>
      <w:r>
        <w:rPr>
          <w:rFonts w:hint="eastAsia" w:ascii="Times New Roman" w:hAnsi="Times New Roman" w:eastAsia="方正仿宋_GBK" w:cs="Times New Roman"/>
          <w:sz w:val="32"/>
          <w:szCs w:val="32"/>
          <w:lang w:eastAsia="zh-CN"/>
        </w:rPr>
        <w:t>完成了《重庆市巴南区长江佛耳岩段防洪护岸综合整治工程（二期）初步设计报告》（以下简称《初设报告》）。</w:t>
      </w:r>
    </w:p>
    <w:p>
      <w:pPr>
        <w:spacing w:line="594" w:lineRule="atLeast"/>
        <w:ind w:firstLine="640" w:firstLineChars="200"/>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2022年9月29日，重庆市水利局组织召开了《初设报告》专家评审会，</w:t>
      </w:r>
      <w:r>
        <w:rPr>
          <w:rFonts w:hint="eastAsia" w:ascii="方正仿宋_GBK" w:eastAsia="方正仿宋_GBK"/>
          <w:b w:val="0"/>
          <w:bCs w:val="0"/>
          <w:color w:val="auto"/>
          <w:sz w:val="32"/>
          <w:szCs w:val="32"/>
          <w:lang w:val="en-US" w:eastAsia="zh-CN"/>
        </w:rPr>
        <w:t>市发展改革委</w:t>
      </w:r>
      <w:r>
        <w:rPr>
          <w:rFonts w:hint="eastAsia" w:ascii="方正仿宋_GBK"/>
          <w:b w:val="0"/>
          <w:bCs w:val="0"/>
          <w:color w:val="auto"/>
          <w:sz w:val="32"/>
          <w:szCs w:val="32"/>
          <w:lang w:val="en-US" w:eastAsia="zh-CN"/>
        </w:rPr>
        <w:t>，</w:t>
      </w:r>
      <w:r>
        <w:rPr>
          <w:rFonts w:hint="eastAsia" w:ascii="方正仿宋_GBK" w:eastAsia="方正仿宋_GBK"/>
          <w:b w:val="0"/>
          <w:bCs w:val="0"/>
          <w:color w:val="auto"/>
          <w:sz w:val="32"/>
          <w:szCs w:val="32"/>
          <w:lang w:val="en-US" w:eastAsia="zh-CN"/>
        </w:rPr>
        <w:t>市水利局</w:t>
      </w:r>
      <w:r>
        <w:rPr>
          <w:rFonts w:hint="eastAsia" w:ascii="方正仿宋_GBK"/>
          <w:b w:val="0"/>
          <w:bCs w:val="0"/>
          <w:color w:val="auto"/>
          <w:sz w:val="32"/>
          <w:szCs w:val="32"/>
          <w:lang w:val="en-US" w:eastAsia="zh-CN"/>
        </w:rPr>
        <w:t>建设处、三峡处、勘设处</w:t>
      </w:r>
      <w:r>
        <w:rPr>
          <w:rFonts w:hint="eastAsia" w:ascii="方正仿宋_GBK" w:eastAsia="方正仿宋_GBK"/>
          <w:b w:val="0"/>
          <w:bCs w:val="0"/>
          <w:color w:val="auto"/>
          <w:sz w:val="32"/>
          <w:szCs w:val="32"/>
          <w:lang w:val="en-US" w:eastAsia="zh-CN"/>
        </w:rPr>
        <w:t>，</w:t>
      </w:r>
      <w:r>
        <w:rPr>
          <w:rFonts w:hint="eastAsia" w:ascii="方正仿宋_GBK"/>
          <w:b w:val="0"/>
          <w:bCs w:val="0"/>
          <w:color w:val="auto"/>
          <w:sz w:val="32"/>
          <w:szCs w:val="32"/>
          <w:lang w:val="en-US" w:eastAsia="zh-CN"/>
        </w:rPr>
        <w:t>巴南区</w:t>
      </w:r>
      <w:r>
        <w:rPr>
          <w:rFonts w:hint="eastAsia" w:ascii="方正仿宋_GBK" w:eastAsia="方正仿宋_GBK"/>
          <w:b w:val="0"/>
          <w:bCs w:val="0"/>
          <w:sz w:val="32"/>
          <w:szCs w:val="32"/>
          <w:lang w:val="en-US" w:eastAsia="zh-CN"/>
        </w:rPr>
        <w:t>水利局，</w:t>
      </w:r>
      <w:r>
        <w:rPr>
          <w:rFonts w:hint="eastAsia" w:ascii="Times New Roman" w:hAnsi="Times New Roman" w:eastAsia="方正仿宋_GBK" w:cs="Times New Roman"/>
          <w:sz w:val="32"/>
          <w:szCs w:val="32"/>
          <w:highlight w:val="none"/>
          <w:lang w:eastAsia="zh-CN"/>
        </w:rPr>
        <w:t>项目法人，设计单位等单位的代表参加了会议</w:t>
      </w:r>
      <w:r>
        <w:rPr>
          <w:rFonts w:hint="eastAsia" w:ascii="Times New Roman" w:hAnsi="Times New Roman" w:eastAsia="方正仿宋_GBK" w:cs="Times New Roman"/>
          <w:sz w:val="32"/>
          <w:szCs w:val="32"/>
          <w:lang w:eastAsia="zh-CN"/>
        </w:rPr>
        <w:t>。会议成立了专家组，专家会前审阅了《初设报告》，并于9月28日踏勘了工程现场，会上进行了充分的讨论，并提出了修改补充意见。2022年</w:t>
      </w:r>
      <w:r>
        <w:rPr>
          <w:rFonts w:hint="eastAsia" w:ascii="Times New Roman" w:hAnsi="Times New Roman" w:eastAsia="方正仿宋_GBK" w:cs="Times New Roman"/>
          <w:sz w:val="32"/>
          <w:szCs w:val="32"/>
          <w:highlight w:val="none"/>
          <w:lang w:eastAsia="zh-CN"/>
        </w:rPr>
        <w:t>10月</w:t>
      </w:r>
      <w:r>
        <w:rPr>
          <w:rFonts w:hint="eastAsia" w:cs="Times New Roman"/>
          <w:sz w:val="32"/>
          <w:szCs w:val="32"/>
          <w:highlight w:val="none"/>
          <w:lang w:val="en-US" w:eastAsia="zh-CN"/>
        </w:rPr>
        <w:t>27</w:t>
      </w:r>
      <w:r>
        <w:rPr>
          <w:rFonts w:hint="eastAsia" w:ascii="Times New Roman" w:hAnsi="Times New Roman" w:eastAsia="方正仿宋_GBK" w:cs="Times New Roman"/>
          <w:sz w:val="32"/>
          <w:szCs w:val="32"/>
          <w:highlight w:val="none"/>
          <w:lang w:eastAsia="zh-CN"/>
        </w:rPr>
        <w:t>日，</w:t>
      </w:r>
      <w:r>
        <w:rPr>
          <w:rFonts w:hint="eastAsia" w:ascii="Times New Roman" w:hAnsi="Times New Roman" w:eastAsia="方正仿宋_GBK" w:cs="Times New Roman"/>
          <w:sz w:val="32"/>
          <w:szCs w:val="32"/>
          <w:lang w:eastAsia="zh-CN"/>
        </w:rPr>
        <w:t>项目法人提交了修改后的《初设报告》，经专家组复核，认为《初设报告》编制深度基本满足现行编规要求，形成专家评审意见如下：</w:t>
      </w:r>
    </w:p>
    <w:p>
      <w:pPr>
        <w:spacing w:line="594" w:lineRule="atLeast"/>
        <w:ind w:firstLine="640" w:firstLineChars="200"/>
        <w:jc w:val="left"/>
        <w:rPr>
          <w:rFonts w:hint="eastAsia" w:ascii="方正仿宋_GBK" w:hAnsi="宋体" w:eastAsia="方正仿宋_GBK" w:cs="宋体"/>
          <w:sz w:val="32"/>
          <w:szCs w:val="32"/>
        </w:rPr>
      </w:pPr>
      <w:r>
        <w:rPr>
          <w:rFonts w:hint="eastAsia" w:ascii="方正黑体_GBK" w:hAnsi="宋体" w:eastAsia="方正黑体_GBK"/>
          <w:sz w:val="32"/>
          <w:szCs w:val="32"/>
        </w:rPr>
        <w:t>一、水文</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（一）基本资料</w:t>
      </w:r>
    </w:p>
    <w:p>
      <w:pPr>
        <w:adjustRightInd w:val="0"/>
        <w:snapToGrid w:val="0"/>
        <w:spacing w:line="594" w:lineRule="exact"/>
        <w:ind w:firstLine="640" w:firstLineChars="200"/>
        <w:rPr>
          <w:rFonts w:ascii="Times New Roman" w:eastAsia="方正仿宋_GBK"/>
          <w:sz w:val="32"/>
          <w:szCs w:val="32"/>
        </w:rPr>
      </w:pPr>
      <w:r>
        <w:rPr>
          <w:rFonts w:hint="eastAsia" w:ascii="Times New Roman" w:eastAsia="方正仿宋_GBK"/>
          <w:sz w:val="32"/>
          <w:szCs w:val="32"/>
        </w:rPr>
        <w:t>工程河段距上游朱沱水文站约110km，区间无较大支流加入，区间集雨面积仅占朱沱站的1.75%。该站有插补延长后的67年实测年最大洪峰流量资料，资料系列满足规范要求。邻近流域五布河干流设有白鹤水文站，控制集雨面积283km</w:t>
      </w:r>
      <w:r>
        <w:rPr>
          <w:rFonts w:hint="eastAsia" w:ascii="Times New Roman" w:eastAsia="方正仿宋_GBK"/>
          <w:sz w:val="32"/>
          <w:szCs w:val="32"/>
          <w:vertAlign w:val="superscript"/>
        </w:rPr>
        <w:t>2</w:t>
      </w:r>
      <w:r>
        <w:rPr>
          <w:rFonts w:hint="eastAsia" w:ascii="Times New Roman" w:eastAsia="方正仿宋_GBK"/>
          <w:sz w:val="32"/>
          <w:szCs w:val="32"/>
        </w:rPr>
        <w:t>，可作为支沟分期设计洪水计算的参证站。</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（二）设计洪水</w:t>
      </w:r>
    </w:p>
    <w:p>
      <w:pPr>
        <w:adjustRightInd w:val="0"/>
        <w:snapToGrid w:val="0"/>
        <w:spacing w:line="594" w:lineRule="exact"/>
        <w:ind w:firstLine="643" w:firstLineChars="200"/>
        <w:rPr>
          <w:rFonts w:ascii="Times New Roman" w:eastAsia="方正仿宋_GBK"/>
          <w:b/>
          <w:bCs/>
          <w:sz w:val="32"/>
          <w:szCs w:val="32"/>
        </w:rPr>
      </w:pPr>
      <w:r>
        <w:rPr>
          <w:rFonts w:ascii="Times New Roman" w:eastAsia="方正仿宋_GBK"/>
          <w:b/>
          <w:bCs/>
          <w:sz w:val="32"/>
          <w:szCs w:val="32"/>
        </w:rPr>
        <w:t>1</w:t>
      </w:r>
      <w:r>
        <w:rPr>
          <w:rFonts w:hint="eastAsia"/>
          <w:b/>
          <w:bCs/>
          <w:sz w:val="32"/>
          <w:szCs w:val="32"/>
          <w:lang w:val="en-US" w:eastAsia="zh-CN"/>
        </w:rPr>
        <w:t>.</w:t>
      </w:r>
      <w:r>
        <w:rPr>
          <w:rFonts w:hint="eastAsia" w:ascii="Times New Roman" w:eastAsia="方正仿宋_GBK"/>
          <w:b/>
          <w:bCs/>
          <w:sz w:val="32"/>
          <w:szCs w:val="32"/>
        </w:rPr>
        <w:t>长江干流设计洪水</w:t>
      </w:r>
    </w:p>
    <w:p>
      <w:pPr>
        <w:adjustRightInd w:val="0"/>
        <w:snapToGrid w:val="0"/>
        <w:spacing w:line="594" w:lineRule="exact"/>
        <w:ind w:firstLine="640" w:firstLineChars="200"/>
        <w:rPr>
          <w:rFonts w:hint="eastAsia" w:ascii="Times New Roman" w:eastAsia="方正仿宋_GBK"/>
          <w:sz w:val="32"/>
          <w:szCs w:val="32"/>
        </w:rPr>
      </w:pPr>
      <w:r>
        <w:rPr>
          <w:rFonts w:hint="eastAsia"/>
          <w:sz w:val="32"/>
          <w:szCs w:val="32"/>
          <w:lang w:eastAsia="zh-CN"/>
        </w:rPr>
        <w:t>基本</w:t>
      </w:r>
      <w:r>
        <w:rPr>
          <w:rFonts w:hint="eastAsia" w:ascii="Times New Roman" w:eastAsia="方正仿宋_GBK"/>
          <w:sz w:val="32"/>
          <w:szCs w:val="32"/>
        </w:rPr>
        <w:t>同意工程河段设计洪水计算成果。</w:t>
      </w:r>
    </w:p>
    <w:p>
      <w:pPr>
        <w:adjustRightInd w:val="0"/>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本阶段采用与可研阶段相同的朱沱水文站1954</w:t>
      </w:r>
      <w:r>
        <w:rPr>
          <w:rFonts w:hint="eastAsia"/>
          <w:sz w:val="32"/>
          <w:szCs w:val="32"/>
          <w:lang w:eastAsia="zh-CN"/>
        </w:rPr>
        <w:t>年</w:t>
      </w:r>
      <w:r>
        <w:rPr>
          <w:rFonts w:hint="eastAsia" w:ascii="Times New Roman" w:eastAsia="方正仿宋_GBK"/>
          <w:sz w:val="32"/>
          <w:szCs w:val="32"/>
        </w:rPr>
        <w:t>～2020年实测年最大洪峰流量资料，加入历史洪水组成不连续系列，经P—Ⅲ型频率曲线适线得到该站各频率设计洪水。该站集雨面积与工程段</w:t>
      </w:r>
      <w:r>
        <w:rPr>
          <w:rFonts w:hint="eastAsia"/>
          <w:sz w:val="32"/>
          <w:szCs w:val="32"/>
          <w:lang w:eastAsia="zh-CN"/>
        </w:rPr>
        <w:t>集雨面积</w:t>
      </w:r>
      <w:r>
        <w:rPr>
          <w:rFonts w:hint="eastAsia" w:ascii="Times New Roman" w:eastAsia="方正仿宋_GBK"/>
          <w:sz w:val="32"/>
          <w:szCs w:val="32"/>
        </w:rPr>
        <w:t>相差较小，其成果直接移用到本工程河段。经与已公布成果对比后，从工程安全角度出发工程河段设计洪水采用</w:t>
      </w:r>
      <w:r>
        <w:rPr>
          <w:rFonts w:hint="eastAsia" w:ascii="Times New Roman" w:eastAsia="方正仿宋_GBK"/>
          <w:sz w:val="32"/>
          <w:szCs w:val="32"/>
          <w:highlight w:val="none"/>
        </w:rPr>
        <w:t>《重庆市主城区防洪规划（2016</w:t>
      </w:r>
      <w:r>
        <w:rPr>
          <w:rFonts w:hint="eastAsia"/>
          <w:sz w:val="32"/>
          <w:szCs w:val="32"/>
          <w:highlight w:val="none"/>
          <w:lang w:val="en-US" w:eastAsia="zh-CN"/>
        </w:rPr>
        <w:t>~</w:t>
      </w:r>
      <w:r>
        <w:rPr>
          <w:rFonts w:hint="eastAsia" w:ascii="Times New Roman" w:eastAsia="方正仿宋_GBK"/>
          <w:sz w:val="32"/>
          <w:szCs w:val="32"/>
          <w:highlight w:val="none"/>
        </w:rPr>
        <w:t>2030）》</w:t>
      </w:r>
      <w:r>
        <w:rPr>
          <w:rFonts w:hint="eastAsia" w:ascii="Times New Roman" w:eastAsia="方正仿宋_GBK"/>
          <w:sz w:val="32"/>
          <w:szCs w:val="32"/>
        </w:rPr>
        <w:t>中成果。工程河段50年一遇设计洪水流量为60800m</w:t>
      </w:r>
      <w:r>
        <w:rPr>
          <w:rFonts w:hint="eastAsia" w:ascii="Times New Roman" w:eastAsia="方正仿宋_GBK"/>
          <w:sz w:val="32"/>
          <w:szCs w:val="32"/>
          <w:vertAlign w:val="superscript"/>
        </w:rPr>
        <w:t>3</w:t>
      </w:r>
      <w:r>
        <w:rPr>
          <w:rFonts w:hint="eastAsia" w:ascii="Times New Roman" w:eastAsia="方正仿宋_GBK"/>
          <w:sz w:val="32"/>
          <w:szCs w:val="32"/>
        </w:rPr>
        <w:t>/s，100年一遇设计洪水流量为65300m</w:t>
      </w:r>
      <w:r>
        <w:rPr>
          <w:rFonts w:hint="eastAsia" w:ascii="Times New Roman" w:eastAsia="方正仿宋_GBK"/>
          <w:sz w:val="32"/>
          <w:szCs w:val="32"/>
          <w:vertAlign w:val="superscript"/>
        </w:rPr>
        <w:t>3</w:t>
      </w:r>
      <w:r>
        <w:rPr>
          <w:rFonts w:hint="eastAsia" w:ascii="Times New Roman" w:eastAsia="方正仿宋_GBK"/>
          <w:sz w:val="32"/>
          <w:szCs w:val="32"/>
        </w:rPr>
        <w:t>/s，与可研阶段一致。</w:t>
      </w:r>
    </w:p>
    <w:p>
      <w:pPr>
        <w:adjustRightInd w:val="0"/>
        <w:snapToGrid w:val="0"/>
        <w:spacing w:line="594" w:lineRule="exact"/>
        <w:ind w:firstLine="643" w:firstLineChars="200"/>
        <w:rPr>
          <w:rFonts w:ascii="Times New Roman" w:eastAsia="方正仿宋_GBK"/>
          <w:b/>
          <w:bCs/>
          <w:sz w:val="32"/>
          <w:szCs w:val="32"/>
        </w:rPr>
      </w:pPr>
      <w:r>
        <w:rPr>
          <w:rFonts w:ascii="Times New Roman" w:eastAsia="方正仿宋_GBK"/>
          <w:b/>
          <w:bCs/>
          <w:sz w:val="32"/>
          <w:szCs w:val="32"/>
        </w:rPr>
        <w:t>2</w:t>
      </w:r>
      <w:r>
        <w:rPr>
          <w:rFonts w:hint="eastAsia"/>
          <w:b/>
          <w:bCs/>
          <w:sz w:val="32"/>
          <w:szCs w:val="32"/>
          <w:lang w:val="en-US" w:eastAsia="zh-CN"/>
        </w:rPr>
        <w:t>.</w:t>
      </w:r>
      <w:r>
        <w:rPr>
          <w:rFonts w:hint="eastAsia" w:ascii="Times New Roman" w:eastAsia="方正仿宋_GBK"/>
          <w:b/>
          <w:bCs/>
          <w:sz w:val="32"/>
          <w:szCs w:val="32"/>
        </w:rPr>
        <w:t>支沟设计洪水</w:t>
      </w:r>
    </w:p>
    <w:p>
      <w:pPr>
        <w:adjustRightInd w:val="0"/>
        <w:snapToGrid w:val="0"/>
        <w:spacing w:line="594" w:lineRule="exact"/>
        <w:ind w:firstLine="640" w:firstLineChars="200"/>
        <w:rPr>
          <w:rFonts w:hint="eastAsia" w:ascii="Times New Roman" w:eastAsia="方正仿宋_GBK"/>
          <w:sz w:val="32"/>
          <w:szCs w:val="32"/>
        </w:rPr>
      </w:pPr>
      <w:r>
        <w:rPr>
          <w:rFonts w:ascii="Times New Roman" w:eastAsia="方正仿宋_GBK"/>
          <w:sz w:val="32"/>
          <w:szCs w:val="32"/>
        </w:rPr>
        <w:t>基本同意</w:t>
      </w:r>
      <w:r>
        <w:rPr>
          <w:rFonts w:hint="eastAsia" w:ascii="Times New Roman" w:eastAsia="方正仿宋_GBK"/>
          <w:sz w:val="32"/>
          <w:szCs w:val="32"/>
        </w:rPr>
        <w:t>支沟设计洪水计算方法及成果。</w:t>
      </w:r>
    </w:p>
    <w:p>
      <w:pPr>
        <w:adjustRightInd w:val="0"/>
        <w:snapToGrid w:val="0"/>
        <w:spacing w:line="594" w:lineRule="exact"/>
        <w:ind w:firstLine="640" w:firstLineChars="200"/>
        <w:rPr>
          <w:rFonts w:hint="eastAsia" w:ascii="Times New Roman" w:eastAsia="方正仿宋_GBK"/>
          <w:color w:val="auto"/>
          <w:sz w:val="32"/>
          <w:szCs w:val="32"/>
          <w:highlight w:val="none"/>
        </w:rPr>
      </w:pPr>
      <w:r>
        <w:rPr>
          <w:rFonts w:hint="eastAsia" w:ascii="Times New Roman" w:eastAsia="方正仿宋_GBK"/>
          <w:color w:val="auto"/>
          <w:sz w:val="32"/>
          <w:szCs w:val="32"/>
          <w:highlight w:val="none"/>
        </w:rPr>
        <w:t>可研阶段根据巴南气象站短历时暴雨资料按推理公式法计算支沟洪水。本阶段结合城市规划以及区域排水规划复核支沟集雨面积后，推荐采用暴雨强度公式计算支沟洪水成果。</w:t>
      </w:r>
    </w:p>
    <w:p>
      <w:pPr>
        <w:adjustRightInd w:val="0"/>
        <w:snapToGrid w:val="0"/>
        <w:spacing w:line="594" w:lineRule="exact"/>
        <w:ind w:firstLine="643" w:firstLineChars="200"/>
        <w:rPr>
          <w:rFonts w:ascii="Times New Roman" w:eastAsia="方正仿宋_GBK"/>
          <w:b/>
          <w:bCs/>
          <w:sz w:val="32"/>
          <w:szCs w:val="32"/>
        </w:rPr>
      </w:pPr>
      <w:r>
        <w:rPr>
          <w:rFonts w:ascii="Times New Roman" w:eastAsia="方正仿宋_GBK"/>
          <w:b/>
          <w:bCs/>
          <w:sz w:val="32"/>
          <w:szCs w:val="32"/>
        </w:rPr>
        <w:t>3</w:t>
      </w:r>
      <w:r>
        <w:rPr>
          <w:rFonts w:hint="eastAsia"/>
          <w:b/>
          <w:bCs/>
          <w:sz w:val="32"/>
          <w:szCs w:val="32"/>
          <w:lang w:eastAsia="zh-CN"/>
        </w:rPr>
        <w:t>.</w:t>
      </w:r>
      <w:r>
        <w:rPr>
          <w:rFonts w:ascii="Times New Roman" w:eastAsia="方正仿宋_GBK"/>
          <w:b/>
          <w:bCs/>
          <w:sz w:val="32"/>
          <w:szCs w:val="32"/>
        </w:rPr>
        <w:t>分期设计洪水</w:t>
      </w:r>
    </w:p>
    <w:p>
      <w:pPr>
        <w:widowControl/>
        <w:ind w:firstLine="640" w:firstLineChars="200"/>
        <w:rPr>
          <w:rFonts w:hint="eastAsia" w:ascii="宋体" w:hAnsi="宋体" w:cs="Arial Unicode MS"/>
          <w:color w:val="000000"/>
          <w:kern w:val="0"/>
          <w:sz w:val="32"/>
          <w:szCs w:val="32"/>
          <w:highlight w:val="none"/>
        </w:rPr>
      </w:pPr>
      <w:r>
        <w:rPr>
          <w:rFonts w:hint="eastAsia" w:ascii="宋体" w:hAnsi="宋体" w:cs="Arial Unicode MS"/>
          <w:color w:val="000000"/>
          <w:kern w:val="0"/>
          <w:sz w:val="32"/>
          <w:szCs w:val="32"/>
          <w:highlight w:val="none"/>
        </w:rPr>
        <w:t>基本同意本阶段分期设计洪水计算方法、分期时段及成果。</w:t>
      </w:r>
    </w:p>
    <w:p>
      <w:pPr>
        <w:widowControl/>
        <w:ind w:firstLine="640" w:firstLineChars="200"/>
        <w:rPr>
          <w:rFonts w:ascii="宋体" w:hAnsi="宋体" w:cs="Arial Unicode MS"/>
          <w:color w:val="000000"/>
          <w:kern w:val="0"/>
          <w:sz w:val="32"/>
          <w:szCs w:val="32"/>
          <w:highlight w:val="none"/>
        </w:rPr>
      </w:pPr>
      <w:r>
        <w:rPr>
          <w:rFonts w:hint="eastAsia" w:ascii="宋体" w:hAnsi="宋体"/>
          <w:sz w:val="32"/>
          <w:szCs w:val="32"/>
          <w:highlight w:val="none"/>
        </w:rPr>
        <w:t>本阶段长江干流分期设计洪水计算时段重新划分</w:t>
      </w:r>
      <w:r>
        <w:rPr>
          <w:rFonts w:hint="eastAsia" w:ascii="宋体" w:hAnsi="宋体"/>
          <w:color w:val="auto"/>
          <w:sz w:val="32"/>
          <w:szCs w:val="32"/>
          <w:highlight w:val="none"/>
        </w:rPr>
        <w:t>为1月、</w:t>
      </w:r>
      <w:r>
        <w:rPr>
          <w:rFonts w:ascii="宋体" w:hAnsi="宋体"/>
          <w:color w:val="auto"/>
          <w:sz w:val="32"/>
          <w:szCs w:val="32"/>
          <w:highlight w:val="none"/>
        </w:rPr>
        <w:t>2</w:t>
      </w:r>
      <w:r>
        <w:rPr>
          <w:rFonts w:hint="eastAsia" w:ascii="宋体" w:hAnsi="宋体"/>
          <w:color w:val="auto"/>
          <w:sz w:val="32"/>
          <w:szCs w:val="32"/>
          <w:highlight w:val="none"/>
        </w:rPr>
        <w:t>月、3月、4月、5月。同意工程河段分期洪水采用朱</w:t>
      </w:r>
      <w:r>
        <w:rPr>
          <w:rFonts w:hint="eastAsia" w:ascii="宋体" w:hAnsi="宋体"/>
          <w:sz w:val="32"/>
          <w:szCs w:val="32"/>
          <w:highlight w:val="none"/>
        </w:rPr>
        <w:t>沱站的分期设计洪水成果。</w:t>
      </w:r>
    </w:p>
    <w:p>
      <w:pPr>
        <w:widowControl/>
        <w:ind w:firstLine="640" w:firstLineChars="200"/>
        <w:rPr>
          <w:rFonts w:hint="eastAsia" w:ascii="宋体" w:hAnsi="宋体"/>
          <w:sz w:val="32"/>
          <w:szCs w:val="32"/>
          <w:highlight w:val="none"/>
        </w:rPr>
      </w:pPr>
      <w:r>
        <w:rPr>
          <w:rFonts w:hint="eastAsia" w:ascii="宋体" w:hAnsi="宋体" w:cs="Arial Unicode MS"/>
          <w:color w:val="000000"/>
          <w:kern w:val="0"/>
          <w:sz w:val="32"/>
          <w:szCs w:val="32"/>
          <w:highlight w:val="none"/>
        </w:rPr>
        <w:t>本阶段支沟</w:t>
      </w:r>
      <w:r>
        <w:rPr>
          <w:rFonts w:hint="eastAsia" w:ascii="宋体" w:hAnsi="宋体"/>
          <w:sz w:val="32"/>
          <w:szCs w:val="32"/>
          <w:highlight w:val="none"/>
        </w:rPr>
        <w:t>分期洪水计算时段重新划分为1月、</w:t>
      </w:r>
      <w:r>
        <w:rPr>
          <w:rFonts w:ascii="宋体" w:hAnsi="宋体"/>
          <w:sz w:val="32"/>
          <w:szCs w:val="32"/>
          <w:highlight w:val="none"/>
        </w:rPr>
        <w:t>2</w:t>
      </w:r>
      <w:r>
        <w:rPr>
          <w:rFonts w:hint="eastAsia" w:ascii="宋体" w:hAnsi="宋体"/>
          <w:sz w:val="32"/>
          <w:szCs w:val="32"/>
          <w:highlight w:val="none"/>
        </w:rPr>
        <w:t>月、3月、4月</w:t>
      </w:r>
      <w:r>
        <w:rPr>
          <w:rFonts w:ascii="宋体" w:hAnsi="宋体"/>
          <w:sz w:val="32"/>
          <w:szCs w:val="32"/>
          <w:highlight w:val="none"/>
        </w:rPr>
        <w:t>，</w:t>
      </w:r>
      <w:r>
        <w:rPr>
          <w:rFonts w:hint="eastAsia" w:ascii="宋体" w:hAnsi="宋体" w:cs="Arial Unicode MS"/>
          <w:color w:val="000000"/>
          <w:kern w:val="0"/>
          <w:sz w:val="32"/>
          <w:szCs w:val="32"/>
          <w:highlight w:val="none"/>
        </w:rPr>
        <w:t>主汛期洪水采用年最大洪水成果，其余各分期设计洪水采用白鹤水文站分期洪水成果按水文比拟法计算。</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（三）水位流量关系曲线</w:t>
      </w:r>
    </w:p>
    <w:p>
      <w:pPr>
        <w:adjustRightInd w:val="0"/>
        <w:snapToGrid w:val="0"/>
        <w:spacing w:line="594" w:lineRule="exact"/>
        <w:ind w:firstLine="640" w:firstLineChars="200"/>
        <w:rPr>
          <w:rFonts w:hint="eastAsia" w:ascii="Times New Roman" w:eastAsia="方正仿宋_GBK"/>
          <w:sz w:val="32"/>
          <w:szCs w:val="32"/>
          <w:lang w:eastAsia="zh-CN"/>
        </w:rPr>
      </w:pPr>
      <w:r>
        <w:rPr>
          <w:rFonts w:ascii="Times New Roman" w:eastAsia="方正仿宋_GBK"/>
          <w:sz w:val="32"/>
          <w:szCs w:val="32"/>
        </w:rPr>
        <w:t>基本同意</w:t>
      </w:r>
      <w:r>
        <w:rPr>
          <w:rFonts w:hint="eastAsia" w:ascii="Times New Roman" w:eastAsia="方正仿宋_GBK"/>
          <w:sz w:val="32"/>
          <w:szCs w:val="32"/>
        </w:rPr>
        <w:t>本阶段复核的水位流量关系曲线。</w:t>
      </w:r>
    </w:p>
    <w:p>
      <w:pPr>
        <w:adjustRightInd w:val="0"/>
        <w:snapToGrid w:val="0"/>
        <w:spacing w:line="594" w:lineRule="exact"/>
        <w:ind w:firstLine="640" w:firstLineChars="200"/>
        <w:rPr>
          <w:rFonts w:hint="eastAsia" w:ascii="Times New Roman" w:eastAsia="方正仿宋_GBK"/>
          <w:sz w:val="32"/>
          <w:szCs w:val="32"/>
          <w:lang w:eastAsia="zh-CN"/>
        </w:rPr>
      </w:pPr>
      <w:r>
        <w:rPr>
          <w:rFonts w:hint="eastAsia" w:ascii="Times New Roman" w:eastAsia="方正仿宋_GBK"/>
          <w:sz w:val="32"/>
          <w:szCs w:val="32"/>
        </w:rPr>
        <w:t>本阶段补充收集工程下游12km处钓二嘴水位站三峡正式蓄水后2010年～2021年实测水位资料，与朱沱水文站同期实测流量资料建立水位流量关系曲线。</w:t>
      </w:r>
    </w:p>
    <w:p>
      <w:pPr>
        <w:adjustRightInd w:val="0"/>
        <w:snapToGrid w:val="0"/>
        <w:spacing w:line="594" w:lineRule="atLeast"/>
        <w:ind w:firstLine="640" w:firstLineChars="200"/>
        <w:rPr>
          <w:rFonts w:hint="eastAsia" w:ascii="方正仿宋_GBK" w:hAnsi="宋体" w:eastAsia="方正仿宋_GBK"/>
          <w:bCs/>
          <w:sz w:val="32"/>
          <w:szCs w:val="32"/>
        </w:rPr>
      </w:pPr>
      <w:r>
        <w:rPr>
          <w:rFonts w:hint="eastAsia" w:ascii="方正黑体_GBK" w:hAnsi="宋体" w:eastAsia="方正黑体_GBK"/>
          <w:sz w:val="32"/>
          <w:szCs w:val="32"/>
        </w:rPr>
        <w:t>二、工程地质</w:t>
      </w:r>
    </w:p>
    <w:p>
      <w:pPr>
        <w:adjustRightInd w:val="0"/>
        <w:snapToGrid w:val="0"/>
        <w:spacing w:line="594"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区域构造稳定性与地震动参数</w:t>
      </w:r>
    </w:p>
    <w:p>
      <w:pPr>
        <w:adjustRightInd w:val="0"/>
        <w:snapToGrid w:val="0"/>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同意区域构造稳定性评价。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工程区50年超越概率10</w:t>
      </w:r>
      <w:r>
        <w:rPr>
          <w:rFonts w:hint="eastAsia"/>
          <w:kern w:val="0"/>
          <w:sz w:val="32"/>
          <w:szCs w:val="32"/>
          <w:lang w:val="en-US" w:eastAsia="zh-CN"/>
        </w:rPr>
        <w:t>%</w:t>
      </w:r>
      <w:r>
        <w:rPr>
          <w:rFonts w:hint="eastAsia" w:ascii="Times New Roman" w:eastAsia="方正仿宋_GBK"/>
          <w:kern w:val="0"/>
          <w:sz w:val="32"/>
          <w:szCs w:val="32"/>
        </w:rPr>
        <w:t>的地震动峰值加速度为0.05g，对应地震基本烈度为Ⅵ度，地震反应谱特征周期为0.35s，区域构造稳定性良好，适宜兴建水利工程。</w:t>
      </w:r>
    </w:p>
    <w:p>
      <w:pPr>
        <w:adjustRightInd w:val="0"/>
        <w:snapToGrid w:val="0"/>
        <w:spacing w:line="594"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区域地质条件评价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基本同意场地基本地质条件描述。</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工程区位于长江右岸，为河流侵蚀堆积地貌，主要出露有第四系人工堆积层、冲积层、残坡积层，基岩为侏罗系上统遂宁组砂泥岩，地质构造较简单，场地地表水对混凝土无腐蚀性，不良地质现象主要为土体塌岸</w:t>
      </w:r>
      <w:r>
        <w:rPr>
          <w:rFonts w:hint="eastAsia"/>
          <w:kern w:val="0"/>
          <w:sz w:val="32"/>
          <w:szCs w:val="32"/>
          <w:lang w:eastAsia="zh-CN"/>
        </w:rPr>
        <w:t>，</w:t>
      </w:r>
      <w:r>
        <w:rPr>
          <w:rFonts w:hint="eastAsia" w:ascii="Times New Roman" w:eastAsia="方正仿宋_GBK"/>
          <w:kern w:val="0"/>
          <w:sz w:val="32"/>
          <w:szCs w:val="32"/>
        </w:rPr>
        <w:t>较大的塌岸有6处。场地总体较适宜工程布置。</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（三）岩土</w:t>
      </w:r>
      <w:r>
        <w:rPr>
          <w:rFonts w:hint="eastAsia" w:ascii="方正楷体_GBK" w:hAnsi="方正楷体_GBK" w:eastAsia="方正楷体_GBK" w:cs="方正楷体_GBK"/>
          <w:sz w:val="32"/>
          <w:szCs w:val="32"/>
          <w:lang w:eastAsia="zh-CN"/>
        </w:rPr>
        <w:t>体</w:t>
      </w:r>
      <w:r>
        <w:rPr>
          <w:rFonts w:hint="eastAsia" w:ascii="方正楷体_GBK" w:hAnsi="方正楷体_GBK" w:eastAsia="方正楷体_GBK" w:cs="方正楷体_GBK"/>
          <w:sz w:val="32"/>
          <w:szCs w:val="32"/>
        </w:rPr>
        <w:t>物理力学参数</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基本同意工程河段岩土</w:t>
      </w:r>
      <w:r>
        <w:rPr>
          <w:rFonts w:hint="eastAsia"/>
          <w:kern w:val="0"/>
          <w:sz w:val="32"/>
          <w:szCs w:val="32"/>
          <w:lang w:eastAsia="zh-CN"/>
        </w:rPr>
        <w:t>体</w:t>
      </w:r>
      <w:r>
        <w:rPr>
          <w:rFonts w:hint="eastAsia" w:ascii="Times New Roman" w:eastAsia="方正仿宋_GBK"/>
          <w:kern w:val="0"/>
          <w:sz w:val="32"/>
          <w:szCs w:val="32"/>
        </w:rPr>
        <w:t>物理力学参数建议值。</w:t>
      </w:r>
    </w:p>
    <w:p>
      <w:pPr>
        <w:adjustRightInd w:val="0"/>
        <w:snapToGrid w:val="0"/>
        <w:spacing w:line="594"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eastAsia="zh-CN"/>
        </w:rPr>
        <w:t>岸坡工程地质条件及评价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基本同意岸坡地质条件评价。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根据岸坡物质组成，工程区可分为土质岸坡、岩质岸坡、岩土混合岸坡。土质岸坡长484.14m，稳定性差；岩质岸坡长53.98m，基本稳定；岩土混合岸坡长420.16m，抗冲稳定性差。</w:t>
      </w:r>
    </w:p>
    <w:p>
      <w:pPr>
        <w:adjustRightInd w:val="0"/>
        <w:snapToGrid w:val="0"/>
        <w:spacing w:line="594"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（五）堤基持力层选择及主要工程地质问题评价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基本同意堤基持力层选择及主要工程地质问题评价。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对于覆盖层厚度较大的部位，建议采用第四系土体作堤基持力层，并对土体进行置换、夯实处理；对于覆盖层厚度较小的部位，建议以弱风化基岩作持力层。</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土体堤基存在不均匀沉降、堤基抗渗稳定、堤基抗滑稳定、堤基抗冲稳定、临时开挖边坡稳定及基坑涌水等主要工程地质问题；基岩堤基存在临时开挖边坡稳定、基坑涌水等主要工程地质问题。</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（六）堤基工程地质条件及评价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基本同意堤基工程地质条件及评价。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据堤基岩土分布与组合关系，本工程堤基地质结构分为双层结构（Ⅱ）与多层结构（Ⅲ）两类。双层结构（Ⅱ）上部为粉土，下部为基岩；多层结构（Ⅲ）上部为粉土、砂土、块碎石土、砂卵砾石的一种或多种，下部为基岩。</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K0+000.00～</w:t>
      </w:r>
      <w:r>
        <w:rPr>
          <w:rFonts w:hint="eastAsia"/>
          <w:kern w:val="0"/>
          <w:sz w:val="32"/>
          <w:szCs w:val="32"/>
          <w:lang w:val="en-US" w:eastAsia="zh-CN"/>
        </w:rPr>
        <w:t>K</w:t>
      </w:r>
      <w:r>
        <w:rPr>
          <w:rFonts w:hint="eastAsia" w:ascii="Times New Roman" w:eastAsia="方正仿宋_GBK"/>
          <w:kern w:val="0"/>
          <w:sz w:val="32"/>
          <w:szCs w:val="32"/>
        </w:rPr>
        <w:t>0+091.71第四系覆盖层较厚，建议以覆盖层作堤基持力层，并对土体进行工程措施处理，工程地质分类为C类；K0+091.71～</w:t>
      </w:r>
      <w:r>
        <w:rPr>
          <w:rFonts w:hint="eastAsia"/>
          <w:kern w:val="0"/>
          <w:sz w:val="32"/>
          <w:szCs w:val="32"/>
          <w:lang w:val="en-US" w:eastAsia="zh-CN"/>
        </w:rPr>
        <w:t>K</w:t>
      </w:r>
      <w:r>
        <w:rPr>
          <w:rFonts w:hint="eastAsia" w:ascii="Times New Roman" w:eastAsia="方正仿宋_GBK"/>
          <w:kern w:val="0"/>
          <w:sz w:val="32"/>
          <w:szCs w:val="32"/>
        </w:rPr>
        <w:t>0+958.28第四系覆盖层厚度较小，建议以基岩作为基础持力层，工程地质分类为A类。</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（七）穿堤箱涵工程地质条件及评价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基本同意穿堤箱涵工程地质条件及评价。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本工程设置一处穿堤箱涵，工程地质条件较简单，建议以弱风化基岩作为箱涵地基。</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（八）围堰工程地质条件及评价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基本同意围堰工程地质条件及评价。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围堰工程地质条件较简单，建议以覆盖层作为持力层，由于河床表层岩、土体透水性较强，建议对地基进行防渗处理，同时应注意加强施工期基坑排水。</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（九）天然建筑材料</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基本同意天然建筑材料评价。</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工程所需的砼骨料、块碎石料场可在巴南区姜家镇白云山村附近购买嘉陵江组（</w:t>
      </w:r>
      <w:r>
        <w:rPr>
          <w:rFonts w:hint="eastAsia" w:ascii="Times New Roman" w:eastAsia="方正仿宋_GBK"/>
          <w:kern w:val="0"/>
          <w:sz w:val="32"/>
          <w:szCs w:val="32"/>
          <w:highlight w:val="none"/>
        </w:rPr>
        <w:t>T</w:t>
      </w:r>
      <w:r>
        <w:rPr>
          <w:rFonts w:hint="eastAsia" w:ascii="Times New Roman" w:eastAsia="方正仿宋_GBK"/>
          <w:kern w:val="0"/>
          <w:sz w:val="32"/>
          <w:szCs w:val="32"/>
          <w:highlight w:val="none"/>
          <w:vertAlign w:val="subscript"/>
        </w:rPr>
        <w:t>1j</w:t>
      </w:r>
      <w:r>
        <w:rPr>
          <w:rFonts w:hint="eastAsia" w:ascii="Times New Roman" w:eastAsia="方正仿宋_GBK"/>
          <w:kern w:val="0"/>
          <w:sz w:val="32"/>
          <w:szCs w:val="32"/>
        </w:rPr>
        <w:t>）灰岩，质量、储量均能满足设计要求，平均运距约70.0km，有公路相通。</w:t>
      </w:r>
    </w:p>
    <w:p>
      <w:pPr>
        <w:tabs>
          <w:tab w:val="left" w:pos="5670"/>
        </w:tabs>
        <w:spacing w:line="594" w:lineRule="exact"/>
        <w:ind w:firstLine="640" w:firstLineChars="200"/>
        <w:rPr>
          <w:rFonts w:hint="eastAsia" w:ascii="Times New Roman" w:eastAsia="方正仿宋_GBK"/>
          <w:kern w:val="0"/>
          <w:sz w:val="32"/>
          <w:szCs w:val="32"/>
        </w:rPr>
      </w:pPr>
      <w:r>
        <w:rPr>
          <w:rFonts w:hint="eastAsia" w:ascii="Times New Roman" w:eastAsia="方正仿宋_GBK"/>
          <w:kern w:val="0"/>
          <w:sz w:val="32"/>
          <w:szCs w:val="32"/>
        </w:rPr>
        <w:t>工程石渣料主要料源为规划的巴南区高职城二期二组团土地整治项目平场弃渣，弃渣主要为侏罗系中统上沙溪庙组（J</w:t>
      </w:r>
      <w:r>
        <w:rPr>
          <w:rFonts w:hint="eastAsia" w:ascii="Times New Roman" w:eastAsia="方正仿宋_GBK"/>
          <w:kern w:val="0"/>
          <w:sz w:val="32"/>
          <w:szCs w:val="32"/>
          <w:vertAlign w:val="subscript"/>
        </w:rPr>
        <w:t>2s</w:t>
      </w:r>
      <w:r>
        <w:rPr>
          <w:rFonts w:hint="eastAsia" w:ascii="Times New Roman" w:eastAsia="方正仿宋_GBK"/>
          <w:kern w:val="0"/>
          <w:sz w:val="32"/>
          <w:szCs w:val="32"/>
        </w:rPr>
        <w:t>）泥岩夹砂岩，质量、储量可满足设计回填石渣料要求，运距约20</w:t>
      </w:r>
      <w:r>
        <w:rPr>
          <w:rFonts w:hint="eastAsia"/>
          <w:kern w:val="0"/>
          <w:sz w:val="32"/>
          <w:szCs w:val="32"/>
          <w:lang w:val="en-US" w:eastAsia="zh-CN"/>
        </w:rPr>
        <w:t>k</w:t>
      </w:r>
      <w:r>
        <w:rPr>
          <w:rFonts w:hint="eastAsia" w:ascii="Times New Roman" w:eastAsia="方正仿宋_GBK"/>
          <w:kern w:val="0"/>
          <w:sz w:val="32"/>
          <w:szCs w:val="32"/>
        </w:rPr>
        <w:t>m，有公路相通；项目施工期如</w:t>
      </w:r>
      <w:r>
        <w:rPr>
          <w:rFonts w:hint="eastAsia"/>
          <w:kern w:val="0"/>
          <w:sz w:val="32"/>
          <w:szCs w:val="32"/>
          <w:lang w:eastAsia="zh-CN"/>
        </w:rPr>
        <w:t>工程区</w:t>
      </w:r>
      <w:r>
        <w:rPr>
          <w:rFonts w:hint="eastAsia" w:ascii="Times New Roman" w:eastAsia="方正仿宋_GBK"/>
          <w:kern w:val="0"/>
          <w:sz w:val="32"/>
          <w:szCs w:val="32"/>
          <w:highlight w:val="none"/>
        </w:rPr>
        <w:t>附近20km范围</w:t>
      </w:r>
      <w:r>
        <w:rPr>
          <w:rFonts w:hint="eastAsia" w:ascii="Times New Roman" w:eastAsia="方正仿宋_GBK"/>
          <w:kern w:val="0"/>
          <w:sz w:val="32"/>
          <w:szCs w:val="32"/>
        </w:rPr>
        <w:t>内有新的工程弃渣，在质量满足本项目石渣料要求的前提下，可作为本工程回填石渣料备用料场。</w:t>
      </w:r>
    </w:p>
    <w:p>
      <w:pPr>
        <w:tabs>
          <w:tab w:val="left" w:pos="5670"/>
        </w:tabs>
        <w:spacing w:line="594" w:lineRule="exact"/>
        <w:ind w:firstLine="640" w:firstLineChars="200"/>
        <w:rPr>
          <w:rFonts w:ascii="Times New Roman" w:eastAsia="方正仿宋_GBK"/>
          <w:bCs/>
          <w:sz w:val="32"/>
          <w:szCs w:val="32"/>
          <w:lang w:val="zh-CN"/>
        </w:rPr>
      </w:pPr>
      <w:r>
        <w:rPr>
          <w:rFonts w:hint="eastAsia" w:ascii="Times New Roman" w:eastAsia="方正仿宋_GBK"/>
          <w:kern w:val="0"/>
          <w:sz w:val="32"/>
          <w:szCs w:val="32"/>
        </w:rPr>
        <w:t>本工程主要开挖的砂土、粉土、块碎石土和强风化泥岩等可满足设计回填料要求，可利用总量约15.84万m</w:t>
      </w:r>
      <w:r>
        <w:rPr>
          <w:rFonts w:hint="eastAsia" w:ascii="Times New Roman" w:eastAsia="方正仿宋_GBK"/>
          <w:kern w:val="0"/>
          <w:sz w:val="32"/>
          <w:szCs w:val="32"/>
          <w:vertAlign w:val="superscript"/>
        </w:rPr>
        <w:t>3</w:t>
      </w:r>
      <w:r>
        <w:rPr>
          <w:rFonts w:hint="eastAsia" w:ascii="Times New Roman" w:eastAsia="方正仿宋_GBK"/>
          <w:kern w:val="0"/>
          <w:sz w:val="32"/>
          <w:szCs w:val="32"/>
        </w:rPr>
        <w:t>。</w:t>
      </w:r>
    </w:p>
    <w:p>
      <w:pPr>
        <w:tabs>
          <w:tab w:val="left" w:pos="5670"/>
        </w:tabs>
        <w:spacing w:line="594" w:lineRule="atLeas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三、工程任务和规模</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（一）工程任务</w:t>
      </w:r>
    </w:p>
    <w:p>
      <w:pPr>
        <w:adjustRightInd w:val="0"/>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同意工程建设任务以防洪、岸坡整治为主，兼有美化和绿化环境</w:t>
      </w:r>
      <w:r>
        <w:rPr>
          <w:rFonts w:hint="eastAsia"/>
          <w:sz w:val="32"/>
          <w:szCs w:val="32"/>
          <w:lang w:eastAsia="zh-CN"/>
        </w:rPr>
        <w:t>、改善城市交通</w:t>
      </w:r>
      <w:r>
        <w:rPr>
          <w:rFonts w:hint="eastAsia" w:ascii="Times New Roman" w:eastAsia="方正仿宋_GBK"/>
          <w:sz w:val="32"/>
          <w:szCs w:val="32"/>
        </w:rPr>
        <w:t>等综合效益。</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（二）防洪标准</w:t>
      </w:r>
    </w:p>
    <w:p>
      <w:pPr>
        <w:adjustRightInd w:val="0"/>
        <w:snapToGrid w:val="0"/>
        <w:spacing w:line="594" w:lineRule="exact"/>
        <w:ind w:firstLine="640" w:firstLineChars="200"/>
        <w:rPr>
          <w:rFonts w:ascii="Times New Roman" w:eastAsia="方正仿宋_GBK"/>
          <w:sz w:val="32"/>
          <w:szCs w:val="32"/>
        </w:rPr>
      </w:pPr>
      <w:r>
        <w:rPr>
          <w:rFonts w:ascii="Times New Roman" w:eastAsia="方正仿宋_GBK"/>
          <w:sz w:val="32"/>
          <w:szCs w:val="32"/>
        </w:rPr>
        <w:t>同意</w:t>
      </w:r>
      <w:r>
        <w:rPr>
          <w:rFonts w:hint="eastAsia" w:ascii="Times New Roman" w:eastAsia="方正仿宋_GBK"/>
          <w:sz w:val="32"/>
          <w:szCs w:val="32"/>
        </w:rPr>
        <w:t>本工程防洪标准</w:t>
      </w:r>
      <w:r>
        <w:rPr>
          <w:rFonts w:hint="eastAsia"/>
          <w:sz w:val="32"/>
          <w:szCs w:val="32"/>
          <w:lang w:eastAsia="zh-CN"/>
        </w:rPr>
        <w:t>为</w:t>
      </w:r>
      <w:r>
        <w:rPr>
          <w:rFonts w:hint="eastAsia" w:ascii="Times New Roman" w:eastAsia="方正仿宋_GBK"/>
          <w:sz w:val="32"/>
          <w:szCs w:val="32"/>
        </w:rPr>
        <w:t>100年一遇，工程措施按三峡运行初期河道</w:t>
      </w:r>
      <w:r>
        <w:rPr>
          <w:rFonts w:hint="eastAsia" w:ascii="Times New Roman" w:eastAsia="方正仿宋_GBK"/>
          <w:sz w:val="32"/>
          <w:szCs w:val="32"/>
          <w:highlight w:val="none"/>
        </w:rPr>
        <w:t>50年一</w:t>
      </w:r>
      <w:r>
        <w:rPr>
          <w:rFonts w:hint="eastAsia" w:ascii="Times New Roman" w:eastAsia="方正仿宋_GBK"/>
          <w:sz w:val="32"/>
          <w:szCs w:val="32"/>
        </w:rPr>
        <w:t>遇洪水设计标准设计</w:t>
      </w:r>
      <w:r>
        <w:rPr>
          <w:rFonts w:ascii="Times New Roman" w:eastAsia="方正仿宋_GBK"/>
          <w:sz w:val="32"/>
          <w:szCs w:val="32"/>
        </w:rPr>
        <w:t>。</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（三）工程规模</w:t>
      </w:r>
    </w:p>
    <w:p>
      <w:pPr>
        <w:adjustRightInd w:val="0"/>
        <w:snapToGrid w:val="0"/>
        <w:spacing w:line="594" w:lineRule="exact"/>
        <w:ind w:firstLine="640" w:firstLineChars="200"/>
        <w:rPr>
          <w:rFonts w:hint="eastAsia" w:ascii="Times New Roman" w:eastAsia="方正仿宋_GBK"/>
          <w:sz w:val="32"/>
          <w:szCs w:val="32"/>
        </w:rPr>
      </w:pPr>
      <w:r>
        <w:rPr>
          <w:rFonts w:ascii="Times New Roman" w:eastAsia="方正仿宋_GBK"/>
          <w:sz w:val="32"/>
          <w:szCs w:val="32"/>
        </w:rPr>
        <w:t>基本同意</w:t>
      </w:r>
      <w:r>
        <w:rPr>
          <w:rFonts w:hint="eastAsia" w:ascii="Times New Roman" w:eastAsia="方正仿宋_GBK"/>
          <w:sz w:val="32"/>
          <w:szCs w:val="32"/>
        </w:rPr>
        <w:t>工程治理范围和岸线布置。</w:t>
      </w:r>
    </w:p>
    <w:p>
      <w:pPr>
        <w:adjustRightInd w:val="0"/>
        <w:snapToGrid w:val="0"/>
        <w:spacing w:line="594" w:lineRule="exact"/>
        <w:ind w:firstLine="640" w:firstLineChars="200"/>
        <w:rPr>
          <w:rFonts w:ascii="Times New Roman" w:eastAsia="方正仿宋_GBK"/>
          <w:sz w:val="32"/>
          <w:szCs w:val="32"/>
        </w:rPr>
      </w:pPr>
      <w:r>
        <w:rPr>
          <w:rFonts w:hint="eastAsia" w:ascii="Times New Roman" w:eastAsia="方正仿宋_GBK"/>
          <w:sz w:val="32"/>
          <w:szCs w:val="32"/>
        </w:rPr>
        <w:t>工程治理范围为巴南区长江佛耳岩段右岸，起点位于天明村高家沱支沟处，终点位于重庆航发佛耳寺港上游处，整治岸线全长958.28m。本工程洪水影响评价已经水利部长江水利委员会以“长许可〔2013〕189号”文批复，堤线在长江委批复治导线以内</w:t>
      </w:r>
      <w:r>
        <w:rPr>
          <w:rFonts w:ascii="Times New Roman" w:eastAsia="方正仿宋_GBK"/>
          <w:sz w:val="32"/>
          <w:szCs w:val="32"/>
        </w:rPr>
        <w:t>。</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（四）设计洪水水面线</w:t>
      </w:r>
    </w:p>
    <w:p>
      <w:pPr>
        <w:adjustRightInd w:val="0"/>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基本同意设计洪水水面线计算方法及成果。</w:t>
      </w:r>
    </w:p>
    <w:p>
      <w:pPr>
        <w:adjustRightInd w:val="0"/>
        <w:snapToGrid w:val="0"/>
        <w:spacing w:line="594" w:lineRule="exact"/>
        <w:ind w:firstLine="640" w:firstLineChars="200"/>
        <w:rPr>
          <w:rFonts w:hint="eastAsia" w:ascii="Times New Roman" w:eastAsia="方正仿宋_GBK"/>
          <w:sz w:val="32"/>
          <w:szCs w:val="32"/>
        </w:rPr>
      </w:pPr>
      <w:r>
        <w:rPr>
          <w:rFonts w:hint="eastAsia"/>
          <w:sz w:val="32"/>
          <w:szCs w:val="32"/>
          <w:lang w:eastAsia="zh-CN"/>
        </w:rPr>
        <w:t>本工程</w:t>
      </w:r>
      <w:r>
        <w:rPr>
          <w:rFonts w:hint="eastAsia" w:ascii="Times New Roman" w:eastAsia="方正仿宋_GBK"/>
          <w:sz w:val="32"/>
          <w:szCs w:val="32"/>
        </w:rPr>
        <w:t>采用一维水流数学模型推算工程河段洪水水面线。治理河段50年一遇设计洪水位为195.47</w:t>
      </w:r>
      <w:r>
        <w:rPr>
          <w:rFonts w:hint="eastAsia"/>
          <w:sz w:val="32"/>
          <w:szCs w:val="32"/>
          <w:lang w:val="en-US" w:eastAsia="zh-CN"/>
        </w:rPr>
        <w:t>m</w:t>
      </w:r>
      <w:r>
        <w:rPr>
          <w:rFonts w:hint="eastAsia" w:ascii="Times New Roman" w:eastAsia="方正仿宋_GBK"/>
          <w:sz w:val="32"/>
          <w:szCs w:val="32"/>
        </w:rPr>
        <w:t>～195.73m</w:t>
      </w:r>
      <w:r>
        <w:rPr>
          <w:rFonts w:hint="eastAsia"/>
          <w:sz w:val="32"/>
          <w:szCs w:val="32"/>
          <w:lang w:eastAsia="zh-CN"/>
        </w:rPr>
        <w:t>（</w:t>
      </w:r>
      <w:r>
        <w:rPr>
          <w:rFonts w:hint="eastAsia"/>
          <w:sz w:val="32"/>
          <w:szCs w:val="32"/>
          <w:lang w:val="en-US" w:eastAsia="zh-CN"/>
        </w:rPr>
        <w:t>85</w:t>
      </w:r>
      <w:r>
        <w:rPr>
          <w:rFonts w:hint="eastAsia"/>
          <w:color w:val="auto"/>
          <w:sz w:val="32"/>
          <w:szCs w:val="32"/>
          <w:lang w:eastAsia="zh-CN"/>
        </w:rPr>
        <w:t>高程</w:t>
      </w:r>
      <w:r>
        <w:rPr>
          <w:rFonts w:hint="eastAsia"/>
          <w:sz w:val="32"/>
          <w:szCs w:val="32"/>
          <w:lang w:eastAsia="zh-CN"/>
        </w:rPr>
        <w:t>）</w:t>
      </w:r>
      <w:r>
        <w:rPr>
          <w:rFonts w:hint="eastAsia" w:ascii="Times New Roman" w:eastAsia="方正仿宋_GBK"/>
          <w:sz w:val="32"/>
          <w:szCs w:val="32"/>
        </w:rPr>
        <w:t>。工程前后水位保持不变。</w:t>
      </w:r>
    </w:p>
    <w:p>
      <w:pPr>
        <w:adjustRightInd w:val="0"/>
        <w:snapToGrid w:val="0"/>
        <w:spacing w:line="594" w:lineRule="exact"/>
        <w:ind w:firstLine="640" w:firstLineChars="200"/>
        <w:rPr>
          <w:rFonts w:ascii="Times New Roman" w:eastAsia="方正仿宋_GBK"/>
          <w:sz w:val="32"/>
          <w:szCs w:val="32"/>
        </w:rPr>
      </w:pPr>
      <w:r>
        <w:rPr>
          <w:rFonts w:hint="eastAsia" w:ascii="Times New Roman" w:eastAsia="方正仿宋_GBK"/>
          <w:sz w:val="32"/>
          <w:szCs w:val="32"/>
        </w:rPr>
        <w:t>施工期采用分期设计洪水流量在钓二嘴水位站水位流量关系曲线上查得起始断面相应水位，并推算至工程河段。</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（五）主要建设内容</w:t>
      </w:r>
    </w:p>
    <w:p>
      <w:pPr>
        <w:adjustRightInd w:val="0"/>
        <w:snapToGrid w:val="0"/>
        <w:spacing w:line="594" w:lineRule="exact"/>
        <w:rPr>
          <w:rFonts w:hint="eastAsia" w:ascii="Times New Roman" w:eastAsia="方正仿宋_GBK"/>
          <w:sz w:val="32"/>
          <w:szCs w:val="32"/>
        </w:rPr>
      </w:pPr>
      <w:r>
        <w:rPr>
          <w:rFonts w:ascii="Times New Roman" w:eastAsia="方正仿宋_GBK"/>
          <w:sz w:val="32"/>
          <w:szCs w:val="32"/>
        </w:rPr>
        <w:t>基本同意</w:t>
      </w:r>
      <w:r>
        <w:rPr>
          <w:rFonts w:hint="eastAsia" w:ascii="Times New Roman" w:eastAsia="方正仿宋_GBK"/>
          <w:sz w:val="32"/>
          <w:szCs w:val="32"/>
        </w:rPr>
        <w:t>工程主要建设内容。</w:t>
      </w:r>
    </w:p>
    <w:p>
      <w:pPr>
        <w:adjustRightInd w:val="0"/>
        <w:snapToGrid w:val="0"/>
        <w:spacing w:line="594" w:lineRule="exact"/>
        <w:rPr>
          <w:rFonts w:ascii="Times New Roman" w:eastAsia="方正仿宋_GBK"/>
          <w:sz w:val="32"/>
          <w:szCs w:val="32"/>
        </w:rPr>
      </w:pPr>
      <w:r>
        <w:rPr>
          <w:rFonts w:hint="eastAsia" w:ascii="Times New Roman" w:eastAsia="方正仿宋_GBK"/>
          <w:sz w:val="32"/>
          <w:szCs w:val="32"/>
        </w:rPr>
        <w:t>本工程设计堤脚线总长958.28m，堤顶高程为197.17</w:t>
      </w:r>
      <w:r>
        <w:rPr>
          <w:rFonts w:hint="eastAsia"/>
          <w:sz w:val="32"/>
          <w:szCs w:val="32"/>
          <w:lang w:val="en-US" w:eastAsia="zh-CN"/>
        </w:rPr>
        <w:t>m</w:t>
      </w:r>
      <w:r>
        <w:rPr>
          <w:rFonts w:hint="eastAsia" w:ascii="Times New Roman" w:eastAsia="方正仿宋_GBK"/>
          <w:sz w:val="32"/>
          <w:szCs w:val="32"/>
        </w:rPr>
        <w:t>～197.43m。堤型主要采用</w:t>
      </w:r>
      <w:r>
        <w:rPr>
          <w:rFonts w:hint="eastAsia"/>
          <w:sz w:val="32"/>
          <w:szCs w:val="32"/>
          <w:lang w:eastAsia="zh-CN"/>
        </w:rPr>
        <w:t>“</w:t>
      </w:r>
      <w:r>
        <w:rPr>
          <w:rFonts w:hint="eastAsia" w:ascii="Times New Roman" w:eastAsia="方正仿宋_GBK"/>
          <w:sz w:val="32"/>
          <w:szCs w:val="32"/>
        </w:rPr>
        <w:t>挡墙（或镇脚）+斜坡</w:t>
      </w:r>
      <w:r>
        <w:rPr>
          <w:rFonts w:hint="eastAsia"/>
          <w:sz w:val="32"/>
          <w:szCs w:val="32"/>
          <w:lang w:eastAsia="zh-CN"/>
        </w:rPr>
        <w:t>”</w:t>
      </w:r>
      <w:r>
        <w:rPr>
          <w:rFonts w:hint="eastAsia" w:ascii="Times New Roman" w:eastAsia="方正仿宋_GBK"/>
          <w:sz w:val="32"/>
          <w:szCs w:val="32"/>
        </w:rPr>
        <w:t>型式布置，其中：</w:t>
      </w:r>
      <w:r>
        <w:rPr>
          <w:rFonts w:hint="eastAsia"/>
          <w:sz w:val="32"/>
          <w:szCs w:val="32"/>
          <w:lang w:eastAsia="zh-CN"/>
        </w:rPr>
        <w:t>“</w:t>
      </w:r>
      <w:r>
        <w:rPr>
          <w:rFonts w:hint="eastAsia" w:ascii="Times New Roman" w:eastAsia="方正仿宋_GBK"/>
          <w:sz w:val="32"/>
          <w:szCs w:val="32"/>
        </w:rPr>
        <w:t>镇脚+两级斜坡</w:t>
      </w:r>
      <w:r>
        <w:rPr>
          <w:rFonts w:hint="eastAsia"/>
          <w:sz w:val="32"/>
          <w:szCs w:val="32"/>
          <w:lang w:eastAsia="zh-CN"/>
        </w:rPr>
        <w:t>”</w:t>
      </w:r>
      <w:r>
        <w:rPr>
          <w:rFonts w:hint="eastAsia" w:ascii="Times New Roman" w:eastAsia="方正仿宋_GBK"/>
          <w:sz w:val="32"/>
          <w:szCs w:val="32"/>
        </w:rPr>
        <w:t>型式段长91.71m，</w:t>
      </w:r>
      <w:r>
        <w:rPr>
          <w:rFonts w:hint="eastAsia"/>
          <w:sz w:val="32"/>
          <w:szCs w:val="32"/>
          <w:lang w:eastAsia="zh-CN"/>
        </w:rPr>
        <w:t>“</w:t>
      </w:r>
      <w:r>
        <w:rPr>
          <w:rFonts w:hint="eastAsia" w:ascii="Times New Roman" w:eastAsia="方正仿宋_GBK"/>
          <w:sz w:val="32"/>
          <w:szCs w:val="32"/>
        </w:rPr>
        <w:t>挡墙+三级斜坡</w:t>
      </w:r>
      <w:r>
        <w:rPr>
          <w:rFonts w:hint="eastAsia"/>
          <w:sz w:val="32"/>
          <w:szCs w:val="32"/>
          <w:lang w:eastAsia="zh-CN"/>
        </w:rPr>
        <w:t>”</w:t>
      </w:r>
      <w:r>
        <w:rPr>
          <w:rFonts w:hint="eastAsia" w:ascii="Times New Roman" w:eastAsia="方正仿宋_GBK"/>
          <w:sz w:val="32"/>
          <w:szCs w:val="32"/>
        </w:rPr>
        <w:t>型式段长866.57m；沿线每隔150m～200m布置一处下河梯道，共设6处下河梯道；布置排洪箱涵一处。堤顶增设防汛道路，总长1274.16m。</w:t>
      </w:r>
    </w:p>
    <w:p>
      <w:pPr>
        <w:spacing w:line="594" w:lineRule="atLeas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四、工程布置及建筑物</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bookmarkStart w:id="0" w:name="_Toc374020082"/>
      <w:r>
        <w:rPr>
          <w:rFonts w:hint="eastAsia" w:ascii="方正楷体_GBK" w:hAnsi="方正楷体_GBK" w:eastAsia="方正楷体_GBK" w:cs="方正楷体_GBK"/>
          <w:sz w:val="32"/>
          <w:szCs w:val="32"/>
        </w:rPr>
        <w:t>（一）</w:t>
      </w:r>
      <w:bookmarkEnd w:id="0"/>
      <w:bookmarkStart w:id="1" w:name="_Toc374020085"/>
      <w:r>
        <w:rPr>
          <w:rFonts w:hint="eastAsia" w:ascii="方正楷体_GBK" w:hAnsi="方正楷体_GBK" w:eastAsia="方正楷体_GBK" w:cs="方正楷体_GBK"/>
          <w:sz w:val="32"/>
          <w:szCs w:val="32"/>
        </w:rPr>
        <w:t>建筑物级别和设计标准</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同意建筑物级别和设计标准。</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工程位于重庆市巴南区城区长江干流右岸，护岸工程和箱涵设计洪水标准分别为50年一遇、100年一遇，主要建筑物级别为2级，次要建筑物</w:t>
      </w:r>
      <w:r>
        <w:rPr>
          <w:rFonts w:hint="eastAsia"/>
          <w:sz w:val="32"/>
          <w:szCs w:val="32"/>
          <w:lang w:eastAsia="zh-CN"/>
        </w:rPr>
        <w:t>级别</w:t>
      </w:r>
      <w:r>
        <w:rPr>
          <w:rFonts w:hint="eastAsia" w:ascii="Times New Roman" w:eastAsia="方正仿宋_GBK"/>
          <w:sz w:val="32"/>
          <w:szCs w:val="32"/>
        </w:rPr>
        <w:t>为3级，临时建筑物</w:t>
      </w:r>
      <w:r>
        <w:rPr>
          <w:rFonts w:hint="eastAsia"/>
          <w:sz w:val="32"/>
          <w:szCs w:val="32"/>
          <w:lang w:eastAsia="zh-CN"/>
        </w:rPr>
        <w:t>级别</w:t>
      </w:r>
      <w:r>
        <w:rPr>
          <w:rFonts w:hint="eastAsia" w:ascii="Times New Roman" w:eastAsia="方正仿宋_GBK"/>
          <w:sz w:val="32"/>
          <w:szCs w:val="32"/>
        </w:rPr>
        <w:t>为4级。</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（二）合理使用年限</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同意工程合理使用年限为50年，护岸工程、箱涵合理使用年限为50年。</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（三）护岸线与护岸型式选择</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本阶段设计在“堤脚控制线不超越涉河批准堤脚线，外轮廓线不超越涉河批复的外轮廓线，护岸顶线不超越进境木材交易口岸用地边线”条件下，拟定3个堤线与堤型方案进一步比较，方案Ⅲ土石方开挖少，开挖料利用充分，弃渣少，斜坡坡度和护岸顶结构的设计更容易与相关规划协调，且投资节省，基本同意推荐方案Ⅲ。</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）工程总布置</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工程由护岸工程、排水箱涵及防汛道路组成。</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护岸工程起于天明村高家沱支沟桥梁处，止于重庆航发佛耳寺港上游端，新建护岸长958.28m，其中：长江干流段866.57m，支沟段91.71m</w:t>
      </w:r>
      <w:r>
        <w:rPr>
          <w:rFonts w:hint="eastAsia"/>
          <w:sz w:val="32"/>
          <w:szCs w:val="32"/>
          <w:lang w:eastAsia="zh-CN"/>
        </w:rPr>
        <w:t>，</w:t>
      </w:r>
      <w:r>
        <w:rPr>
          <w:rFonts w:hint="eastAsia" w:ascii="Times New Roman" w:eastAsia="方正仿宋_GBK"/>
          <w:sz w:val="32"/>
          <w:szCs w:val="32"/>
        </w:rPr>
        <w:t>护岸顶高程为197.17m～197.43m。K0+000</w:t>
      </w:r>
      <w:r>
        <w:rPr>
          <w:rFonts w:hint="eastAsia" w:ascii="Times New Roman" w:eastAsia="方正仿宋_GBK"/>
          <w:sz w:val="32"/>
          <w:szCs w:val="32"/>
          <w:highlight w:val="none"/>
        </w:rPr>
        <w:t>.00（</w:t>
      </w:r>
      <w:r>
        <w:rPr>
          <w:rFonts w:hint="eastAsia" w:ascii="Times New Roman" w:eastAsia="方正仿宋_GBK"/>
          <w:sz w:val="32"/>
          <w:szCs w:val="32"/>
        </w:rPr>
        <w:t>工程起点）～K0+</w:t>
      </w:r>
      <w:r>
        <w:rPr>
          <w:rFonts w:hint="eastAsia"/>
          <w:sz w:val="32"/>
          <w:szCs w:val="32"/>
          <w:lang w:val="en-US" w:eastAsia="zh-CN"/>
        </w:rPr>
        <w:t>0</w:t>
      </w:r>
      <w:r>
        <w:rPr>
          <w:rFonts w:hint="eastAsia" w:ascii="Times New Roman" w:eastAsia="方正仿宋_GBK"/>
          <w:sz w:val="32"/>
          <w:szCs w:val="32"/>
        </w:rPr>
        <w:t>91.71段采用</w:t>
      </w:r>
      <w:r>
        <w:rPr>
          <w:rFonts w:hint="eastAsia"/>
          <w:sz w:val="32"/>
          <w:szCs w:val="32"/>
          <w:lang w:eastAsia="zh-CN"/>
        </w:rPr>
        <w:t>“</w:t>
      </w:r>
      <w:r>
        <w:rPr>
          <w:rFonts w:hint="eastAsia" w:ascii="Times New Roman" w:eastAsia="方正仿宋_GBK"/>
          <w:sz w:val="32"/>
          <w:szCs w:val="32"/>
        </w:rPr>
        <w:t>镇脚+两级斜坡</w:t>
      </w:r>
      <w:r>
        <w:rPr>
          <w:rFonts w:hint="eastAsia"/>
          <w:sz w:val="32"/>
          <w:szCs w:val="32"/>
          <w:lang w:eastAsia="zh-CN"/>
        </w:rPr>
        <w:t>”</w:t>
      </w:r>
      <w:r>
        <w:rPr>
          <w:rFonts w:hint="eastAsia" w:ascii="Times New Roman" w:eastAsia="方正仿宋_GBK"/>
          <w:sz w:val="32"/>
          <w:szCs w:val="32"/>
        </w:rPr>
        <w:t>型式，镇脚顶高程为183.00m，在高程190.00m处设置宽3.0m马道；K0+091.71～K0+958.28（工程终点）段采用</w:t>
      </w:r>
      <w:r>
        <w:rPr>
          <w:rFonts w:hint="eastAsia"/>
          <w:sz w:val="32"/>
          <w:szCs w:val="32"/>
          <w:lang w:eastAsia="zh-CN"/>
        </w:rPr>
        <w:t>“</w:t>
      </w:r>
      <w:r>
        <w:rPr>
          <w:rFonts w:hint="eastAsia" w:ascii="Times New Roman" w:eastAsia="方正仿宋_GBK"/>
          <w:sz w:val="32"/>
          <w:szCs w:val="32"/>
        </w:rPr>
        <w:t>挡墙+</w:t>
      </w:r>
      <w:r>
        <w:rPr>
          <w:rFonts w:hint="eastAsia"/>
          <w:sz w:val="32"/>
          <w:szCs w:val="32"/>
          <w:lang w:eastAsia="zh-CN"/>
        </w:rPr>
        <w:t>三</w:t>
      </w:r>
      <w:r>
        <w:rPr>
          <w:rFonts w:hint="eastAsia" w:ascii="Times New Roman" w:eastAsia="方正仿宋_GBK"/>
          <w:sz w:val="32"/>
          <w:szCs w:val="32"/>
        </w:rPr>
        <w:t>级斜坡</w:t>
      </w:r>
      <w:r>
        <w:rPr>
          <w:rFonts w:hint="eastAsia"/>
          <w:sz w:val="32"/>
          <w:szCs w:val="32"/>
          <w:lang w:eastAsia="zh-CN"/>
        </w:rPr>
        <w:t>”</w:t>
      </w:r>
      <w:r>
        <w:rPr>
          <w:rFonts w:hint="eastAsia" w:ascii="Times New Roman" w:eastAsia="方正仿宋_GBK"/>
          <w:sz w:val="32"/>
          <w:szCs w:val="32"/>
        </w:rPr>
        <w:t>型式，挡墙顶高程175</w:t>
      </w:r>
      <w:r>
        <w:rPr>
          <w:rFonts w:hint="eastAsia"/>
          <w:sz w:val="32"/>
          <w:szCs w:val="32"/>
          <w:lang w:val="en-US" w:eastAsia="zh-CN"/>
        </w:rPr>
        <w:t>.00</w:t>
      </w:r>
      <w:r>
        <w:rPr>
          <w:rFonts w:hint="eastAsia" w:ascii="Times New Roman" w:eastAsia="方正仿宋_GBK"/>
          <w:sz w:val="32"/>
          <w:szCs w:val="32"/>
        </w:rPr>
        <w:t>m，在高程183.00m和190.00m</w:t>
      </w:r>
      <w:r>
        <w:rPr>
          <w:rFonts w:hint="eastAsia"/>
          <w:sz w:val="32"/>
          <w:szCs w:val="32"/>
          <w:lang w:eastAsia="zh-CN"/>
        </w:rPr>
        <w:t>处</w:t>
      </w:r>
      <w:r>
        <w:rPr>
          <w:rFonts w:hint="eastAsia" w:ascii="Times New Roman" w:eastAsia="方正仿宋_GBK"/>
          <w:sz w:val="32"/>
          <w:szCs w:val="32"/>
        </w:rPr>
        <w:t>各设置一马道，宽度分别为3m和2m。沿护岸设6处下河梯道。在护岸顶和护脚175.0</w:t>
      </w:r>
      <w:r>
        <w:rPr>
          <w:rFonts w:hint="eastAsia"/>
          <w:sz w:val="32"/>
          <w:szCs w:val="32"/>
          <w:lang w:val="en-US" w:eastAsia="zh-CN"/>
        </w:rPr>
        <w:t>0</w:t>
      </w:r>
      <w:r>
        <w:rPr>
          <w:rFonts w:hint="eastAsia" w:ascii="Times New Roman" w:eastAsia="方正仿宋_GBK"/>
          <w:sz w:val="32"/>
          <w:szCs w:val="32"/>
        </w:rPr>
        <w:t>m平台外侧设防护栏杆。</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在桩号K0+377.</w:t>
      </w:r>
      <w:r>
        <w:rPr>
          <w:rFonts w:hint="eastAsia" w:ascii="Times New Roman" w:eastAsia="方正仿宋_GBK"/>
          <w:sz w:val="32"/>
          <w:szCs w:val="32"/>
          <w:highlight w:val="none"/>
        </w:rPr>
        <w:t>93</w:t>
      </w:r>
      <w:r>
        <w:rPr>
          <w:rFonts w:hint="eastAsia" w:ascii="Times New Roman" w:eastAsia="方正仿宋_GBK"/>
          <w:sz w:val="32"/>
          <w:szCs w:val="32"/>
        </w:rPr>
        <w:t>设排洪建筑物，全长143.43m，由明渠段和箱涵段组成，进口设翼墙，出口设消力池，并采用护坦防冲。</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防汛道路布置在护岸顶和高家沱支沟，</w:t>
      </w:r>
      <w:r>
        <w:rPr>
          <w:rFonts w:hint="eastAsia" w:ascii="Times New Roman" w:eastAsia="方正仿宋_GBK"/>
          <w:color w:val="auto"/>
          <w:sz w:val="32"/>
          <w:szCs w:val="32"/>
          <w:highlight w:val="none"/>
        </w:rPr>
        <w:t>长1274.16m，</w:t>
      </w:r>
      <w:r>
        <w:rPr>
          <w:rFonts w:hint="eastAsia" w:ascii="Times New Roman" w:eastAsia="方正仿宋_GBK"/>
          <w:sz w:val="32"/>
          <w:szCs w:val="32"/>
        </w:rPr>
        <w:t>宽6.0m</w:t>
      </w:r>
      <w:r>
        <w:rPr>
          <w:rFonts w:hint="eastAsia"/>
          <w:sz w:val="32"/>
          <w:szCs w:val="32"/>
          <w:lang w:eastAsia="zh-CN"/>
        </w:rPr>
        <w:t>，</w:t>
      </w:r>
      <w:r>
        <w:rPr>
          <w:rFonts w:hint="eastAsia" w:ascii="Times New Roman" w:eastAsia="方正仿宋_GBK"/>
          <w:sz w:val="32"/>
          <w:szCs w:val="32"/>
        </w:rPr>
        <w:t>其中高家沱支沟段防汛道路利用施工临时道路改造，长370.16m。</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）主要建筑物设计</w:t>
      </w:r>
    </w:p>
    <w:p>
      <w:pPr>
        <w:snapToGrid w:val="0"/>
        <w:spacing w:line="594" w:lineRule="exact"/>
        <w:ind w:firstLine="643" w:firstLineChars="200"/>
        <w:rPr>
          <w:rFonts w:hint="eastAsia" w:ascii="Times New Roman" w:eastAsia="方正仿宋_GBK"/>
          <w:b/>
          <w:bCs/>
          <w:sz w:val="32"/>
          <w:szCs w:val="32"/>
        </w:rPr>
      </w:pPr>
      <w:r>
        <w:rPr>
          <w:rFonts w:hint="eastAsia" w:ascii="Times New Roman" w:eastAsia="方正仿宋_GBK"/>
          <w:b/>
          <w:bCs/>
          <w:sz w:val="32"/>
          <w:szCs w:val="32"/>
        </w:rPr>
        <w:t>1</w:t>
      </w:r>
      <w:r>
        <w:rPr>
          <w:rFonts w:hint="eastAsia"/>
          <w:b/>
          <w:bCs/>
          <w:sz w:val="32"/>
          <w:szCs w:val="32"/>
          <w:lang w:val="en-US" w:eastAsia="zh-CN"/>
        </w:rPr>
        <w:t>.</w:t>
      </w:r>
      <w:r>
        <w:rPr>
          <w:rFonts w:hint="eastAsia" w:ascii="Times New Roman" w:eastAsia="方正仿宋_GBK"/>
          <w:b/>
          <w:bCs/>
          <w:sz w:val="32"/>
          <w:szCs w:val="32"/>
        </w:rPr>
        <w:t>护岸工程</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基本同意护岸工程设计。</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w:t>
      </w:r>
      <w:r>
        <w:rPr>
          <w:rFonts w:hint="eastAsia"/>
          <w:sz w:val="32"/>
          <w:szCs w:val="32"/>
          <w:lang w:val="en-US" w:eastAsia="zh-CN"/>
        </w:rPr>
        <w:t>1</w:t>
      </w:r>
      <w:r>
        <w:rPr>
          <w:rFonts w:hint="eastAsia" w:ascii="Times New Roman" w:eastAsia="方正仿宋_GBK"/>
          <w:sz w:val="32"/>
          <w:szCs w:val="32"/>
        </w:rPr>
        <w:t>）堤体</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K0+000.</w:t>
      </w:r>
      <w:r>
        <w:rPr>
          <w:rFonts w:hint="eastAsia" w:ascii="Times New Roman" w:eastAsia="方正仿宋_GBK"/>
          <w:sz w:val="32"/>
          <w:szCs w:val="32"/>
          <w:highlight w:val="none"/>
        </w:rPr>
        <w:t>00</w:t>
      </w:r>
      <w:r>
        <w:rPr>
          <w:rFonts w:hint="eastAsia" w:ascii="Times New Roman" w:eastAsia="方正仿宋_GBK"/>
          <w:sz w:val="32"/>
          <w:szCs w:val="32"/>
        </w:rPr>
        <w:t>（工程起点）～K0+91.71段：采用</w:t>
      </w:r>
      <w:r>
        <w:rPr>
          <w:rFonts w:hint="eastAsia"/>
          <w:sz w:val="32"/>
          <w:szCs w:val="32"/>
          <w:lang w:eastAsia="zh-CN"/>
        </w:rPr>
        <w:t>“</w:t>
      </w:r>
      <w:r>
        <w:rPr>
          <w:rFonts w:hint="eastAsia" w:ascii="Times New Roman" w:eastAsia="方正仿宋_GBK"/>
          <w:sz w:val="32"/>
          <w:szCs w:val="32"/>
        </w:rPr>
        <w:t>镇脚+两级斜坡</w:t>
      </w:r>
      <w:r>
        <w:rPr>
          <w:rFonts w:hint="eastAsia"/>
          <w:sz w:val="32"/>
          <w:szCs w:val="32"/>
          <w:lang w:eastAsia="zh-CN"/>
        </w:rPr>
        <w:t>”</w:t>
      </w:r>
      <w:r>
        <w:rPr>
          <w:rFonts w:hint="eastAsia" w:ascii="Times New Roman" w:eastAsia="方正仿宋_GBK"/>
          <w:sz w:val="32"/>
          <w:szCs w:val="32"/>
        </w:rPr>
        <w:t>型式。镇脚采用C20砼浇筑，顶宽3m</w:t>
      </w:r>
      <w:r>
        <w:rPr>
          <w:rFonts w:hint="eastAsia"/>
          <w:sz w:val="32"/>
          <w:szCs w:val="32"/>
          <w:lang w:eastAsia="zh-CN"/>
        </w:rPr>
        <w:t>、</w:t>
      </w:r>
      <w:r>
        <w:rPr>
          <w:rFonts w:hint="eastAsia" w:ascii="Times New Roman" w:eastAsia="方正仿宋_GBK"/>
          <w:sz w:val="32"/>
          <w:szCs w:val="32"/>
        </w:rPr>
        <w:t>顶高程183.00m，基础置于灰岩块石换填基础上；183.00m以下对原状岸坡进行削坡，削坡坡比为1</w:t>
      </w:r>
      <w:r>
        <w:rPr>
          <w:rFonts w:hint="eastAsia"/>
          <w:sz w:val="32"/>
          <w:szCs w:val="32"/>
          <w:lang w:val="en-US" w:eastAsia="zh-CN"/>
        </w:rPr>
        <w:t>:</w:t>
      </w:r>
      <w:r>
        <w:rPr>
          <w:rFonts w:hint="eastAsia" w:ascii="Times New Roman" w:eastAsia="方正仿宋_GBK"/>
          <w:sz w:val="32"/>
          <w:szCs w:val="32"/>
        </w:rPr>
        <w:t>3.5～</w:t>
      </w:r>
      <w:r>
        <w:rPr>
          <w:rFonts w:hint="eastAsia"/>
          <w:sz w:val="32"/>
          <w:szCs w:val="32"/>
          <w:lang w:val="en-US" w:eastAsia="zh-CN"/>
        </w:rPr>
        <w:t>1:</w:t>
      </w:r>
      <w:r>
        <w:rPr>
          <w:rFonts w:hint="eastAsia" w:ascii="Times New Roman" w:eastAsia="方正仿宋_GBK"/>
          <w:sz w:val="32"/>
          <w:szCs w:val="32"/>
        </w:rPr>
        <w:t>6.5，坡面采用干砌块石防护；183.00m以上的两级斜坡坡比均为1:3.0，在高程190.00m处设置一马道，宽</w:t>
      </w:r>
      <w:r>
        <w:rPr>
          <w:rFonts w:hint="eastAsia"/>
          <w:sz w:val="32"/>
          <w:szCs w:val="32"/>
          <w:lang w:eastAsia="zh-CN"/>
        </w:rPr>
        <w:t>为</w:t>
      </w:r>
      <w:r>
        <w:rPr>
          <w:rFonts w:hint="eastAsia" w:ascii="Times New Roman" w:eastAsia="方正仿宋_GBK"/>
          <w:sz w:val="32"/>
          <w:szCs w:val="32"/>
        </w:rPr>
        <w:t>3.0m，183m～190m采用</w:t>
      </w:r>
      <w:r>
        <w:rPr>
          <w:rFonts w:hint="eastAsia"/>
          <w:sz w:val="32"/>
          <w:szCs w:val="32"/>
          <w:lang w:eastAsia="zh-CN"/>
        </w:rPr>
        <w:t>“</w:t>
      </w:r>
      <w:r>
        <w:rPr>
          <w:rFonts w:hint="eastAsia" w:ascii="Times New Roman" w:eastAsia="方正仿宋_GBK"/>
          <w:sz w:val="32"/>
          <w:szCs w:val="32"/>
        </w:rPr>
        <w:t>砼框格+块石</w:t>
      </w:r>
      <w:r>
        <w:rPr>
          <w:rFonts w:hint="eastAsia"/>
          <w:sz w:val="32"/>
          <w:szCs w:val="32"/>
          <w:lang w:eastAsia="zh-CN"/>
        </w:rPr>
        <w:t>”</w:t>
      </w:r>
      <w:r>
        <w:rPr>
          <w:rFonts w:hint="eastAsia" w:ascii="Times New Roman" w:eastAsia="方正仿宋_GBK"/>
          <w:sz w:val="32"/>
          <w:szCs w:val="32"/>
        </w:rPr>
        <w:t>护坡，190m以上采用</w:t>
      </w:r>
      <w:r>
        <w:rPr>
          <w:rFonts w:hint="eastAsia"/>
          <w:sz w:val="32"/>
          <w:szCs w:val="32"/>
          <w:lang w:eastAsia="zh-CN"/>
        </w:rPr>
        <w:t>“</w:t>
      </w:r>
      <w:r>
        <w:rPr>
          <w:rFonts w:hint="eastAsia" w:ascii="Times New Roman" w:eastAsia="方正仿宋_GBK"/>
          <w:sz w:val="32"/>
          <w:szCs w:val="32"/>
        </w:rPr>
        <w:t>砼框格+植草</w:t>
      </w:r>
      <w:r>
        <w:rPr>
          <w:rFonts w:hint="eastAsia"/>
          <w:sz w:val="32"/>
          <w:szCs w:val="32"/>
          <w:lang w:eastAsia="zh-CN"/>
        </w:rPr>
        <w:t>”</w:t>
      </w:r>
      <w:r>
        <w:rPr>
          <w:rFonts w:hint="eastAsia" w:ascii="Times New Roman" w:eastAsia="方正仿宋_GBK"/>
          <w:sz w:val="32"/>
          <w:szCs w:val="32"/>
        </w:rPr>
        <w:t>护坡；护岸体195</w:t>
      </w:r>
      <w:r>
        <w:rPr>
          <w:rFonts w:hint="eastAsia"/>
          <w:sz w:val="32"/>
          <w:szCs w:val="32"/>
          <w:lang w:val="en-US" w:eastAsia="zh-CN"/>
        </w:rPr>
        <w:t>.00</w:t>
      </w:r>
      <w:r>
        <w:rPr>
          <w:rFonts w:hint="eastAsia" w:ascii="Times New Roman" w:eastAsia="方正仿宋_GBK"/>
          <w:sz w:val="32"/>
          <w:szCs w:val="32"/>
        </w:rPr>
        <w:t>m以下采用泥岩石渣料填筑；195</w:t>
      </w:r>
      <w:r>
        <w:rPr>
          <w:rFonts w:hint="eastAsia"/>
          <w:sz w:val="32"/>
          <w:szCs w:val="32"/>
          <w:lang w:val="en-US" w:eastAsia="zh-CN"/>
        </w:rPr>
        <w:t>.00</w:t>
      </w:r>
      <w:r>
        <w:rPr>
          <w:rFonts w:hint="eastAsia" w:ascii="Times New Roman" w:eastAsia="方正仿宋_GBK"/>
          <w:sz w:val="32"/>
          <w:szCs w:val="32"/>
        </w:rPr>
        <w:t>m以上采用块碎石土填筑，护岸体内设置排水盲沟。</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K0+091.71～K0+958.28（工程终点）段：采用</w:t>
      </w:r>
      <w:r>
        <w:rPr>
          <w:rFonts w:hint="eastAsia"/>
          <w:sz w:val="32"/>
          <w:szCs w:val="32"/>
          <w:highlight w:val="none"/>
          <w:lang w:eastAsia="zh-CN"/>
        </w:rPr>
        <w:t>“</w:t>
      </w:r>
      <w:r>
        <w:rPr>
          <w:rFonts w:hint="eastAsia" w:ascii="Times New Roman" w:eastAsia="方正仿宋_GBK"/>
          <w:sz w:val="32"/>
          <w:szCs w:val="32"/>
        </w:rPr>
        <w:t>挡墙+</w:t>
      </w:r>
      <w:r>
        <w:rPr>
          <w:rFonts w:hint="eastAsia"/>
          <w:sz w:val="32"/>
          <w:szCs w:val="32"/>
          <w:lang w:eastAsia="zh-CN"/>
        </w:rPr>
        <w:t>三</w:t>
      </w:r>
      <w:r>
        <w:rPr>
          <w:rFonts w:hint="eastAsia" w:ascii="Times New Roman" w:eastAsia="方正仿宋_GBK"/>
          <w:sz w:val="32"/>
          <w:szCs w:val="32"/>
        </w:rPr>
        <w:t>级斜坡</w:t>
      </w:r>
      <w:r>
        <w:rPr>
          <w:rFonts w:hint="eastAsia"/>
          <w:sz w:val="32"/>
          <w:szCs w:val="32"/>
          <w:lang w:eastAsia="zh-CN"/>
        </w:rPr>
        <w:t>”</w:t>
      </w:r>
      <w:r>
        <w:rPr>
          <w:rFonts w:hint="eastAsia" w:ascii="Times New Roman" w:eastAsia="方正仿宋_GBK"/>
          <w:sz w:val="32"/>
          <w:szCs w:val="32"/>
        </w:rPr>
        <w:t>型式。挡墙采用C20砼浇筑，基础置于弱风化泥岩，挡墙顶部为亲水平台，桩号K0+</w:t>
      </w:r>
      <w:r>
        <w:rPr>
          <w:rFonts w:hint="eastAsia"/>
          <w:sz w:val="32"/>
          <w:szCs w:val="32"/>
          <w:lang w:val="en-US" w:eastAsia="zh-CN"/>
        </w:rPr>
        <w:t>0</w:t>
      </w:r>
      <w:r>
        <w:rPr>
          <w:rFonts w:hint="eastAsia" w:ascii="Times New Roman" w:eastAsia="方正仿宋_GBK"/>
          <w:sz w:val="32"/>
          <w:szCs w:val="32"/>
        </w:rPr>
        <w:t>91.71～K0+120.74段亲水平台高程为175.00m～183.00m；桩号K0+120.74～K0+958.28段高程为175.00m，亲水平台宽度为3m。在高程183.00m和190.00m处设置马道，宽度分别为3m和2m，</w:t>
      </w:r>
      <w:r>
        <w:rPr>
          <w:rFonts w:hint="eastAsia"/>
          <w:sz w:val="32"/>
          <w:szCs w:val="32"/>
          <w:lang w:eastAsia="zh-CN"/>
        </w:rPr>
        <w:t>三</w:t>
      </w:r>
      <w:r>
        <w:rPr>
          <w:rFonts w:hint="eastAsia" w:ascii="Times New Roman" w:eastAsia="方正仿宋_GBK"/>
          <w:sz w:val="32"/>
          <w:szCs w:val="32"/>
        </w:rPr>
        <w:t>级斜坡坡比由下至上分别为1</w:t>
      </w:r>
      <w:r>
        <w:rPr>
          <w:rFonts w:hint="eastAsia"/>
          <w:sz w:val="32"/>
          <w:szCs w:val="32"/>
          <w:lang w:val="en-US" w:eastAsia="zh-CN"/>
        </w:rPr>
        <w:t>:</w:t>
      </w:r>
      <w:r>
        <w:rPr>
          <w:rFonts w:hint="eastAsia" w:ascii="Times New Roman" w:eastAsia="方正仿宋_GBK"/>
          <w:sz w:val="32"/>
          <w:szCs w:val="32"/>
        </w:rPr>
        <w:t>2.0</w:t>
      </w:r>
      <w:r>
        <w:rPr>
          <w:rFonts w:hint="eastAsia"/>
          <w:sz w:val="32"/>
          <w:szCs w:val="32"/>
          <w:lang w:val="en-US" w:eastAsia="zh-CN"/>
        </w:rPr>
        <w:t>~</w:t>
      </w:r>
      <w:r>
        <w:rPr>
          <w:rFonts w:hint="eastAsia" w:ascii="Times New Roman" w:eastAsia="方正仿宋_GBK"/>
          <w:sz w:val="32"/>
          <w:szCs w:val="32"/>
        </w:rPr>
        <w:t>1</w:t>
      </w:r>
      <w:r>
        <w:rPr>
          <w:rFonts w:hint="eastAsia"/>
          <w:sz w:val="32"/>
          <w:szCs w:val="32"/>
          <w:lang w:val="en-US" w:eastAsia="zh-CN"/>
        </w:rPr>
        <w:t>:</w:t>
      </w:r>
      <w:r>
        <w:rPr>
          <w:rFonts w:hint="eastAsia" w:ascii="Times New Roman" w:eastAsia="方正仿宋_GBK"/>
          <w:sz w:val="32"/>
          <w:szCs w:val="32"/>
        </w:rPr>
        <w:t>3.0、1</w:t>
      </w:r>
      <w:r>
        <w:rPr>
          <w:rFonts w:hint="eastAsia"/>
          <w:sz w:val="32"/>
          <w:szCs w:val="32"/>
          <w:lang w:val="en-US" w:eastAsia="zh-CN"/>
        </w:rPr>
        <w:t>:</w:t>
      </w:r>
      <w:r>
        <w:rPr>
          <w:rFonts w:hint="eastAsia" w:ascii="Times New Roman" w:eastAsia="方正仿宋_GBK"/>
          <w:sz w:val="32"/>
          <w:szCs w:val="32"/>
        </w:rPr>
        <w:t>2.5</w:t>
      </w:r>
      <w:r>
        <w:rPr>
          <w:rFonts w:hint="eastAsia"/>
          <w:sz w:val="32"/>
          <w:szCs w:val="32"/>
          <w:lang w:val="en-US" w:eastAsia="zh-CN"/>
        </w:rPr>
        <w:t>~</w:t>
      </w:r>
      <w:r>
        <w:rPr>
          <w:rFonts w:hint="eastAsia" w:ascii="Times New Roman" w:eastAsia="方正仿宋_GBK"/>
          <w:sz w:val="32"/>
          <w:szCs w:val="32"/>
        </w:rPr>
        <w:t>1</w:t>
      </w:r>
      <w:r>
        <w:rPr>
          <w:rFonts w:hint="eastAsia"/>
          <w:sz w:val="32"/>
          <w:szCs w:val="32"/>
          <w:lang w:val="en-US" w:eastAsia="zh-CN"/>
        </w:rPr>
        <w:t>:</w:t>
      </w:r>
      <w:r>
        <w:rPr>
          <w:rFonts w:hint="eastAsia" w:ascii="Times New Roman" w:eastAsia="方正仿宋_GBK"/>
          <w:sz w:val="32"/>
          <w:szCs w:val="32"/>
        </w:rPr>
        <w:t>3.0、1</w:t>
      </w:r>
      <w:r>
        <w:rPr>
          <w:rFonts w:hint="eastAsia"/>
          <w:sz w:val="32"/>
          <w:szCs w:val="32"/>
          <w:lang w:val="en-US" w:eastAsia="zh-CN"/>
        </w:rPr>
        <w:t>:</w:t>
      </w:r>
      <w:r>
        <w:rPr>
          <w:rFonts w:hint="eastAsia" w:ascii="Times New Roman" w:eastAsia="方正仿宋_GBK"/>
          <w:sz w:val="32"/>
          <w:szCs w:val="32"/>
        </w:rPr>
        <w:t>3.0，护坡材料190</w:t>
      </w:r>
      <w:r>
        <w:rPr>
          <w:rFonts w:hint="eastAsia"/>
          <w:sz w:val="32"/>
          <w:szCs w:val="32"/>
          <w:lang w:val="en-US" w:eastAsia="zh-CN"/>
        </w:rPr>
        <w:t>.00</w:t>
      </w:r>
      <w:r>
        <w:rPr>
          <w:rFonts w:hint="eastAsia" w:ascii="Times New Roman" w:eastAsia="方正仿宋_GBK"/>
          <w:sz w:val="32"/>
          <w:szCs w:val="32"/>
        </w:rPr>
        <w:t>m以下采用</w:t>
      </w:r>
      <w:r>
        <w:rPr>
          <w:rFonts w:hint="eastAsia"/>
          <w:sz w:val="32"/>
          <w:szCs w:val="32"/>
          <w:lang w:eastAsia="zh-CN"/>
        </w:rPr>
        <w:t>“</w:t>
      </w:r>
      <w:r>
        <w:rPr>
          <w:rFonts w:hint="eastAsia" w:ascii="Times New Roman" w:eastAsia="方正仿宋_GBK"/>
          <w:sz w:val="32"/>
          <w:szCs w:val="32"/>
        </w:rPr>
        <w:t>砼框格+干砌块石</w:t>
      </w:r>
      <w:r>
        <w:rPr>
          <w:rFonts w:hint="eastAsia"/>
          <w:sz w:val="32"/>
          <w:szCs w:val="32"/>
          <w:lang w:eastAsia="zh-CN"/>
        </w:rPr>
        <w:t>”</w:t>
      </w:r>
      <w:r>
        <w:rPr>
          <w:rFonts w:hint="eastAsia" w:ascii="Times New Roman" w:eastAsia="方正仿宋_GBK"/>
          <w:sz w:val="32"/>
          <w:szCs w:val="32"/>
        </w:rPr>
        <w:t>护坡，190</w:t>
      </w:r>
      <w:r>
        <w:rPr>
          <w:rFonts w:hint="eastAsia"/>
          <w:sz w:val="32"/>
          <w:szCs w:val="32"/>
          <w:lang w:val="en-US" w:eastAsia="zh-CN"/>
        </w:rPr>
        <w:t>.00</w:t>
      </w:r>
      <w:r>
        <w:rPr>
          <w:rFonts w:hint="eastAsia" w:ascii="Times New Roman" w:eastAsia="方正仿宋_GBK"/>
          <w:sz w:val="32"/>
          <w:szCs w:val="32"/>
        </w:rPr>
        <w:t>m以上采用</w:t>
      </w:r>
      <w:r>
        <w:rPr>
          <w:rFonts w:hint="eastAsia"/>
          <w:sz w:val="32"/>
          <w:szCs w:val="32"/>
          <w:lang w:eastAsia="zh-CN"/>
        </w:rPr>
        <w:t>“</w:t>
      </w:r>
      <w:r>
        <w:rPr>
          <w:rFonts w:hint="eastAsia" w:ascii="Times New Roman" w:eastAsia="方正仿宋_GBK"/>
          <w:sz w:val="32"/>
          <w:szCs w:val="32"/>
        </w:rPr>
        <w:t>砼框格+植草</w:t>
      </w:r>
      <w:r>
        <w:rPr>
          <w:rFonts w:hint="eastAsia"/>
          <w:sz w:val="32"/>
          <w:szCs w:val="32"/>
          <w:lang w:eastAsia="zh-CN"/>
        </w:rPr>
        <w:t>”</w:t>
      </w:r>
      <w:r>
        <w:rPr>
          <w:rFonts w:hint="eastAsia" w:ascii="Times New Roman" w:eastAsia="方正仿宋_GBK"/>
          <w:sz w:val="32"/>
          <w:szCs w:val="32"/>
        </w:rPr>
        <w:t>护坡；护岸体195</w:t>
      </w:r>
      <w:r>
        <w:rPr>
          <w:rFonts w:hint="eastAsia"/>
          <w:sz w:val="32"/>
          <w:szCs w:val="32"/>
          <w:lang w:val="en-US" w:eastAsia="zh-CN"/>
        </w:rPr>
        <w:t>.00</w:t>
      </w:r>
      <w:r>
        <w:rPr>
          <w:rFonts w:hint="eastAsia" w:ascii="Times New Roman" w:eastAsia="方正仿宋_GBK"/>
          <w:sz w:val="32"/>
          <w:szCs w:val="32"/>
        </w:rPr>
        <w:t>m以下采用泥岩石渣料填筑，195</w:t>
      </w:r>
      <w:r>
        <w:rPr>
          <w:rFonts w:hint="eastAsia"/>
          <w:sz w:val="32"/>
          <w:szCs w:val="32"/>
          <w:lang w:val="en-US" w:eastAsia="zh-CN"/>
        </w:rPr>
        <w:t>.00</w:t>
      </w:r>
      <w:r>
        <w:rPr>
          <w:rFonts w:hint="eastAsia" w:ascii="Times New Roman" w:eastAsia="方正仿宋_GBK"/>
          <w:sz w:val="32"/>
          <w:szCs w:val="32"/>
        </w:rPr>
        <w:t>m以上采用块碎石土填筑，护岸体内设置排水盲沟。</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下阶段结合边坡稳定计算成果，复核优化各段斜坡坡比设计，尽量减少外购回填料和弃渣。</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w:t>
      </w:r>
      <w:r>
        <w:rPr>
          <w:rFonts w:hint="eastAsia"/>
          <w:sz w:val="32"/>
          <w:szCs w:val="32"/>
          <w:lang w:val="en-US" w:eastAsia="zh-CN"/>
        </w:rPr>
        <w:t>2</w:t>
      </w:r>
      <w:r>
        <w:rPr>
          <w:rFonts w:hint="eastAsia" w:ascii="Times New Roman" w:eastAsia="方正仿宋_GBK"/>
          <w:sz w:val="32"/>
          <w:szCs w:val="32"/>
        </w:rPr>
        <w:t>）护岸顶及防汛道路</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护岸顶宽6.0m，兼作防汛道路。桩号L0+000.00～L0+370.16利用施工临时道路改造而成，路面铺设材料为沥青砼</w:t>
      </w:r>
      <w:r>
        <w:rPr>
          <w:rFonts w:hint="eastAsia"/>
          <w:sz w:val="32"/>
          <w:szCs w:val="32"/>
          <w:lang w:eastAsia="zh-CN"/>
        </w:rPr>
        <w:t>；</w:t>
      </w:r>
      <w:r>
        <w:rPr>
          <w:rFonts w:hint="eastAsia" w:ascii="Times New Roman" w:eastAsia="方正仿宋_GBK"/>
          <w:sz w:val="32"/>
          <w:szCs w:val="32"/>
        </w:rPr>
        <w:t>桩号L0+370.16</w:t>
      </w:r>
      <w:r>
        <w:rPr>
          <w:rFonts w:hint="eastAsia" w:ascii="Times New Roman" w:eastAsia="方正仿宋_GBK"/>
          <w:color w:val="auto"/>
          <w:sz w:val="32"/>
          <w:szCs w:val="32"/>
          <w:highlight w:val="none"/>
        </w:rPr>
        <w:t>～L1+2</w:t>
      </w:r>
      <w:r>
        <w:rPr>
          <w:rFonts w:hint="eastAsia"/>
          <w:color w:val="auto"/>
          <w:sz w:val="32"/>
          <w:szCs w:val="32"/>
          <w:highlight w:val="none"/>
          <w:lang w:val="en-US" w:eastAsia="zh-CN"/>
        </w:rPr>
        <w:t>7</w:t>
      </w:r>
      <w:r>
        <w:rPr>
          <w:rFonts w:hint="eastAsia" w:ascii="Times New Roman" w:eastAsia="方正仿宋_GBK"/>
          <w:color w:val="auto"/>
          <w:sz w:val="32"/>
          <w:szCs w:val="32"/>
          <w:highlight w:val="none"/>
        </w:rPr>
        <w:t>4.16在</w:t>
      </w:r>
      <w:r>
        <w:rPr>
          <w:rFonts w:hint="eastAsia" w:ascii="Times New Roman" w:eastAsia="方正仿宋_GBK"/>
          <w:sz w:val="32"/>
          <w:szCs w:val="32"/>
        </w:rPr>
        <w:t>护岸顶填筑完成后铺设沥青砼路面。道路外侧设置栏杆，高度</w:t>
      </w:r>
      <w:r>
        <w:rPr>
          <w:rFonts w:hint="eastAsia"/>
          <w:sz w:val="32"/>
          <w:szCs w:val="32"/>
          <w:lang w:eastAsia="zh-CN"/>
        </w:rPr>
        <w:t>为</w:t>
      </w:r>
      <w:r>
        <w:rPr>
          <w:rFonts w:hint="eastAsia" w:ascii="Times New Roman" w:eastAsia="方正仿宋_GBK"/>
          <w:sz w:val="32"/>
          <w:szCs w:val="32"/>
        </w:rPr>
        <w:t>1.2m</w:t>
      </w:r>
      <w:r>
        <w:rPr>
          <w:rFonts w:hint="eastAsia"/>
          <w:sz w:val="32"/>
          <w:szCs w:val="32"/>
          <w:lang w:eastAsia="zh-CN"/>
        </w:rPr>
        <w:t>；</w:t>
      </w:r>
      <w:r>
        <w:rPr>
          <w:rFonts w:hint="eastAsia" w:ascii="Times New Roman" w:eastAsia="方正仿宋_GBK"/>
          <w:sz w:val="32"/>
          <w:szCs w:val="32"/>
        </w:rPr>
        <w:t>道路内侧设置C20砼排水沟。</w:t>
      </w:r>
    </w:p>
    <w:p>
      <w:pPr>
        <w:snapToGrid w:val="0"/>
        <w:spacing w:line="594" w:lineRule="exact"/>
        <w:ind w:firstLine="643" w:firstLineChars="200"/>
        <w:rPr>
          <w:rFonts w:hint="eastAsia" w:ascii="Times New Roman" w:eastAsia="方正仿宋_GBK"/>
          <w:b/>
          <w:bCs/>
          <w:sz w:val="32"/>
          <w:szCs w:val="32"/>
          <w:lang w:eastAsia="zh-CN"/>
        </w:rPr>
      </w:pPr>
      <w:r>
        <w:rPr>
          <w:rFonts w:hint="eastAsia" w:ascii="Times New Roman" w:eastAsia="方正仿宋_GBK"/>
          <w:b/>
          <w:bCs/>
          <w:sz w:val="32"/>
          <w:szCs w:val="32"/>
        </w:rPr>
        <w:t>2</w:t>
      </w:r>
      <w:r>
        <w:rPr>
          <w:rFonts w:hint="eastAsia"/>
          <w:b/>
          <w:bCs/>
          <w:sz w:val="32"/>
          <w:szCs w:val="32"/>
          <w:lang w:val="en-US" w:eastAsia="zh-CN"/>
        </w:rPr>
        <w:t>.</w:t>
      </w:r>
      <w:r>
        <w:rPr>
          <w:rFonts w:hint="eastAsia" w:ascii="Times New Roman" w:eastAsia="方正仿宋_GBK"/>
          <w:b/>
          <w:bCs/>
          <w:sz w:val="32"/>
          <w:szCs w:val="32"/>
        </w:rPr>
        <w:t>排水箱涵</w:t>
      </w:r>
      <w:r>
        <w:rPr>
          <w:rFonts w:hint="eastAsia"/>
          <w:b/>
          <w:bCs/>
          <w:sz w:val="32"/>
          <w:szCs w:val="32"/>
          <w:lang w:eastAsia="zh-CN"/>
        </w:rPr>
        <w:t>设计</w:t>
      </w:r>
    </w:p>
    <w:p>
      <w:pPr>
        <w:snapToGrid w:val="0"/>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基本同意排水箱涵设计。</w:t>
      </w:r>
    </w:p>
    <w:p>
      <w:pPr>
        <w:snapToGrid w:val="0"/>
        <w:spacing w:line="594" w:lineRule="exact"/>
        <w:ind w:firstLine="640" w:firstLineChars="200"/>
        <w:rPr>
          <w:rFonts w:hint="eastAsia" w:ascii="Times New Roman" w:eastAsia="方正仿宋_GBK"/>
          <w:sz w:val="32"/>
          <w:szCs w:val="32"/>
        </w:rPr>
      </w:pPr>
      <w:r>
        <w:rPr>
          <w:rFonts w:hint="eastAsia"/>
          <w:sz w:val="32"/>
          <w:szCs w:val="32"/>
          <w:lang w:eastAsia="zh-CN"/>
        </w:rPr>
        <w:t>排水</w:t>
      </w:r>
      <w:r>
        <w:rPr>
          <w:rFonts w:hint="eastAsia" w:ascii="Times New Roman" w:eastAsia="方正仿宋_GBK"/>
          <w:sz w:val="32"/>
          <w:szCs w:val="32"/>
        </w:rPr>
        <w:t>箱涵</w:t>
      </w:r>
      <w:r>
        <w:rPr>
          <w:rFonts w:hint="eastAsia"/>
          <w:sz w:val="32"/>
          <w:szCs w:val="32"/>
          <w:lang w:eastAsia="zh-CN"/>
        </w:rPr>
        <w:t>全长</w:t>
      </w:r>
      <w:r>
        <w:rPr>
          <w:rFonts w:hint="eastAsia"/>
          <w:sz w:val="32"/>
          <w:szCs w:val="32"/>
          <w:lang w:val="en-US" w:eastAsia="zh-CN"/>
        </w:rPr>
        <w:t>143.43m，</w:t>
      </w:r>
      <w:r>
        <w:rPr>
          <w:rFonts w:hint="eastAsia" w:ascii="Times New Roman" w:eastAsia="方正仿宋_GBK"/>
          <w:sz w:val="32"/>
          <w:szCs w:val="32"/>
        </w:rPr>
        <w:t>前段为</w:t>
      </w:r>
      <w:r>
        <w:rPr>
          <w:rFonts w:hint="eastAsia"/>
          <w:sz w:val="32"/>
          <w:szCs w:val="32"/>
          <w:lang w:eastAsia="zh-CN"/>
        </w:rPr>
        <w:t>长</w:t>
      </w:r>
      <w:r>
        <w:rPr>
          <w:rFonts w:hint="eastAsia" w:ascii="Times New Roman" w:eastAsia="方正仿宋_GBK"/>
          <w:sz w:val="32"/>
          <w:szCs w:val="32"/>
        </w:rPr>
        <w:t>25</w:t>
      </w:r>
      <w:r>
        <w:rPr>
          <w:rFonts w:hint="eastAsia"/>
          <w:sz w:val="32"/>
          <w:szCs w:val="32"/>
          <w:lang w:val="en-US" w:eastAsia="zh-CN"/>
        </w:rPr>
        <w:t>.00</w:t>
      </w:r>
      <w:r>
        <w:rPr>
          <w:rFonts w:hint="eastAsia" w:ascii="Times New Roman" w:eastAsia="方正仿宋_GBK"/>
          <w:sz w:val="32"/>
          <w:szCs w:val="32"/>
        </w:rPr>
        <w:t>m</w:t>
      </w:r>
      <w:r>
        <w:rPr>
          <w:rFonts w:hint="eastAsia"/>
          <w:sz w:val="32"/>
          <w:szCs w:val="32"/>
          <w:lang w:val="en-US" w:eastAsia="zh-CN"/>
        </w:rPr>
        <w:t xml:space="preserve"> </w:t>
      </w:r>
      <w:r>
        <w:rPr>
          <w:rFonts w:hint="eastAsia" w:ascii="Times New Roman" w:eastAsia="方正仿宋_GBK"/>
          <w:sz w:val="32"/>
          <w:szCs w:val="32"/>
        </w:rPr>
        <w:t>C20砼明渠段，底宽3.0m，高度3.0</w:t>
      </w:r>
      <w:r>
        <w:rPr>
          <w:rFonts w:hint="eastAsia"/>
          <w:sz w:val="32"/>
          <w:szCs w:val="32"/>
          <w:lang w:val="en-US" w:eastAsia="zh-CN"/>
        </w:rPr>
        <w:t>m</w:t>
      </w:r>
      <w:r>
        <w:rPr>
          <w:rFonts w:hint="eastAsia" w:ascii="Times New Roman" w:eastAsia="方正仿宋_GBK"/>
          <w:sz w:val="32"/>
          <w:szCs w:val="32"/>
        </w:rPr>
        <w:t>～3.5m；其后为</w:t>
      </w:r>
      <w:r>
        <w:rPr>
          <w:rFonts w:hint="eastAsia"/>
          <w:sz w:val="32"/>
          <w:szCs w:val="32"/>
          <w:lang w:eastAsia="zh-CN"/>
        </w:rPr>
        <w:t>长</w:t>
      </w:r>
      <w:r>
        <w:rPr>
          <w:rFonts w:hint="eastAsia" w:ascii="Times New Roman" w:eastAsia="方正仿宋_GBK"/>
          <w:sz w:val="32"/>
          <w:szCs w:val="32"/>
        </w:rPr>
        <w:t>118.43m</w:t>
      </w:r>
      <w:r>
        <w:rPr>
          <w:rFonts w:hint="eastAsia"/>
          <w:sz w:val="32"/>
          <w:szCs w:val="32"/>
          <w:lang w:val="en-US" w:eastAsia="zh-CN"/>
        </w:rPr>
        <w:t xml:space="preserve"> </w:t>
      </w:r>
      <w:r>
        <w:rPr>
          <w:rFonts w:hint="eastAsia" w:ascii="Times New Roman" w:eastAsia="方正仿宋_GBK"/>
          <w:sz w:val="32"/>
          <w:szCs w:val="32"/>
        </w:rPr>
        <w:t>C30钢筋砼箱涵，净空尺寸3.0m×2.8m（B×H）</w:t>
      </w:r>
      <w:r>
        <w:rPr>
          <w:rFonts w:hint="eastAsia"/>
          <w:sz w:val="32"/>
          <w:szCs w:val="32"/>
          <w:lang w:eastAsia="zh-CN"/>
        </w:rPr>
        <w:t>，</w:t>
      </w:r>
      <w:r>
        <w:rPr>
          <w:rFonts w:hint="eastAsia" w:ascii="Times New Roman" w:eastAsia="方正仿宋_GBK"/>
          <w:sz w:val="32"/>
          <w:szCs w:val="32"/>
        </w:rPr>
        <w:t>排洪建筑物进出底板高程分别为187.00m、170.00m</w:t>
      </w:r>
      <w:r>
        <w:rPr>
          <w:rFonts w:hint="eastAsia"/>
          <w:sz w:val="32"/>
          <w:szCs w:val="32"/>
          <w:lang w:eastAsia="zh-CN"/>
        </w:rPr>
        <w:t>，</w:t>
      </w:r>
      <w:r>
        <w:rPr>
          <w:rFonts w:hint="eastAsia" w:ascii="Times New Roman" w:eastAsia="方正仿宋_GBK"/>
          <w:sz w:val="32"/>
          <w:szCs w:val="32"/>
        </w:rPr>
        <w:t>箱涵纵坡2</w:t>
      </w:r>
      <w:r>
        <w:rPr>
          <w:rFonts w:hint="eastAsia"/>
          <w:sz w:val="32"/>
          <w:szCs w:val="32"/>
          <w:lang w:val="en-US" w:eastAsia="zh-CN"/>
        </w:rPr>
        <w:t>%</w:t>
      </w:r>
      <w:r>
        <w:rPr>
          <w:rFonts w:hint="eastAsia" w:ascii="Times New Roman" w:eastAsia="方正仿宋_GBK"/>
          <w:sz w:val="32"/>
          <w:szCs w:val="32"/>
        </w:rPr>
        <w:t>，在护岸顶部陆域回填区和马道高程190.0</w:t>
      </w:r>
      <w:r>
        <w:rPr>
          <w:rFonts w:hint="eastAsia"/>
          <w:sz w:val="32"/>
          <w:szCs w:val="32"/>
          <w:lang w:val="en-US" w:eastAsia="zh-CN"/>
        </w:rPr>
        <w:t>0</w:t>
      </w:r>
      <w:r>
        <w:rPr>
          <w:rFonts w:hint="eastAsia" w:ascii="Times New Roman" w:eastAsia="方正仿宋_GBK"/>
          <w:sz w:val="32"/>
          <w:szCs w:val="32"/>
        </w:rPr>
        <w:t>m处分别设1处C30钢筋砼跌水井。翼墙、消力池</w:t>
      </w:r>
      <w:r>
        <w:rPr>
          <w:rFonts w:hint="eastAsia"/>
          <w:sz w:val="32"/>
          <w:szCs w:val="32"/>
          <w:lang w:eastAsia="zh-CN"/>
        </w:rPr>
        <w:t>边墙</w:t>
      </w:r>
      <w:r>
        <w:rPr>
          <w:rFonts w:hint="eastAsia" w:ascii="Times New Roman" w:eastAsia="方正仿宋_GBK"/>
          <w:sz w:val="32"/>
          <w:szCs w:val="32"/>
        </w:rPr>
        <w:t>、护坦采用C20砼</w:t>
      </w:r>
      <w:r>
        <w:rPr>
          <w:rFonts w:hint="eastAsia"/>
          <w:sz w:val="32"/>
          <w:szCs w:val="32"/>
          <w:lang w:eastAsia="zh-CN"/>
        </w:rPr>
        <w:t>，消力池底板采用</w:t>
      </w:r>
      <w:r>
        <w:rPr>
          <w:rFonts w:hint="eastAsia"/>
          <w:sz w:val="32"/>
          <w:szCs w:val="32"/>
          <w:lang w:val="en-US" w:eastAsia="zh-CN"/>
        </w:rPr>
        <w:t>C30钢筋砼</w:t>
      </w:r>
      <w:r>
        <w:rPr>
          <w:rFonts w:hint="eastAsia" w:ascii="Times New Roman" w:eastAsia="方正仿宋_GBK"/>
          <w:sz w:val="32"/>
          <w:szCs w:val="32"/>
        </w:rPr>
        <w:t>。箱涵出口段置于基岩，其余段置于灰岩块石换填基础上，箱涵四周回填1.5m厚灰岩块石。</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）监测设计</w:t>
      </w:r>
    </w:p>
    <w:p>
      <w:pPr>
        <w:snapToGrid w:val="0"/>
        <w:spacing w:line="594" w:lineRule="exact"/>
        <w:ind w:firstLine="640" w:firstLineChars="200"/>
        <w:rPr>
          <w:rFonts w:ascii="Times New Roman" w:eastAsia="方正仿宋_GBK"/>
          <w:sz w:val="32"/>
          <w:szCs w:val="32"/>
        </w:rPr>
      </w:pPr>
      <w:r>
        <w:rPr>
          <w:rFonts w:hint="eastAsia" w:ascii="Times New Roman" w:eastAsia="方正仿宋_GBK"/>
          <w:sz w:val="32"/>
          <w:szCs w:val="32"/>
        </w:rPr>
        <w:t>基本同意监测设计。主要设置位移、渗压、水位等监测设施。</w:t>
      </w:r>
      <w:bookmarkEnd w:id="1"/>
    </w:p>
    <w:p>
      <w:pPr>
        <w:tabs>
          <w:tab w:val="left" w:pos="6113"/>
        </w:tabs>
        <w:spacing w:line="594" w:lineRule="atLeast"/>
        <w:ind w:firstLine="640" w:firstLineChars="200"/>
        <w:rPr>
          <w:rFonts w:hint="eastAsia" w:ascii="方正仿宋_GBK" w:eastAsia="方正仿宋_GBK"/>
          <w:b w:val="0"/>
          <w:bCs w:val="0"/>
          <w:sz w:val="32"/>
          <w:szCs w:val="32"/>
        </w:rPr>
      </w:pPr>
      <w:r>
        <w:rPr>
          <w:rFonts w:hint="eastAsia" w:ascii="方正黑体_GBK" w:hAnsi="宋体" w:eastAsia="方正黑体_GBK"/>
          <w:b w:val="0"/>
          <w:bCs w:val="0"/>
          <w:sz w:val="32"/>
          <w:szCs w:val="32"/>
        </w:rPr>
        <w:t>五、</w:t>
      </w:r>
      <w:r>
        <w:rPr>
          <w:rFonts w:hint="eastAsia" w:ascii="方正黑体_GBK" w:eastAsia="方正黑体_GBK"/>
          <w:b w:val="0"/>
          <w:bCs w:val="0"/>
          <w:sz w:val="32"/>
          <w:szCs w:val="32"/>
        </w:rPr>
        <w:t>施工组织设计</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（一）施工条件</w:t>
      </w:r>
    </w:p>
    <w:p>
      <w:pPr>
        <w:spacing w:line="594" w:lineRule="exact"/>
        <w:rPr>
          <w:rFonts w:ascii="Times New Roman" w:eastAsia="方正仿宋_GBK"/>
          <w:sz w:val="32"/>
          <w:szCs w:val="32"/>
        </w:rPr>
      </w:pPr>
      <w:r>
        <w:rPr>
          <w:rFonts w:ascii="Times New Roman" w:eastAsia="方正仿宋_GBK"/>
          <w:sz w:val="32"/>
          <w:szCs w:val="32"/>
        </w:rPr>
        <w:t>施工条件</w:t>
      </w:r>
      <w:r>
        <w:rPr>
          <w:rFonts w:hint="eastAsia"/>
          <w:sz w:val="32"/>
          <w:szCs w:val="32"/>
          <w:lang w:eastAsia="zh-CN"/>
        </w:rPr>
        <w:t>描述基本</w:t>
      </w:r>
      <w:r>
        <w:rPr>
          <w:rFonts w:ascii="Times New Roman" w:eastAsia="方正仿宋_GBK"/>
          <w:sz w:val="32"/>
          <w:szCs w:val="32"/>
        </w:rPr>
        <w:t>清楚。</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（二）料场的选择与开采</w:t>
      </w:r>
    </w:p>
    <w:p>
      <w:pPr>
        <w:spacing w:line="594" w:lineRule="exact"/>
        <w:ind w:firstLine="640" w:firstLineChars="200"/>
        <w:rPr>
          <w:rFonts w:hint="eastAsia" w:ascii="Times New Roman" w:eastAsia="方正仿宋_GBK"/>
          <w:sz w:val="32"/>
          <w:szCs w:val="32"/>
          <w:lang w:eastAsia="zh-CN"/>
        </w:rPr>
      </w:pPr>
      <w:r>
        <w:rPr>
          <w:rFonts w:ascii="Times New Roman" w:eastAsia="方正仿宋_GBK"/>
          <w:sz w:val="32"/>
          <w:szCs w:val="32"/>
        </w:rPr>
        <w:t>基本同意</w:t>
      </w:r>
      <w:r>
        <w:rPr>
          <w:rFonts w:hint="eastAsia" w:ascii="Times New Roman" w:eastAsia="方正仿宋_GBK"/>
          <w:sz w:val="32"/>
          <w:szCs w:val="32"/>
        </w:rPr>
        <w:t>料源规划。工程所需混凝土</w:t>
      </w:r>
      <w:r>
        <w:rPr>
          <w:rFonts w:hint="eastAsia"/>
          <w:sz w:val="32"/>
          <w:szCs w:val="32"/>
          <w:lang w:eastAsia="zh-CN"/>
        </w:rPr>
        <w:t>采用商品砼</w:t>
      </w:r>
      <w:r>
        <w:rPr>
          <w:rFonts w:hint="eastAsia" w:ascii="Times New Roman" w:eastAsia="方正仿宋_GBK"/>
          <w:sz w:val="32"/>
          <w:szCs w:val="32"/>
        </w:rPr>
        <w:t>，综合运距14km；所需碎石料、砂料和块石料在</w:t>
      </w:r>
      <w:r>
        <w:rPr>
          <w:rFonts w:hint="eastAsia"/>
          <w:sz w:val="32"/>
          <w:szCs w:val="32"/>
          <w:lang w:eastAsia="zh-CN"/>
        </w:rPr>
        <w:t>巴南区姜家镇</w:t>
      </w:r>
      <w:r>
        <w:rPr>
          <w:rFonts w:hint="eastAsia" w:ascii="Times New Roman" w:eastAsia="方正仿宋_GBK"/>
          <w:sz w:val="32"/>
          <w:szCs w:val="32"/>
        </w:rPr>
        <w:t>购买，综合运距70km；陆域回填料、种植土均利用开挖料，综合运距1km；堤体石渣回填料主要采用巴南区高职城二期二组团土地整治项目平场弃渣料，综合运距20km</w:t>
      </w:r>
      <w:r>
        <w:rPr>
          <w:rFonts w:ascii="Times New Roman" w:eastAsia="方正仿宋_GBK"/>
          <w:sz w:val="32"/>
          <w:szCs w:val="32"/>
        </w:rPr>
        <w:t>。</w:t>
      </w:r>
      <w:r>
        <w:rPr>
          <w:rFonts w:hint="eastAsia"/>
          <w:sz w:val="32"/>
          <w:szCs w:val="32"/>
          <w:lang w:eastAsia="zh-CN"/>
        </w:rPr>
        <w:t>根据《重庆市渝兴建设投资有限公司关于提供重庆市巴南区长江佛耳岩河段防洪护岸综合整治工程（二期）料源的复函》，</w:t>
      </w:r>
      <w:r>
        <w:rPr>
          <w:rFonts w:hint="eastAsia" w:ascii="Times New Roman" w:eastAsia="方正仿宋_GBK"/>
          <w:sz w:val="32"/>
          <w:szCs w:val="32"/>
        </w:rPr>
        <w:t>巴南区高职城二期二组团土地整治项目</w:t>
      </w:r>
      <w:r>
        <w:rPr>
          <w:rFonts w:hint="eastAsia"/>
          <w:sz w:val="32"/>
          <w:szCs w:val="32"/>
          <w:lang w:eastAsia="zh-CN"/>
        </w:rPr>
        <w:t>与本工程施工时序基本同步，满足本工程要求。下阶段应进一步协调落实好该项目与本工程施工时序同步需求。</w:t>
      </w:r>
      <w:r>
        <w:rPr>
          <w:rFonts w:hint="eastAsia" w:ascii="Times New Roman" w:eastAsia="方正仿宋_GBK"/>
          <w:kern w:val="0"/>
          <w:sz w:val="32"/>
          <w:szCs w:val="32"/>
        </w:rPr>
        <w:t>项目施工期如</w:t>
      </w:r>
      <w:r>
        <w:rPr>
          <w:rFonts w:hint="eastAsia"/>
          <w:kern w:val="0"/>
          <w:sz w:val="32"/>
          <w:szCs w:val="32"/>
          <w:lang w:eastAsia="zh-CN"/>
        </w:rPr>
        <w:t>工程区</w:t>
      </w:r>
      <w:r>
        <w:rPr>
          <w:rFonts w:hint="eastAsia" w:ascii="Times New Roman" w:eastAsia="方正仿宋_GBK"/>
          <w:kern w:val="0"/>
          <w:sz w:val="32"/>
          <w:szCs w:val="32"/>
          <w:highlight w:val="none"/>
        </w:rPr>
        <w:t>附近20km范围</w:t>
      </w:r>
      <w:r>
        <w:rPr>
          <w:rFonts w:hint="eastAsia" w:ascii="Times New Roman" w:eastAsia="方正仿宋_GBK"/>
          <w:kern w:val="0"/>
          <w:sz w:val="32"/>
          <w:szCs w:val="32"/>
        </w:rPr>
        <w:t>内有新的工程弃渣，在质量满足本项目石渣料要求的前提下，可作为本工程回填石渣料备用料场。</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（三）施工导流</w:t>
      </w:r>
    </w:p>
    <w:p>
      <w:pPr>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基本同意导流建筑物级别为4级。施工导流标准应为10年一遇洪水标准。导流时段拟定为1月</w:t>
      </w:r>
      <w:r>
        <w:rPr>
          <w:rFonts w:hint="default"/>
          <w:sz w:val="32"/>
          <w:szCs w:val="32"/>
          <w:lang w:val="en"/>
        </w:rPr>
        <w:t>~</w:t>
      </w:r>
      <w:r>
        <w:rPr>
          <w:rFonts w:hint="eastAsia" w:ascii="Times New Roman" w:eastAsia="方正仿宋_GBK"/>
          <w:sz w:val="32"/>
          <w:szCs w:val="32"/>
        </w:rPr>
        <w:t>5月。因按10年一遇洪水水位计算的围堰最大高度达17.20m，填筑量大</w:t>
      </w:r>
      <w:r>
        <w:rPr>
          <w:rFonts w:hint="eastAsia"/>
          <w:sz w:val="32"/>
          <w:szCs w:val="32"/>
          <w:lang w:eastAsia="zh-CN"/>
        </w:rPr>
        <w:t>、</w:t>
      </w:r>
      <w:r>
        <w:rPr>
          <w:rFonts w:hint="eastAsia" w:ascii="Times New Roman" w:eastAsia="方正仿宋_GBK"/>
          <w:sz w:val="32"/>
          <w:szCs w:val="32"/>
        </w:rPr>
        <w:t>工期长</w:t>
      </w:r>
      <w:r>
        <w:rPr>
          <w:rFonts w:hint="eastAsia"/>
          <w:sz w:val="32"/>
          <w:szCs w:val="32"/>
          <w:lang w:eastAsia="zh-CN"/>
        </w:rPr>
        <w:t>、</w:t>
      </w:r>
      <w:r>
        <w:rPr>
          <w:rFonts w:hint="eastAsia" w:ascii="Times New Roman" w:eastAsia="方正仿宋_GBK"/>
          <w:sz w:val="32"/>
          <w:szCs w:val="32"/>
        </w:rPr>
        <w:t>投资较大，设计采用钓二嘴水位站资料进行推算：将钓二嘴水位站2010年～2021年各月平均水位推算至工程河段，得到工程河段枯水期逐月平均水位</w:t>
      </w:r>
      <w:r>
        <w:rPr>
          <w:rFonts w:hint="eastAsia"/>
          <w:sz w:val="32"/>
          <w:szCs w:val="32"/>
          <w:lang w:eastAsia="zh-CN"/>
        </w:rPr>
        <w:t>，</w:t>
      </w:r>
      <w:r>
        <w:rPr>
          <w:rFonts w:hint="eastAsia" w:ascii="Times New Roman" w:eastAsia="方正仿宋_GBK"/>
          <w:sz w:val="32"/>
          <w:szCs w:val="32"/>
        </w:rPr>
        <w:t>并收集了钓二嘴水位站2010年～2021年1月～5月逐月最高水位资料推算至工程河段，得到工程河段1月～5月逐月最高水位，只有2018年5月最高水位超过了按月平均水位计算的围堰顶高程。经设计分析，推荐施工围堰采用月平均水位设计并辅以预报预警及时撤离等措施，基本合理。</w:t>
      </w:r>
    </w:p>
    <w:p>
      <w:pPr>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施工度汛采用20年一遇洪水标准基本合适。</w:t>
      </w:r>
    </w:p>
    <w:p>
      <w:pPr>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基本同意导流方式、导流时段和导流建筑物设计。护岸工程导流方式为岸边围堰挡水、原河床过流。</w:t>
      </w:r>
    </w:p>
    <w:p>
      <w:pPr>
        <w:spacing w:line="594" w:lineRule="exact"/>
        <w:ind w:firstLine="640" w:firstLineChars="200"/>
        <w:rPr>
          <w:rFonts w:ascii="Times New Roman" w:eastAsia="方正仿宋_GBK"/>
          <w:sz w:val="32"/>
          <w:szCs w:val="32"/>
        </w:rPr>
      </w:pPr>
      <w:r>
        <w:rPr>
          <w:rFonts w:hint="eastAsia" w:ascii="Times New Roman" w:eastAsia="方正仿宋_GBK"/>
          <w:sz w:val="32"/>
          <w:szCs w:val="32"/>
        </w:rPr>
        <w:t>下阶段应进一步作好施工时序和进度安排，确保导流和度汛安全。</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（四）主体工程施工</w:t>
      </w:r>
    </w:p>
    <w:p>
      <w:pPr>
        <w:spacing w:line="594" w:lineRule="exact"/>
        <w:ind w:firstLine="640" w:firstLineChars="200"/>
        <w:rPr>
          <w:rFonts w:ascii="Times New Roman" w:eastAsia="方正仿宋_GBK"/>
          <w:sz w:val="32"/>
          <w:szCs w:val="32"/>
        </w:rPr>
      </w:pPr>
      <w:r>
        <w:rPr>
          <w:rFonts w:ascii="Times New Roman" w:eastAsia="方正仿宋_GBK"/>
          <w:sz w:val="32"/>
          <w:szCs w:val="32"/>
        </w:rPr>
        <w:t>基本同意</w:t>
      </w:r>
      <w:r>
        <w:rPr>
          <w:rFonts w:hint="eastAsia" w:ascii="Times New Roman" w:eastAsia="方正仿宋_GBK"/>
          <w:sz w:val="32"/>
          <w:szCs w:val="32"/>
        </w:rPr>
        <w:t>主体工程施工方法及主要施工机械设备配置</w:t>
      </w:r>
      <w:r>
        <w:rPr>
          <w:rFonts w:ascii="Times New Roman" w:eastAsia="方正仿宋_GBK"/>
          <w:sz w:val="32"/>
          <w:szCs w:val="32"/>
        </w:rPr>
        <w:t>。</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（五）施工交通运输</w:t>
      </w:r>
    </w:p>
    <w:p>
      <w:pPr>
        <w:spacing w:line="594" w:lineRule="exact"/>
        <w:ind w:firstLine="640" w:firstLineChars="200"/>
        <w:rPr>
          <w:rFonts w:ascii="Times New Roman" w:eastAsia="方正仿宋_GBK"/>
          <w:sz w:val="32"/>
          <w:szCs w:val="32"/>
        </w:rPr>
      </w:pPr>
      <w:r>
        <w:rPr>
          <w:rFonts w:ascii="Times New Roman" w:eastAsia="方正仿宋_GBK"/>
          <w:sz w:val="32"/>
          <w:szCs w:val="32"/>
        </w:rPr>
        <w:t>基本同意</w:t>
      </w:r>
      <w:r>
        <w:rPr>
          <w:rFonts w:hint="eastAsia" w:ascii="Times New Roman" w:eastAsia="方正仿宋_GBK"/>
          <w:sz w:val="32"/>
          <w:szCs w:val="32"/>
        </w:rPr>
        <w:t>选择的场外交通运输方案、场内交通布置方案</w:t>
      </w:r>
      <w:r>
        <w:rPr>
          <w:rFonts w:ascii="Times New Roman" w:eastAsia="方正仿宋_GBK"/>
          <w:sz w:val="32"/>
          <w:szCs w:val="32"/>
        </w:rPr>
        <w:t>。</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（六）施工总布置</w:t>
      </w:r>
    </w:p>
    <w:p>
      <w:pPr>
        <w:spacing w:line="594" w:lineRule="exact"/>
        <w:ind w:firstLine="640" w:firstLineChars="200"/>
        <w:rPr>
          <w:rFonts w:hint="eastAsia" w:ascii="Times New Roman" w:eastAsia="方正仿宋_GBK"/>
          <w:sz w:val="32"/>
          <w:szCs w:val="32"/>
        </w:rPr>
      </w:pPr>
      <w:r>
        <w:rPr>
          <w:rFonts w:ascii="Times New Roman" w:eastAsia="方正仿宋_GBK"/>
          <w:sz w:val="32"/>
          <w:szCs w:val="32"/>
        </w:rPr>
        <w:t>基本同意</w:t>
      </w:r>
      <w:r>
        <w:rPr>
          <w:rFonts w:hint="eastAsia" w:ascii="Times New Roman" w:eastAsia="方正仿宋_GBK"/>
          <w:sz w:val="32"/>
          <w:szCs w:val="32"/>
        </w:rPr>
        <w:t>施工分区、施工工厂设施及施工布置方案。</w:t>
      </w:r>
    </w:p>
    <w:p>
      <w:pPr>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基本同意土石方平衡及弃渣规划。</w:t>
      </w:r>
    </w:p>
    <w:p>
      <w:pPr>
        <w:spacing w:line="594" w:lineRule="exact"/>
        <w:ind w:firstLine="640" w:firstLineChars="200"/>
        <w:rPr>
          <w:rFonts w:ascii="Times New Roman" w:eastAsia="方正仿宋_GBK"/>
          <w:sz w:val="32"/>
          <w:szCs w:val="32"/>
        </w:rPr>
      </w:pPr>
      <w:r>
        <w:rPr>
          <w:rFonts w:hint="eastAsia" w:ascii="Times New Roman" w:eastAsia="方正仿宋_GBK"/>
          <w:sz w:val="32"/>
          <w:szCs w:val="32"/>
        </w:rPr>
        <w:t>施工临时占地47.0亩，其中在永久征地红线外施工临时占地1.26亩，在永久征地红线内45.74亩</w:t>
      </w:r>
      <w:r>
        <w:rPr>
          <w:rFonts w:ascii="Times New Roman" w:eastAsia="方正仿宋_GBK"/>
          <w:sz w:val="32"/>
          <w:szCs w:val="32"/>
        </w:rPr>
        <w:t>。</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）施工总进度</w:t>
      </w:r>
    </w:p>
    <w:p>
      <w:pPr>
        <w:spacing w:line="594" w:lineRule="exact"/>
        <w:ind w:firstLine="600"/>
        <w:rPr>
          <w:rFonts w:ascii="Times New Roman" w:eastAsia="方正仿宋_GBK"/>
          <w:sz w:val="32"/>
          <w:szCs w:val="32"/>
        </w:rPr>
      </w:pPr>
      <w:r>
        <w:rPr>
          <w:rFonts w:ascii="Times New Roman" w:eastAsia="方正仿宋_GBK"/>
          <w:sz w:val="32"/>
          <w:szCs w:val="32"/>
        </w:rPr>
        <w:t>基本同意</w:t>
      </w:r>
      <w:r>
        <w:rPr>
          <w:rFonts w:hint="eastAsia" w:ascii="Times New Roman" w:eastAsia="方正仿宋_GBK"/>
          <w:sz w:val="32"/>
          <w:szCs w:val="32"/>
        </w:rPr>
        <w:t>施工进度编制依据和原则，施工总工期19个月</w:t>
      </w:r>
      <w:r>
        <w:rPr>
          <w:rFonts w:ascii="Times New Roman" w:eastAsia="方正仿宋_GBK"/>
          <w:sz w:val="32"/>
          <w:szCs w:val="32"/>
        </w:rPr>
        <w:t>。</w:t>
      </w:r>
    </w:p>
    <w:p>
      <w:pPr>
        <w:spacing w:line="594" w:lineRule="atLeas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lang w:eastAsia="zh-CN"/>
        </w:rPr>
        <w:t>六</w:t>
      </w:r>
      <w:r>
        <w:rPr>
          <w:rFonts w:hint="eastAsia" w:ascii="方正黑体_GBK" w:hAnsi="宋体" w:eastAsia="方正黑体_GBK"/>
          <w:sz w:val="32"/>
          <w:szCs w:val="32"/>
        </w:rPr>
        <w:t>、建设征地与移民安置</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（一）建设征地处理范围</w:t>
      </w:r>
    </w:p>
    <w:p>
      <w:pPr>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基本同意建设征地处理范围界定。</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（二）实物调查</w:t>
      </w:r>
    </w:p>
    <w:p>
      <w:pPr>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1</w:t>
      </w:r>
      <w:r>
        <w:rPr>
          <w:rFonts w:hint="eastAsia"/>
          <w:sz w:val="32"/>
          <w:szCs w:val="32"/>
          <w:lang w:eastAsia="zh-CN"/>
        </w:rPr>
        <w:t>.</w:t>
      </w:r>
      <w:r>
        <w:rPr>
          <w:rFonts w:hint="eastAsia" w:ascii="Times New Roman" w:eastAsia="方正仿宋_GBK"/>
          <w:sz w:val="32"/>
          <w:szCs w:val="32"/>
        </w:rPr>
        <w:t>基本同意实物指标调查方法。</w:t>
      </w:r>
    </w:p>
    <w:p>
      <w:pPr>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2</w:t>
      </w:r>
      <w:r>
        <w:rPr>
          <w:rFonts w:hint="eastAsia"/>
          <w:sz w:val="32"/>
          <w:szCs w:val="32"/>
          <w:lang w:eastAsia="zh-CN"/>
        </w:rPr>
        <w:t>.</w:t>
      </w:r>
      <w:r>
        <w:rPr>
          <w:rFonts w:hint="eastAsia" w:ascii="Times New Roman" w:eastAsia="方正仿宋_GBK"/>
          <w:sz w:val="32"/>
          <w:szCs w:val="32"/>
        </w:rPr>
        <w:t>基本同意实物调查成果，工程永久征地134.99亩，其中</w:t>
      </w:r>
      <w:r>
        <w:rPr>
          <w:rFonts w:hint="eastAsia"/>
          <w:sz w:val="32"/>
          <w:szCs w:val="32"/>
          <w:lang w:eastAsia="zh-CN"/>
        </w:rPr>
        <w:t>：</w:t>
      </w:r>
      <w:r>
        <w:rPr>
          <w:rFonts w:hint="eastAsia" w:ascii="Times New Roman" w:eastAsia="方正仿宋_GBK"/>
          <w:sz w:val="32"/>
          <w:szCs w:val="32"/>
        </w:rPr>
        <w:t>国有已征土地85.76亩，集体土地49.23亩（含耕地27.06亩，林地16.09亩，住宅用地0.54亩，其他土地5.54亩）</w:t>
      </w:r>
      <w:r>
        <w:rPr>
          <w:rFonts w:hint="eastAsia"/>
          <w:sz w:val="32"/>
          <w:szCs w:val="32"/>
          <w:lang w:eastAsia="zh-CN"/>
        </w:rPr>
        <w:t>，</w:t>
      </w:r>
      <w:r>
        <w:rPr>
          <w:rFonts w:hint="eastAsia" w:ascii="Times New Roman" w:eastAsia="方正仿宋_GBK"/>
          <w:sz w:val="32"/>
          <w:szCs w:val="32"/>
        </w:rPr>
        <w:t>临时占地1.26亩（含耕地0.38亩，林地0.88亩）。</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（三）征地移民安置</w:t>
      </w:r>
    </w:p>
    <w:p>
      <w:pPr>
        <w:spacing w:line="594" w:lineRule="exact"/>
        <w:ind w:firstLine="640" w:firstLineChars="200"/>
        <w:rPr>
          <w:rFonts w:hint="eastAsia" w:ascii="Times New Roman" w:eastAsia="方正仿宋_GBK"/>
          <w:sz w:val="32"/>
          <w:szCs w:val="32"/>
          <w:lang w:eastAsia="zh-CN"/>
        </w:rPr>
      </w:pPr>
      <w:r>
        <w:rPr>
          <w:rFonts w:hint="eastAsia" w:ascii="Times New Roman" w:eastAsia="方正仿宋_GBK"/>
          <w:sz w:val="32"/>
          <w:szCs w:val="32"/>
        </w:rPr>
        <w:t>1</w:t>
      </w:r>
      <w:r>
        <w:rPr>
          <w:rFonts w:hint="eastAsia"/>
          <w:sz w:val="32"/>
          <w:szCs w:val="32"/>
          <w:lang w:eastAsia="zh-CN"/>
        </w:rPr>
        <w:t>.</w:t>
      </w:r>
      <w:r>
        <w:rPr>
          <w:rFonts w:hint="eastAsia" w:ascii="Times New Roman" w:eastAsia="方正仿宋_GBK"/>
          <w:sz w:val="32"/>
          <w:szCs w:val="32"/>
        </w:rPr>
        <w:t>基本同意移民安置方式</w:t>
      </w:r>
      <w:r>
        <w:rPr>
          <w:rFonts w:hint="eastAsia"/>
          <w:sz w:val="32"/>
          <w:szCs w:val="32"/>
          <w:lang w:eastAsia="zh-CN"/>
        </w:rPr>
        <w:t>。</w:t>
      </w:r>
    </w:p>
    <w:p>
      <w:pPr>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2</w:t>
      </w:r>
      <w:r>
        <w:rPr>
          <w:rFonts w:hint="eastAsia"/>
          <w:sz w:val="32"/>
          <w:szCs w:val="32"/>
          <w:lang w:eastAsia="zh-CN"/>
        </w:rPr>
        <w:t>.</w:t>
      </w:r>
      <w:r>
        <w:rPr>
          <w:rFonts w:hint="eastAsia" w:ascii="Times New Roman" w:eastAsia="方正仿宋_GBK"/>
          <w:sz w:val="32"/>
          <w:szCs w:val="32"/>
        </w:rPr>
        <w:t>原则同意人员安置对象计算成果。</w:t>
      </w:r>
    </w:p>
    <w:p>
      <w:pPr>
        <w:adjustRightInd w:val="0"/>
        <w:snapToGrid w:val="0"/>
        <w:spacing w:line="594"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（四）投资概算</w:t>
      </w:r>
    </w:p>
    <w:p>
      <w:pPr>
        <w:spacing w:line="594" w:lineRule="exact"/>
        <w:ind w:firstLine="640" w:firstLineChars="200"/>
        <w:rPr>
          <w:rFonts w:hint="eastAsia" w:ascii="Times New Roman" w:eastAsia="方正仿宋_GBK"/>
          <w:sz w:val="32"/>
          <w:szCs w:val="32"/>
        </w:rPr>
      </w:pPr>
      <w:r>
        <w:rPr>
          <w:rFonts w:hint="eastAsia" w:ascii="Times New Roman" w:eastAsia="方正仿宋_GBK"/>
          <w:sz w:val="32"/>
          <w:szCs w:val="32"/>
        </w:rPr>
        <w:t>经审核，</w:t>
      </w:r>
      <w:r>
        <w:rPr>
          <w:rFonts w:hint="eastAsia"/>
          <w:sz w:val="32"/>
          <w:szCs w:val="32"/>
          <w:lang w:eastAsia="zh-CN"/>
        </w:rPr>
        <w:t>重庆市</w:t>
      </w:r>
      <w:r>
        <w:rPr>
          <w:rFonts w:hint="eastAsia" w:ascii="Times New Roman" w:eastAsia="方正仿宋_GBK"/>
          <w:sz w:val="32"/>
          <w:szCs w:val="32"/>
        </w:rPr>
        <w:t>巴南区长江佛耳岩段防洪护岸综合整治工程</w:t>
      </w:r>
      <w:r>
        <w:rPr>
          <w:rFonts w:hint="eastAsia"/>
          <w:sz w:val="32"/>
          <w:szCs w:val="32"/>
          <w:lang w:eastAsia="zh-CN"/>
        </w:rPr>
        <w:t>（</w:t>
      </w:r>
      <w:r>
        <w:rPr>
          <w:rFonts w:hint="eastAsia" w:ascii="Times New Roman" w:eastAsia="方正仿宋_GBK"/>
          <w:sz w:val="32"/>
          <w:szCs w:val="32"/>
        </w:rPr>
        <w:t>二期</w:t>
      </w:r>
      <w:r>
        <w:rPr>
          <w:rFonts w:hint="eastAsia"/>
          <w:sz w:val="32"/>
          <w:szCs w:val="32"/>
          <w:lang w:eastAsia="zh-CN"/>
        </w:rPr>
        <w:t>）</w:t>
      </w:r>
      <w:r>
        <w:rPr>
          <w:rFonts w:hint="eastAsia" w:ascii="Times New Roman" w:eastAsia="方正仿宋_GBK"/>
          <w:sz w:val="32"/>
          <w:szCs w:val="32"/>
        </w:rPr>
        <w:t>征地移民概算投资1485.18万元，按项目划分：农村部分补偿费448.70万元，其他费用73.71万元，基本预备费52.24万元，有关税费910.53万元。</w:t>
      </w:r>
    </w:p>
    <w:p>
      <w:pPr>
        <w:spacing w:line="594"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lang w:eastAsia="zh-CN"/>
        </w:rPr>
        <w:t>七</w:t>
      </w:r>
      <w:r>
        <w:rPr>
          <w:rFonts w:hint="eastAsia" w:ascii="方正黑体_GBK" w:hAnsi="宋体" w:eastAsia="方正黑体_GBK"/>
          <w:sz w:val="32"/>
          <w:szCs w:val="32"/>
        </w:rPr>
        <w:t>、环境保护设计</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（一）基本同意概述内容。</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（二）基本同意水环境保护措施。</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（三）基本同意生态保护措施。</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（四）基本同意土壤环境保护措施。</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（五）基本同意人群健康保护措施。</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（六）基本同意大气及声环境保护措施。</w:t>
      </w: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（七）基本同意环境管理及监测内容</w:t>
      </w:r>
    </w:p>
    <w:p>
      <w:pPr>
        <w:spacing w:line="594"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lang w:eastAsia="zh-CN"/>
        </w:rPr>
        <w:t>八</w:t>
      </w:r>
      <w:r>
        <w:rPr>
          <w:rFonts w:hint="eastAsia" w:ascii="方正黑体_GBK" w:hAnsi="宋体" w:eastAsia="方正黑体_GBK"/>
          <w:sz w:val="32"/>
          <w:szCs w:val="32"/>
        </w:rPr>
        <w:t>、水土保持设计</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（一）基本同意水土流失防治责任范围和措施布局设计。</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（二）基本同意表土保护利用与土地整治工程设计。</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（三）基本同意植被恢复与建设工程设计。</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（四）基本同意临时防护与其他工程设计。</w:t>
      </w:r>
    </w:p>
    <w:p>
      <w:pPr>
        <w:spacing w:line="594" w:lineRule="exact"/>
        <w:ind w:firstLine="640" w:firstLineChars="200"/>
        <w:rPr>
          <w:rFonts w:hint="eastAsia" w:ascii="方正仿宋_GBK" w:hAnsi="仿宋" w:eastAsia="方正仿宋_GBK"/>
          <w:sz w:val="32"/>
          <w:szCs w:val="32"/>
        </w:rPr>
      </w:pPr>
      <w:r>
        <w:rPr>
          <w:rFonts w:hint="eastAsia" w:ascii="方正仿宋_GBK" w:hAnsi="仿宋" w:eastAsia="方正仿宋_GBK"/>
          <w:sz w:val="32"/>
          <w:szCs w:val="32"/>
        </w:rPr>
        <w:t>（五）基本同意水土保持工程施工组织设计。</w:t>
      </w: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（六）基本同意水土保持监测与管理设计。</w:t>
      </w:r>
    </w:p>
    <w:p>
      <w:pPr>
        <w:spacing w:line="594" w:lineRule="atLeas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lang w:eastAsia="zh-CN"/>
        </w:rPr>
        <w:t>九</w:t>
      </w:r>
      <w:r>
        <w:rPr>
          <w:rFonts w:hint="eastAsia" w:ascii="方正黑体_GBK" w:hAnsi="宋体" w:eastAsia="方正黑体_GBK"/>
          <w:sz w:val="32"/>
          <w:szCs w:val="32"/>
        </w:rPr>
        <w:t>、劳动安全与工业卫生</w:t>
      </w:r>
    </w:p>
    <w:p>
      <w:pPr>
        <w:spacing w:line="594" w:lineRule="atLeas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基本同意</w:t>
      </w:r>
      <w:r>
        <w:rPr>
          <w:rFonts w:hint="eastAsia" w:ascii="宋体" w:hAnsi="宋体" w:cs="Calibri"/>
          <w:sz w:val="32"/>
          <w:szCs w:val="32"/>
        </w:rPr>
        <w:t>危险与有害因素分析、劳动安全措施、工业卫生措施和安全卫生管理</w:t>
      </w:r>
      <w:r>
        <w:rPr>
          <w:rFonts w:hint="eastAsia" w:ascii="方正仿宋_GBK" w:hAnsi="宋体" w:eastAsia="方正仿宋_GBK"/>
          <w:sz w:val="32"/>
          <w:szCs w:val="32"/>
        </w:rPr>
        <w:t>。</w:t>
      </w:r>
    </w:p>
    <w:p>
      <w:pPr>
        <w:spacing w:line="594" w:lineRule="atLeast"/>
        <w:ind w:firstLine="640" w:firstLineChars="200"/>
        <w:rPr>
          <w:rFonts w:hint="eastAsia" w:ascii="方正黑体_GBK" w:hAnsi="宋体" w:eastAsia="方正黑体_GBK"/>
          <w:sz w:val="32"/>
          <w:szCs w:val="32"/>
          <w:lang w:eastAsia="zh-CN"/>
        </w:rPr>
      </w:pPr>
      <w:r>
        <w:rPr>
          <w:rFonts w:hint="eastAsia" w:ascii="方正黑体_GBK" w:hAnsi="宋体" w:eastAsia="方正黑体_GBK"/>
          <w:sz w:val="32"/>
          <w:szCs w:val="32"/>
        </w:rPr>
        <w:t>十、节能</w:t>
      </w:r>
      <w:r>
        <w:rPr>
          <w:rFonts w:hint="eastAsia" w:ascii="方正黑体_GBK" w:hAnsi="宋体" w:eastAsia="方正黑体_GBK"/>
          <w:sz w:val="32"/>
          <w:szCs w:val="32"/>
          <w:lang w:eastAsia="zh-CN"/>
        </w:rPr>
        <w:t>设计</w:t>
      </w:r>
    </w:p>
    <w:p>
      <w:pPr>
        <w:spacing w:line="594" w:lineRule="atLeas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基本同意能耗分析、节能设计和节能效果评价。</w:t>
      </w:r>
    </w:p>
    <w:p>
      <w:pPr>
        <w:spacing w:line="594" w:lineRule="atLeas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十</w:t>
      </w:r>
      <w:r>
        <w:rPr>
          <w:rFonts w:hint="eastAsia" w:ascii="方正黑体_GBK" w:hAnsi="宋体" w:eastAsia="方正黑体_GBK"/>
          <w:sz w:val="32"/>
          <w:szCs w:val="32"/>
          <w:lang w:eastAsia="zh-CN"/>
        </w:rPr>
        <w:t>一</w:t>
      </w:r>
      <w:r>
        <w:rPr>
          <w:rFonts w:hint="eastAsia" w:ascii="方正黑体_GBK" w:hAnsi="宋体" w:eastAsia="方正黑体_GBK"/>
          <w:sz w:val="32"/>
          <w:szCs w:val="32"/>
        </w:rPr>
        <w:t>、工程管理设计</w:t>
      </w:r>
    </w:p>
    <w:p>
      <w:pPr>
        <w:spacing w:line="594" w:lineRule="atLeast"/>
        <w:ind w:firstLine="640" w:firstLineChars="200"/>
        <w:rPr>
          <w:rFonts w:hint="eastAsia" w:ascii="方正仿宋_GBK" w:eastAsia="方正仿宋_GBK"/>
          <w:sz w:val="32"/>
          <w:szCs w:val="32"/>
        </w:rPr>
      </w:pPr>
      <w:r>
        <w:rPr>
          <w:rFonts w:hint="eastAsia" w:ascii="方正仿宋_GBK" w:eastAsia="方正仿宋_GBK"/>
          <w:sz w:val="32"/>
          <w:szCs w:val="32"/>
        </w:rPr>
        <w:t>（一）基本同意管理机构、管理人员设置。</w:t>
      </w:r>
    </w:p>
    <w:p>
      <w:pPr>
        <w:spacing w:line="594" w:lineRule="atLeast"/>
        <w:ind w:firstLine="640" w:firstLineChars="200"/>
        <w:rPr>
          <w:rFonts w:hint="eastAsia" w:ascii="方正仿宋_GBK" w:hAnsi="宋体" w:eastAsia="方正仿宋_GBK"/>
          <w:sz w:val="32"/>
          <w:szCs w:val="32"/>
        </w:rPr>
      </w:pPr>
      <w:r>
        <w:rPr>
          <w:rFonts w:hint="eastAsia" w:ascii="方正仿宋_GBK" w:eastAsia="方正仿宋_GBK"/>
          <w:sz w:val="32"/>
          <w:szCs w:val="32"/>
        </w:rPr>
        <w:t>（二）基本同意工程管理范围及保护范围、管理设施设备</w:t>
      </w:r>
      <w:r>
        <w:rPr>
          <w:rFonts w:hint="eastAsia" w:ascii="方正仿宋_GBK" w:hAnsi="宋体" w:eastAsia="方正仿宋_GBK"/>
          <w:sz w:val="32"/>
          <w:szCs w:val="32"/>
        </w:rPr>
        <w:t>。</w:t>
      </w:r>
    </w:p>
    <w:p>
      <w:pPr>
        <w:spacing w:line="594" w:lineRule="atLeas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十</w:t>
      </w:r>
      <w:r>
        <w:rPr>
          <w:rFonts w:hint="eastAsia" w:ascii="方正黑体_GBK" w:hAnsi="宋体" w:eastAsia="方正黑体_GBK"/>
          <w:sz w:val="32"/>
          <w:szCs w:val="32"/>
          <w:lang w:eastAsia="zh-CN"/>
        </w:rPr>
        <w:t>二</w:t>
      </w:r>
      <w:r>
        <w:rPr>
          <w:rFonts w:hint="eastAsia" w:ascii="方正黑体_GBK" w:hAnsi="宋体" w:eastAsia="方正黑体_GBK"/>
          <w:sz w:val="32"/>
          <w:szCs w:val="32"/>
        </w:rPr>
        <w:t>、工程信息化</w:t>
      </w:r>
    </w:p>
    <w:p>
      <w:pPr>
        <w:spacing w:line="594" w:lineRule="atLeast"/>
        <w:ind w:firstLine="640" w:firstLineChars="200"/>
        <w:rPr>
          <w:rFonts w:hint="eastAsia" w:ascii="方正仿宋_GBK" w:hAnsi="宋体" w:eastAsia="方正仿宋_GBK"/>
          <w:sz w:val="32"/>
          <w:szCs w:val="32"/>
        </w:rPr>
      </w:pPr>
      <w:r>
        <w:rPr>
          <w:rFonts w:hint="eastAsia" w:ascii="方正仿宋_GBK" w:eastAsia="方正仿宋_GBK"/>
          <w:sz w:val="32"/>
          <w:szCs w:val="32"/>
        </w:rPr>
        <w:t>工程信息化方案基本合理，可作为下阶段工作依据。</w:t>
      </w:r>
    </w:p>
    <w:p>
      <w:pPr>
        <w:spacing w:line="594" w:lineRule="atLeas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十</w:t>
      </w:r>
      <w:r>
        <w:rPr>
          <w:rFonts w:hint="eastAsia" w:ascii="方正黑体_GBK" w:hAnsi="宋体" w:eastAsia="方正黑体_GBK"/>
          <w:sz w:val="32"/>
          <w:szCs w:val="32"/>
          <w:lang w:eastAsia="zh-CN"/>
        </w:rPr>
        <w:t>三</w:t>
      </w:r>
      <w:r>
        <w:rPr>
          <w:rFonts w:hint="eastAsia" w:ascii="方正黑体_GBK" w:hAnsi="宋体" w:eastAsia="方正黑体_GBK"/>
          <w:sz w:val="32"/>
          <w:szCs w:val="32"/>
        </w:rPr>
        <w:t>、设计概算</w:t>
      </w:r>
    </w:p>
    <w:p>
      <w:pPr>
        <w:pStyle w:val="41"/>
        <w:spacing w:line="594" w:lineRule="atLeast"/>
        <w:ind w:firstLine="640"/>
        <w:rPr>
          <w:rFonts w:ascii="Times New Roman" w:hAnsi="Times New Roman" w:eastAsia="方正仿宋_GBK"/>
          <w:sz w:val="32"/>
          <w:szCs w:val="32"/>
        </w:rPr>
      </w:pPr>
      <w:r>
        <w:rPr>
          <w:rFonts w:ascii="Times New Roman" w:hAnsi="Times New Roman" w:eastAsia="方正仿宋_GBK"/>
          <w:sz w:val="32"/>
          <w:szCs w:val="32"/>
        </w:rPr>
        <w:t>（一）设计概算编制采用重庆市水利局、市发改委颁发的《重庆市水利工程设计概（估）算编制规定（2021年版）》</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渝水建〔2021〕7号</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和</w:t>
      </w:r>
      <w:r>
        <w:rPr>
          <w:rFonts w:hint="eastAsia" w:ascii="Times New Roman" w:hAnsi="Times New Roman" w:eastAsia="方正仿宋_GBK"/>
          <w:sz w:val="32"/>
          <w:szCs w:val="32"/>
        </w:rPr>
        <w:t>配套定额、文件符合现行重庆市水利行业投资编制规定</w:t>
      </w:r>
      <w:r>
        <w:rPr>
          <w:rFonts w:ascii="Times New Roman" w:hAnsi="Times New Roman" w:eastAsia="方正仿宋_GBK"/>
          <w:sz w:val="32"/>
          <w:szCs w:val="32"/>
        </w:rPr>
        <w:t>。</w:t>
      </w:r>
    </w:p>
    <w:p>
      <w:pPr>
        <w:pStyle w:val="41"/>
        <w:spacing w:line="594" w:lineRule="atLeast"/>
        <w:ind w:firstLine="640"/>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rPr>
        <w:t>基本同意人工工资、主要材料价格、机械台时费等基础价格</w:t>
      </w:r>
      <w:r>
        <w:rPr>
          <w:rFonts w:ascii="Times New Roman" w:hAnsi="Times New Roman" w:eastAsia="方正仿宋_GBK"/>
          <w:sz w:val="32"/>
          <w:szCs w:val="32"/>
        </w:rPr>
        <w:t>。</w:t>
      </w:r>
    </w:p>
    <w:p>
      <w:pPr>
        <w:pStyle w:val="41"/>
        <w:spacing w:line="594" w:lineRule="atLeast"/>
        <w:ind w:firstLine="640"/>
        <w:rPr>
          <w:rFonts w:ascii="Times New Roman" w:hAnsi="Times New Roman" w:eastAsia="方正仿宋_GBK"/>
          <w:sz w:val="32"/>
          <w:szCs w:val="32"/>
        </w:rPr>
      </w:pPr>
      <w:r>
        <w:rPr>
          <w:rFonts w:ascii="Times New Roman" w:hAnsi="Times New Roman" w:eastAsia="方正仿宋_GBK"/>
          <w:sz w:val="32"/>
          <w:szCs w:val="32"/>
        </w:rPr>
        <w:t>（三）</w:t>
      </w:r>
      <w:r>
        <w:rPr>
          <w:rFonts w:hint="eastAsia" w:ascii="Times New Roman" w:hAnsi="Times New Roman" w:eastAsia="方正仿宋_GBK"/>
          <w:sz w:val="32"/>
          <w:szCs w:val="32"/>
        </w:rPr>
        <w:t>基本同意修改后的建安工程单价分析和费用计算</w:t>
      </w:r>
      <w:r>
        <w:rPr>
          <w:rFonts w:ascii="Times New Roman" w:hAnsi="Times New Roman" w:eastAsia="方正仿宋_GBK"/>
          <w:sz w:val="32"/>
          <w:szCs w:val="32"/>
        </w:rPr>
        <w:t>。</w:t>
      </w:r>
    </w:p>
    <w:p>
      <w:pPr>
        <w:pStyle w:val="41"/>
        <w:spacing w:line="594" w:lineRule="atLeast"/>
        <w:ind w:firstLine="640"/>
        <w:rPr>
          <w:rFonts w:ascii="Times New Roman" w:hAnsi="Times New Roman" w:eastAsia="方正仿宋_GBK"/>
          <w:sz w:val="32"/>
          <w:szCs w:val="32"/>
        </w:rPr>
      </w:pPr>
      <w:r>
        <w:rPr>
          <w:rFonts w:ascii="Times New Roman" w:hAnsi="Times New Roman" w:eastAsia="方正仿宋_GBK"/>
          <w:sz w:val="32"/>
          <w:szCs w:val="32"/>
        </w:rPr>
        <w:t>（四）经审查，</w:t>
      </w:r>
      <w:r>
        <w:rPr>
          <w:rFonts w:hint="eastAsia" w:ascii="Times New Roman" w:hAnsi="Times New Roman" w:eastAsia="方正仿宋_GBK"/>
          <w:sz w:val="32"/>
          <w:szCs w:val="32"/>
        </w:rPr>
        <w:t>工程静态总投资14934万元，比可研批复工程静态总投资15991万元减少1057万元，减幅为6.61%</w:t>
      </w:r>
      <w:r>
        <w:rPr>
          <w:rFonts w:hint="eastAsia" w:ascii="Times New Roman" w:hAnsi="Times New Roman" w:eastAsia="方正仿宋_GBK"/>
          <w:sz w:val="32"/>
          <w:szCs w:val="32"/>
          <w:lang w:eastAsia="zh-CN"/>
        </w:rPr>
        <w:t>。</w:t>
      </w:r>
    </w:p>
    <w:p>
      <w:pPr>
        <w:spacing w:line="594" w:lineRule="atLeas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十</w:t>
      </w:r>
      <w:r>
        <w:rPr>
          <w:rFonts w:hint="eastAsia" w:ascii="方正黑体_GBK" w:hAnsi="宋体" w:eastAsia="方正黑体_GBK"/>
          <w:sz w:val="32"/>
          <w:szCs w:val="32"/>
          <w:lang w:eastAsia="zh-CN"/>
        </w:rPr>
        <w:t>四</w:t>
      </w:r>
      <w:r>
        <w:rPr>
          <w:rFonts w:hint="eastAsia" w:ascii="方正黑体_GBK" w:hAnsi="宋体" w:eastAsia="方正黑体_GBK"/>
          <w:sz w:val="32"/>
          <w:szCs w:val="32"/>
        </w:rPr>
        <w:t>、经济评价</w:t>
      </w:r>
    </w:p>
    <w:p>
      <w:pPr>
        <w:pStyle w:val="41"/>
        <w:spacing w:line="594" w:lineRule="atLeast"/>
        <w:ind w:firstLine="640"/>
        <w:rPr>
          <w:rFonts w:ascii="Times New Roman" w:hAnsi="Times New Roman" w:eastAsia="方正仿宋_GBK"/>
          <w:sz w:val="32"/>
          <w:szCs w:val="32"/>
        </w:rPr>
      </w:pPr>
      <w:r>
        <w:rPr>
          <w:rFonts w:ascii="Times New Roman" w:hAnsi="Times New Roman" w:eastAsia="方正仿宋_GBK"/>
          <w:sz w:val="32"/>
          <w:szCs w:val="32"/>
        </w:rPr>
        <w:t>基本同意</w:t>
      </w:r>
      <w:r>
        <w:rPr>
          <w:rFonts w:hint="eastAsia" w:ascii="Times New Roman" w:hAnsi="Times New Roman" w:eastAsia="方正仿宋_GBK"/>
          <w:sz w:val="32"/>
          <w:szCs w:val="32"/>
        </w:rPr>
        <w:t>国民经济评价采用的方法和结论</w:t>
      </w:r>
      <w:r>
        <w:rPr>
          <w:rFonts w:ascii="Times New Roman" w:hAnsi="Times New Roman" w:eastAsia="方正仿宋_GBK"/>
          <w:sz w:val="32"/>
          <w:szCs w:val="32"/>
        </w:rPr>
        <w:t>。</w:t>
      </w:r>
    </w:p>
    <w:p>
      <w:pPr>
        <w:pStyle w:val="41"/>
        <w:spacing w:line="594" w:lineRule="atLeast"/>
        <w:ind w:firstLine="640"/>
        <w:rPr>
          <w:rFonts w:ascii="Times New Roman" w:hAnsi="Times New Roman" w:eastAsia="方正仿宋_GBK"/>
          <w:sz w:val="32"/>
          <w:szCs w:val="32"/>
        </w:rPr>
      </w:pPr>
    </w:p>
    <w:p>
      <w:pPr>
        <w:spacing w:line="594" w:lineRule="exact"/>
        <w:ind w:left="1600" w:leftChars="200" w:hanging="960" w:hangingChars="300"/>
        <w:rPr>
          <w:rFonts w:hint="eastAsia"/>
          <w:sz w:val="32"/>
          <w:szCs w:val="32"/>
          <w:lang w:eastAsia="zh-CN"/>
        </w:rPr>
      </w:pPr>
      <w:r>
        <w:rPr>
          <w:rFonts w:hint="eastAsia"/>
          <w:sz w:val="32"/>
          <w:szCs w:val="32"/>
          <w:lang w:eastAsia="zh-CN"/>
        </w:rPr>
        <w:t>附件：</w:t>
      </w:r>
      <w:r>
        <w:rPr>
          <w:rFonts w:hint="eastAsia"/>
          <w:sz w:val="32"/>
          <w:szCs w:val="32"/>
          <w:lang w:val="en-US" w:eastAsia="zh-CN"/>
        </w:rPr>
        <w:t>1.</w:t>
      </w:r>
      <w:r>
        <w:rPr>
          <w:rFonts w:hint="eastAsia"/>
          <w:sz w:val="32"/>
          <w:szCs w:val="32"/>
          <w:lang w:eastAsia="zh-CN"/>
        </w:rPr>
        <w:t>重庆市巴南区长江佛耳岩段防洪护岸综合整治工程（二期）投资审定表</w:t>
      </w:r>
    </w:p>
    <w:p>
      <w:pPr>
        <w:spacing w:line="594" w:lineRule="exact"/>
        <w:ind w:left="1600" w:leftChars="500" w:firstLine="0" w:firstLineChars="0"/>
        <w:rPr>
          <w:rFonts w:hint="default"/>
          <w:sz w:val="32"/>
          <w:szCs w:val="32"/>
          <w:lang w:val="en-US" w:eastAsia="zh-CN"/>
        </w:rPr>
      </w:pPr>
      <w:r>
        <w:rPr>
          <w:rFonts w:hint="eastAsia"/>
          <w:sz w:val="32"/>
          <w:szCs w:val="32"/>
          <w:lang w:val="en-US" w:eastAsia="zh-CN"/>
        </w:rPr>
        <w:t>2.重庆市巴南区长江佛耳岩段防洪护岸综合整治工程（二期）初步设计报告专家评审会专家签名表</w:t>
      </w:r>
    </w:p>
    <w:p>
      <w:pPr>
        <w:pStyle w:val="41"/>
        <w:spacing w:line="594" w:lineRule="atLeast"/>
        <w:ind w:firstLine="640"/>
        <w:rPr>
          <w:rFonts w:ascii="Times New Roman" w:hAnsi="Times New Roman" w:eastAsia="方正仿宋_GBK"/>
          <w:sz w:val="32"/>
          <w:szCs w:val="32"/>
        </w:rPr>
      </w:pPr>
    </w:p>
    <w:p>
      <w:pPr>
        <w:pStyle w:val="41"/>
        <w:spacing w:line="594" w:lineRule="atLeast"/>
        <w:ind w:firstLine="640"/>
        <w:rPr>
          <w:rFonts w:ascii="Times New Roman" w:hAnsi="Times New Roman" w:eastAsia="方正仿宋_GBK"/>
          <w:sz w:val="32"/>
          <w:szCs w:val="32"/>
        </w:rPr>
      </w:pPr>
    </w:p>
    <w:p>
      <w:pPr>
        <w:pStyle w:val="41"/>
        <w:spacing w:line="594" w:lineRule="atLeast"/>
        <w:ind w:firstLine="640"/>
        <w:rPr>
          <w:rFonts w:ascii="Times New Roman" w:hAnsi="Times New Roman" w:eastAsia="方正仿宋_GBK"/>
          <w:sz w:val="32"/>
          <w:szCs w:val="32"/>
        </w:rPr>
      </w:pPr>
      <w:r>
        <w:rPr>
          <w:rFonts w:ascii="Times New Roman" w:hAnsi="Times New Roman" w:eastAsia="方正仿宋_GBK"/>
          <w:sz w:val="32"/>
          <w:szCs w:val="32"/>
          <w:highlight w:val="none"/>
        </w:rPr>
        <w:drawing>
          <wp:anchor distT="0" distB="0" distL="114300" distR="114300" simplePos="0" relativeHeight="251660288" behindDoc="0" locked="0" layoutInCell="1" allowOverlap="1">
            <wp:simplePos x="0" y="0"/>
            <wp:positionH relativeFrom="column">
              <wp:posOffset>4413885</wp:posOffset>
            </wp:positionH>
            <wp:positionV relativeFrom="paragraph">
              <wp:posOffset>294005</wp:posOffset>
            </wp:positionV>
            <wp:extent cx="923925" cy="480060"/>
            <wp:effectExtent l="0" t="0" r="9525" b="15240"/>
            <wp:wrapNone/>
            <wp:docPr id="5" name="图片 1" descr="C:\Users\book\AppData\Local\Temp\WeChat Files\403a005fd96cca11f4c9ea289822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book\AppData\Local\Temp\WeChat Files\403a005fd96cca11f4c9ea289822937.jpg"/>
                    <pic:cNvPicPr>
                      <a:picLocks noChangeAspect="1" noChangeArrowheads="1"/>
                    </pic:cNvPicPr>
                  </pic:nvPicPr>
                  <pic:blipFill>
                    <a:blip r:embed="rId10" cstate="print">
                      <a:clrChange>
                        <a:clrFrom>
                          <a:srgbClr val="A3B5C3"/>
                        </a:clrFrom>
                        <a:clrTo>
                          <a:srgbClr val="A3B5C3">
                            <a:alpha val="0"/>
                          </a:srgbClr>
                        </a:clrTo>
                      </a:clrChange>
                      <a:biLevel thresh="50000"/>
                    </a:blip>
                    <a:srcRect l="12470" t="61342" r="58034" b="18211"/>
                    <a:stretch>
                      <a:fillRect/>
                    </a:stretch>
                  </pic:blipFill>
                  <pic:spPr>
                    <a:xfrm>
                      <a:off x="0" y="0"/>
                      <a:ext cx="923925" cy="480060"/>
                    </a:xfrm>
                    <a:prstGeom prst="rect">
                      <a:avLst/>
                    </a:prstGeom>
                    <a:noFill/>
                    <a:ln w="9525">
                      <a:noFill/>
                      <a:miter lim="800000"/>
                      <a:headEnd/>
                      <a:tailEnd/>
                    </a:ln>
                  </pic:spPr>
                </pic:pic>
              </a:graphicData>
            </a:graphic>
          </wp:anchor>
        </w:drawing>
      </w:r>
    </w:p>
    <w:p>
      <w:pPr>
        <w:spacing w:line="594" w:lineRule="atLeast"/>
        <w:ind w:firstLine="5120" w:firstLineChars="1600"/>
        <w:rPr>
          <w:rFonts w:ascii="Times New Roman" w:eastAsia="方正仿宋_GBK"/>
          <w:sz w:val="32"/>
          <w:szCs w:val="32"/>
        </w:rPr>
      </w:pPr>
      <w:r>
        <w:rPr>
          <w:rFonts w:ascii="Times New Roman" w:eastAsia="方正仿宋_GBK"/>
          <w:sz w:val="32"/>
          <w:szCs w:val="32"/>
        </w:rPr>
        <w:t>专家组组长：</w:t>
      </w:r>
    </w:p>
    <w:p>
      <w:pPr>
        <w:spacing w:line="594" w:lineRule="exact"/>
        <w:ind w:firstLine="6080" w:firstLineChars="1900"/>
        <w:rPr>
          <w:rFonts w:ascii="Times New Roman" w:eastAsia="方正仿宋_GBK"/>
          <w:sz w:val="32"/>
          <w:szCs w:val="32"/>
        </w:rPr>
      </w:pPr>
      <w:r>
        <w:rPr>
          <w:rFonts w:ascii="Times New Roman" w:eastAsia="方正仿宋_GBK"/>
          <w:sz w:val="32"/>
          <w:szCs w:val="32"/>
        </w:rPr>
        <w:t>2022年</w:t>
      </w:r>
      <w:r>
        <w:rPr>
          <w:rFonts w:hint="eastAsia"/>
          <w:sz w:val="32"/>
          <w:szCs w:val="32"/>
          <w:lang w:val="en-US" w:eastAsia="zh-CN"/>
        </w:rPr>
        <w:t>10</w:t>
      </w:r>
      <w:r>
        <w:rPr>
          <w:rFonts w:ascii="Times New Roman" w:eastAsia="方正仿宋_GBK"/>
          <w:sz w:val="32"/>
          <w:szCs w:val="32"/>
        </w:rPr>
        <w:t>月</w:t>
      </w:r>
      <w:r>
        <w:rPr>
          <w:rFonts w:hint="eastAsia"/>
          <w:sz w:val="32"/>
          <w:szCs w:val="32"/>
          <w:lang w:val="en-US" w:eastAsia="zh-CN"/>
        </w:rPr>
        <w:t>25</w:t>
      </w:r>
      <w:r>
        <w:rPr>
          <w:rFonts w:ascii="Times New Roman" w:eastAsia="方正仿宋_GBK"/>
          <w:sz w:val="32"/>
          <w:szCs w:val="32"/>
        </w:rPr>
        <w:t>日</w:t>
      </w:r>
    </w:p>
    <w:p>
      <w:pPr>
        <w:spacing w:line="594" w:lineRule="exact"/>
        <w:ind w:left="0" w:leftChars="0" w:firstLine="0" w:firstLineChars="0"/>
        <w:jc w:val="left"/>
        <w:rPr>
          <w:rFonts w:hint="default" w:ascii="Times New Roman" w:eastAsia="方正仿宋_GBK"/>
          <w:sz w:val="32"/>
          <w:szCs w:val="32"/>
          <w:lang w:val="en-US" w:eastAsia="zh-CN"/>
        </w:rPr>
      </w:pPr>
      <w:r>
        <w:rPr>
          <w:rFonts w:ascii="Times New Roman" w:eastAsia="方正仿宋_GBK"/>
          <w:sz w:val="32"/>
          <w:szCs w:val="32"/>
        </w:rPr>
        <w:br w:type="page"/>
      </w: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tbl>
      <w:tblPr>
        <w:tblStyle w:val="15"/>
        <w:tblW w:w="9640" w:type="dxa"/>
        <w:jc w:val="center"/>
        <w:tblLayout w:type="autofit"/>
        <w:tblCellMar>
          <w:top w:w="0" w:type="dxa"/>
          <w:left w:w="0" w:type="dxa"/>
          <w:bottom w:w="0" w:type="dxa"/>
          <w:right w:w="0" w:type="dxa"/>
        </w:tblCellMar>
      </w:tblPr>
      <w:tblGrid>
        <w:gridCol w:w="903"/>
        <w:gridCol w:w="3507"/>
        <w:gridCol w:w="1417"/>
        <w:gridCol w:w="1418"/>
        <w:gridCol w:w="1047"/>
        <w:gridCol w:w="1348"/>
      </w:tblGrid>
      <w:tr>
        <w:tblPrEx>
          <w:tblCellMar>
            <w:top w:w="0" w:type="dxa"/>
            <w:left w:w="0" w:type="dxa"/>
            <w:bottom w:w="0" w:type="dxa"/>
            <w:right w:w="0" w:type="dxa"/>
          </w:tblCellMar>
        </w:tblPrEx>
        <w:trPr>
          <w:trHeight w:val="644" w:hRule="atLeast"/>
          <w:jc w:val="center"/>
        </w:trPr>
        <w:tc>
          <w:tcPr>
            <w:tcW w:w="9640" w:type="dxa"/>
            <w:gridSpan w:val="6"/>
            <w:tcBorders>
              <w:top w:val="nil"/>
              <w:left w:val="nil"/>
              <w:bottom w:val="nil"/>
              <w:right w:val="nil"/>
            </w:tcBorders>
            <w:shd w:val="clear" w:color="auto" w:fill="FFFFFF"/>
            <w:noWrap w:val="0"/>
            <w:tcMar>
              <w:top w:w="15" w:type="dxa"/>
              <w:left w:w="15" w:type="dxa"/>
              <w:right w:w="15" w:type="dxa"/>
            </w:tcMar>
            <w:vAlign w:val="center"/>
          </w:tcPr>
          <w:p>
            <w:pPr>
              <w:widowControl/>
              <w:ind w:left="0" w:leftChars="0" w:firstLine="0" w:firstLineChars="0"/>
              <w:jc w:val="center"/>
              <w:textAlignment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重庆市巴南区长江佛耳岩段防洪护岸综合整治</w:t>
            </w:r>
          </w:p>
          <w:p>
            <w:pPr>
              <w:widowControl/>
              <w:ind w:left="0" w:leftChars="0" w:firstLine="0" w:firstLineChars="0"/>
              <w:jc w:val="center"/>
              <w:textAlignment w:val="center"/>
              <w:rPr>
                <w:rFonts w:ascii="方正仿宋_GBK" w:hAnsi="方正仿宋_GBK" w:cs="方正仿宋_GBK"/>
                <w:b/>
                <w:color w:val="000000"/>
                <w:sz w:val="28"/>
                <w:szCs w:val="28"/>
              </w:rPr>
            </w:pPr>
            <w:r>
              <w:rPr>
                <w:rFonts w:hint="eastAsia" w:ascii="方正小标宋_GBK" w:hAnsi="方正小标宋_GBK" w:eastAsia="方正小标宋_GBK" w:cs="方正小标宋_GBK"/>
                <w:b w:val="0"/>
                <w:bCs/>
                <w:color w:val="000000"/>
                <w:sz w:val="44"/>
                <w:szCs w:val="44"/>
              </w:rPr>
              <w:t>工程（二期）投资审定表</w:t>
            </w:r>
          </w:p>
        </w:tc>
      </w:tr>
      <w:tr>
        <w:tblPrEx>
          <w:tblCellMar>
            <w:top w:w="0" w:type="dxa"/>
            <w:left w:w="0" w:type="dxa"/>
            <w:bottom w:w="0" w:type="dxa"/>
            <w:right w:w="0" w:type="dxa"/>
          </w:tblCellMar>
        </w:tblPrEx>
        <w:trPr>
          <w:trHeight w:val="367" w:hRule="atLeast"/>
          <w:jc w:val="center"/>
        </w:trPr>
        <w:tc>
          <w:tcPr>
            <w:tcW w:w="7245" w:type="dxa"/>
            <w:gridSpan w:val="4"/>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方正仿宋_GBK" w:hAnsi="方正仿宋_GBK" w:cs="方正仿宋_GBK"/>
                <w:bCs/>
                <w:color w:val="000000"/>
                <w:sz w:val="24"/>
                <w:szCs w:val="24"/>
              </w:rPr>
            </w:pPr>
          </w:p>
        </w:tc>
        <w:tc>
          <w:tcPr>
            <w:tcW w:w="2395" w:type="dxa"/>
            <w:gridSpan w:val="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方正仿宋_GBK" w:hAnsi="方正仿宋_GBK" w:cs="方正仿宋_GBK"/>
                <w:bCs/>
                <w:color w:val="000000"/>
                <w:sz w:val="24"/>
                <w:szCs w:val="24"/>
              </w:rPr>
            </w:pPr>
            <w:r>
              <w:rPr>
                <w:rFonts w:hint="eastAsia" w:ascii="方正仿宋_GBK" w:hAnsi="方正仿宋_GBK" w:cs="方正仿宋_GBK"/>
                <w:bCs/>
                <w:color w:val="000000"/>
                <w:sz w:val="24"/>
                <w:szCs w:val="24"/>
              </w:rPr>
              <w:t>单位:万元</w:t>
            </w:r>
          </w:p>
        </w:tc>
      </w:tr>
      <w:tr>
        <w:tblPrEx>
          <w:tblCellMar>
            <w:top w:w="0" w:type="dxa"/>
            <w:left w:w="0" w:type="dxa"/>
            <w:bottom w:w="0" w:type="dxa"/>
            <w:right w:w="0" w:type="dxa"/>
          </w:tblCellMar>
        </w:tblPrEx>
        <w:trPr>
          <w:trHeight w:val="69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编号</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工程或费用名称</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建安工程费</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设备购置费</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独立费</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sz w:val="24"/>
                <w:szCs w:val="24"/>
              </w:rPr>
              <w:t>合价</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I</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工程部分</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13133</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
                <w:bCs w:val="0"/>
                <w:color w:val="000000"/>
                <w:sz w:val="24"/>
                <w:szCs w:val="24"/>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第一部分 建筑工程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8951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8951</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一</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堤防</w:t>
            </w:r>
            <w:r>
              <w:rPr>
                <w:rFonts w:hint="eastAsia" w:ascii="宋体" w:hAnsi="宋体" w:eastAsia="宋体" w:cs="宋体"/>
                <w:bCs/>
                <w:color w:val="000000"/>
                <w:sz w:val="24"/>
                <w:szCs w:val="24"/>
              </w:rPr>
              <w:t>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8165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8165</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二</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建筑物工程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400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400</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三</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交通工程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379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379</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四</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信息化与自动化系统设施工程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8</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rPr>
                <w:rFonts w:hint="eastAsia" w:ascii="宋体" w:hAnsi="宋体" w:eastAsia="宋体" w:cs="宋体"/>
                <w:b/>
                <w:bCs/>
                <w:color w:val="000000"/>
                <w:sz w:val="18"/>
                <w:szCs w:val="18"/>
              </w:rPr>
            </w:pPr>
            <w:r>
              <w:rPr>
                <w:rFonts w:hint="eastAsia" w:ascii="宋体" w:hAnsi="宋体" w:eastAsia="宋体" w:cs="宋体"/>
                <w:b/>
                <w:bCs/>
                <w:color w:val="000000"/>
                <w:sz w:val="18"/>
                <w:szCs w:val="18"/>
              </w:rPr>
              <w:t>　</w:t>
            </w:r>
          </w:p>
        </w:tc>
        <w:tc>
          <w:tcPr>
            <w:tcW w:w="350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第二部分 机电设备及安装工程</w:t>
            </w:r>
          </w:p>
        </w:tc>
        <w:tc>
          <w:tcPr>
            <w:tcW w:w="14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p>
        </w:tc>
        <w:tc>
          <w:tcPr>
            <w:tcW w:w="14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42</w:t>
            </w:r>
          </w:p>
        </w:tc>
        <w:tc>
          <w:tcPr>
            <w:tcW w:w="104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tc>
        <w:tc>
          <w:tcPr>
            <w:tcW w:w="1348" w:type="dxa"/>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45</w:t>
            </w:r>
          </w:p>
        </w:tc>
      </w:tr>
      <w:tr>
        <w:tblPrEx>
          <w:tblCellMar>
            <w:top w:w="0" w:type="dxa"/>
            <w:left w:w="0" w:type="dxa"/>
            <w:bottom w:w="0" w:type="dxa"/>
            <w:right w:w="0" w:type="dxa"/>
          </w:tblCellMar>
        </w:tblPrEx>
        <w:trPr>
          <w:trHeight w:val="765" w:hRule="exact"/>
          <w:jc w:val="center"/>
        </w:trPr>
        <w:tc>
          <w:tcPr>
            <w:tcW w:w="903"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一</w:t>
            </w:r>
          </w:p>
        </w:tc>
        <w:tc>
          <w:tcPr>
            <w:tcW w:w="350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信息化与自动化系统设备及安装工程</w:t>
            </w:r>
          </w:p>
        </w:tc>
        <w:tc>
          <w:tcPr>
            <w:tcW w:w="141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14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42</w:t>
            </w:r>
          </w:p>
        </w:tc>
        <w:tc>
          <w:tcPr>
            <w:tcW w:w="104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nil"/>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45</w:t>
            </w:r>
          </w:p>
        </w:tc>
      </w:tr>
      <w:tr>
        <w:tblPrEx>
          <w:tblCellMar>
            <w:top w:w="0" w:type="dxa"/>
            <w:left w:w="0" w:type="dxa"/>
            <w:bottom w:w="0" w:type="dxa"/>
            <w:right w:w="0" w:type="dxa"/>
          </w:tblCellMar>
        </w:tblPrEx>
        <w:trPr>
          <w:trHeight w:val="1128" w:hRule="exact"/>
          <w:jc w:val="center"/>
        </w:trPr>
        <w:tc>
          <w:tcPr>
            <w:tcW w:w="903" w:type="dxa"/>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　</w:t>
            </w:r>
          </w:p>
        </w:tc>
        <w:tc>
          <w:tcPr>
            <w:tcW w:w="350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第三部分 金属结构设备及安装工程</w:t>
            </w:r>
          </w:p>
        </w:tc>
        <w:tc>
          <w:tcPr>
            <w:tcW w:w="141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4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04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348" w:type="dxa"/>
            <w:tcBorders>
              <w:top w:val="nil"/>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第四部分 施工临时工程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1389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1389</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一</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导流工程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764</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764</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二</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施工交通工程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195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195</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三</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场外供电线路工程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23</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四</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施工房屋建筑工程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29</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29</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五</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临时安全监测工程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11</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六</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施工度汛</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15</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七</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其他施工临时工程</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150</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八</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安全生产费</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203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203</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第五部分 独立费用</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2123</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2123</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一</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建设管理费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293</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293</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二</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工程建设监理费</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233</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233</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三</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生产准备费</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49</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49</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四</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科研勘察设计费</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840</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840</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五</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其他</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708</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708</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一至五部分投资合计</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10343</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42</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2123</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12507</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
                <w:bCs w:val="0"/>
                <w:color w:val="000000"/>
                <w:sz w:val="24"/>
                <w:szCs w:val="24"/>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基本预备费</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625</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
                <w:bCs w:val="0"/>
                <w:color w:val="000000"/>
                <w:sz w:val="24"/>
                <w:szCs w:val="24"/>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静态投资</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13133</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II</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专项部分投资</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1802</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一</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建设征地与移民安置补偿投资</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1485</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1485</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二</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环境保护工程投资</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166</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166</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三</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水土保持工程投资</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150</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150</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III</w:t>
            </w: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工程投资合计（Ⅰ-Ⅱ合计）</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14934</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总基本预备费</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625</w:t>
            </w:r>
          </w:p>
        </w:tc>
      </w:tr>
      <w:tr>
        <w:tblPrEx>
          <w:tblCellMar>
            <w:top w:w="0" w:type="dxa"/>
            <w:left w:w="0" w:type="dxa"/>
            <w:bottom w:w="0" w:type="dxa"/>
            <w:right w:w="0" w:type="dxa"/>
          </w:tblCellMar>
        </w:tblPrEx>
        <w:trPr>
          <w:trHeight w:val="567" w:hRule="exac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center"/>
              <w:rPr>
                <w:rFonts w:hint="eastAsia" w:ascii="宋体" w:hAnsi="宋体" w:eastAsia="宋体" w:cs="宋体"/>
                <w:bCs/>
                <w:color w:val="000000"/>
                <w:sz w:val="24"/>
                <w:szCs w:val="24"/>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静态总投资</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tc>
        <w:tc>
          <w:tcPr>
            <w:tcW w:w="13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14934</w:t>
            </w:r>
          </w:p>
        </w:tc>
      </w:tr>
    </w:tbl>
    <w:p>
      <w:pPr>
        <w:keepNext w:val="0"/>
        <w:keepLines w:val="0"/>
        <w:pageBreakBefore w:val="0"/>
        <w:kinsoku/>
        <w:wordWrap/>
        <w:overflowPunct/>
        <w:topLinePunct w:val="0"/>
        <w:autoSpaceDE/>
        <w:autoSpaceDN/>
        <w:bidi w:val="0"/>
        <w:adjustRightInd/>
        <w:snapToGrid/>
        <w:spacing w:line="500" w:lineRule="exact"/>
        <w:ind w:firstLine="0" w:firstLineChars="0"/>
        <w:rPr>
          <w:rFonts w:ascii="Times New Roman" w:eastAsia="方正仿宋_GBK"/>
          <w:sz w:val="32"/>
          <w:szCs w:val="32"/>
        </w:rPr>
      </w:pPr>
    </w:p>
    <w:p>
      <w:pPr>
        <w:spacing w:line="594" w:lineRule="exact"/>
        <w:ind w:firstLine="6080" w:firstLineChars="1900"/>
        <w:rPr>
          <w:rFonts w:ascii="Times New Roman" w:eastAsia="方正仿宋_GBK"/>
          <w:sz w:val="32"/>
          <w:szCs w:val="32"/>
        </w:rPr>
      </w:pPr>
    </w:p>
    <w:p>
      <w:pPr>
        <w:spacing w:line="240" w:lineRule="auto"/>
        <w:ind w:left="0" w:leftChars="0" w:firstLine="0" w:firstLineChars="0"/>
        <w:jc w:val="left"/>
      </w:pPr>
    </w:p>
    <w:p>
      <w:pPr>
        <w:spacing w:line="240" w:lineRule="auto"/>
        <w:ind w:left="0" w:leftChars="0" w:firstLine="0" w:firstLineChars="0"/>
        <w:jc w:val="left"/>
      </w:pPr>
    </w:p>
    <w:p>
      <w:pPr>
        <w:spacing w:line="240" w:lineRule="auto"/>
        <w:ind w:left="0" w:leftChars="0" w:firstLine="0" w:firstLineChars="0"/>
        <w:jc w:val="left"/>
      </w:pPr>
    </w:p>
    <w:p>
      <w:pPr>
        <w:spacing w:line="240" w:lineRule="auto"/>
        <w:ind w:left="0" w:leftChars="0" w:firstLine="0" w:firstLineChars="0"/>
        <w:jc w:val="left"/>
        <w:rPr>
          <w:rFonts w:hint="default" w:eastAsia="方正仿宋_GBK"/>
          <w:lang w:val="en-US" w:eastAsia="zh-CN"/>
        </w:rPr>
      </w:pPr>
      <w:r>
        <w:rPr>
          <w:rFonts w:hint="default" w:ascii="Times New Roman" w:hAnsi="Times New Roman" w:eastAsia="方正黑体_GBK" w:cs="Times New Roman"/>
          <w:sz w:val="32"/>
          <w:szCs w:val="32"/>
          <w:lang w:eastAsia="zh-CN"/>
        </w:rPr>
        <w:t>附件</w:t>
      </w:r>
      <w:r>
        <w:rPr>
          <w:rFonts w:hint="eastAsia" w:eastAsia="方正黑体_GBK" w:cs="Times New Roman"/>
          <w:sz w:val="32"/>
          <w:szCs w:val="32"/>
          <w:lang w:val="en-US" w:eastAsia="zh-CN"/>
        </w:rPr>
        <w:t>2</w:t>
      </w:r>
    </w:p>
    <w:p>
      <w:pPr>
        <w:spacing w:line="240" w:lineRule="auto"/>
        <w:ind w:left="0" w:leftChars="0" w:firstLine="0" w:firstLineChars="0"/>
        <w:jc w:val="left"/>
        <w:rPr>
          <w:rFonts w:ascii="Times New Roman" w:eastAsia="方正仿宋_GBK"/>
          <w:sz w:val="32"/>
          <w:szCs w:val="32"/>
        </w:rPr>
      </w:pPr>
      <w:r>
        <w:drawing>
          <wp:inline distT="0" distB="0" distL="114300" distR="114300">
            <wp:extent cx="5723255" cy="7516495"/>
            <wp:effectExtent l="0" t="0" r="1079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723255" cy="7516495"/>
                    </a:xfrm>
                    <a:prstGeom prst="rect">
                      <a:avLst/>
                    </a:prstGeom>
                    <a:noFill/>
                    <a:ln>
                      <a:noFill/>
                    </a:ln>
                  </pic:spPr>
                </pic:pic>
              </a:graphicData>
            </a:graphic>
          </wp:inline>
        </w:drawing>
      </w:r>
    </w:p>
    <w:p>
      <w:pPr>
        <w:spacing w:line="594" w:lineRule="exact"/>
        <w:ind w:firstLine="6080" w:firstLineChars="1900"/>
        <w:rPr>
          <w:rFonts w:ascii="Times New Roman" w:eastAsia="方正仿宋_GBK"/>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85" w:right="1446" w:bottom="1684" w:left="14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楷体_GBK">
    <w:panose1 w:val="02000000000000000000"/>
    <w:charset w:val="86"/>
    <w:family w:val="script"/>
    <w:pitch w:val="default"/>
    <w:sig w:usb0="A00002BF" w:usb1="38CF7CFA"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A8"/>
    <w:rsid w:val="000018D3"/>
    <w:rsid w:val="000038FA"/>
    <w:rsid w:val="000068D0"/>
    <w:rsid w:val="000159EE"/>
    <w:rsid w:val="00015F8C"/>
    <w:rsid w:val="00016D15"/>
    <w:rsid w:val="000217D0"/>
    <w:rsid w:val="000220E3"/>
    <w:rsid w:val="000226D3"/>
    <w:rsid w:val="000232BE"/>
    <w:rsid w:val="0002518D"/>
    <w:rsid w:val="00030227"/>
    <w:rsid w:val="00030281"/>
    <w:rsid w:val="000326A1"/>
    <w:rsid w:val="00034C2A"/>
    <w:rsid w:val="000360ED"/>
    <w:rsid w:val="000372BC"/>
    <w:rsid w:val="00040170"/>
    <w:rsid w:val="00044B16"/>
    <w:rsid w:val="00045576"/>
    <w:rsid w:val="000459E7"/>
    <w:rsid w:val="00045B1A"/>
    <w:rsid w:val="0004691F"/>
    <w:rsid w:val="00046A9A"/>
    <w:rsid w:val="00053C06"/>
    <w:rsid w:val="000561D1"/>
    <w:rsid w:val="00064EF8"/>
    <w:rsid w:val="00065F51"/>
    <w:rsid w:val="00066531"/>
    <w:rsid w:val="00070143"/>
    <w:rsid w:val="00070313"/>
    <w:rsid w:val="00081CB1"/>
    <w:rsid w:val="000822B0"/>
    <w:rsid w:val="00082C77"/>
    <w:rsid w:val="000839D3"/>
    <w:rsid w:val="0009251A"/>
    <w:rsid w:val="000955DA"/>
    <w:rsid w:val="0009740D"/>
    <w:rsid w:val="000B0AAD"/>
    <w:rsid w:val="000B2392"/>
    <w:rsid w:val="000B605F"/>
    <w:rsid w:val="000C5459"/>
    <w:rsid w:val="000C619F"/>
    <w:rsid w:val="000D3F8A"/>
    <w:rsid w:val="000D4C39"/>
    <w:rsid w:val="000D5140"/>
    <w:rsid w:val="000D623F"/>
    <w:rsid w:val="000D6EBE"/>
    <w:rsid w:val="000E4198"/>
    <w:rsid w:val="000E43BD"/>
    <w:rsid w:val="000E69AD"/>
    <w:rsid w:val="000F14E4"/>
    <w:rsid w:val="000F1635"/>
    <w:rsid w:val="000F4339"/>
    <w:rsid w:val="000F5FB7"/>
    <w:rsid w:val="000F799C"/>
    <w:rsid w:val="000F7BDC"/>
    <w:rsid w:val="00101629"/>
    <w:rsid w:val="00101F76"/>
    <w:rsid w:val="00110E29"/>
    <w:rsid w:val="001118BB"/>
    <w:rsid w:val="00112384"/>
    <w:rsid w:val="00113A2E"/>
    <w:rsid w:val="001175A0"/>
    <w:rsid w:val="001222FE"/>
    <w:rsid w:val="0012273E"/>
    <w:rsid w:val="001235D1"/>
    <w:rsid w:val="00123BA7"/>
    <w:rsid w:val="00124FC0"/>
    <w:rsid w:val="0013003E"/>
    <w:rsid w:val="001331E7"/>
    <w:rsid w:val="00135707"/>
    <w:rsid w:val="001402E2"/>
    <w:rsid w:val="001407C6"/>
    <w:rsid w:val="00141CEB"/>
    <w:rsid w:val="001434DE"/>
    <w:rsid w:val="0015355A"/>
    <w:rsid w:val="00153D84"/>
    <w:rsid w:val="00155A8E"/>
    <w:rsid w:val="00156587"/>
    <w:rsid w:val="001565C6"/>
    <w:rsid w:val="00160031"/>
    <w:rsid w:val="00164D20"/>
    <w:rsid w:val="00165028"/>
    <w:rsid w:val="0017595E"/>
    <w:rsid w:val="00176FBA"/>
    <w:rsid w:val="001812F4"/>
    <w:rsid w:val="0018527E"/>
    <w:rsid w:val="001873DB"/>
    <w:rsid w:val="001957CA"/>
    <w:rsid w:val="001A1FF2"/>
    <w:rsid w:val="001A298F"/>
    <w:rsid w:val="001B3088"/>
    <w:rsid w:val="001B5A28"/>
    <w:rsid w:val="001C0511"/>
    <w:rsid w:val="001C4131"/>
    <w:rsid w:val="001C4F0C"/>
    <w:rsid w:val="001D2710"/>
    <w:rsid w:val="001D4969"/>
    <w:rsid w:val="001D7528"/>
    <w:rsid w:val="001E1781"/>
    <w:rsid w:val="001E1F8E"/>
    <w:rsid w:val="001E3822"/>
    <w:rsid w:val="001E4882"/>
    <w:rsid w:val="001E4E14"/>
    <w:rsid w:val="001E57BC"/>
    <w:rsid w:val="001F648A"/>
    <w:rsid w:val="001F6C5F"/>
    <w:rsid w:val="001F760F"/>
    <w:rsid w:val="00204684"/>
    <w:rsid w:val="00204A37"/>
    <w:rsid w:val="002065A2"/>
    <w:rsid w:val="00206F9D"/>
    <w:rsid w:val="00211951"/>
    <w:rsid w:val="002150C1"/>
    <w:rsid w:val="00221794"/>
    <w:rsid w:val="00222D6D"/>
    <w:rsid w:val="00224199"/>
    <w:rsid w:val="002254C1"/>
    <w:rsid w:val="00230DD7"/>
    <w:rsid w:val="00244646"/>
    <w:rsid w:val="00247B0C"/>
    <w:rsid w:val="00252EE3"/>
    <w:rsid w:val="0025314B"/>
    <w:rsid w:val="00256135"/>
    <w:rsid w:val="002611F3"/>
    <w:rsid w:val="00262649"/>
    <w:rsid w:val="00266065"/>
    <w:rsid w:val="00270D54"/>
    <w:rsid w:val="0027188D"/>
    <w:rsid w:val="00272B9F"/>
    <w:rsid w:val="0028456E"/>
    <w:rsid w:val="00290248"/>
    <w:rsid w:val="0029126D"/>
    <w:rsid w:val="0029477E"/>
    <w:rsid w:val="002956BA"/>
    <w:rsid w:val="00297788"/>
    <w:rsid w:val="002A0F41"/>
    <w:rsid w:val="002A3F09"/>
    <w:rsid w:val="002A51CF"/>
    <w:rsid w:val="002B2F07"/>
    <w:rsid w:val="002C40A8"/>
    <w:rsid w:val="002C453E"/>
    <w:rsid w:val="002C643B"/>
    <w:rsid w:val="002C7D3B"/>
    <w:rsid w:val="002D242F"/>
    <w:rsid w:val="002D5F9F"/>
    <w:rsid w:val="002D6D2E"/>
    <w:rsid w:val="002E2544"/>
    <w:rsid w:val="002F069B"/>
    <w:rsid w:val="002F240C"/>
    <w:rsid w:val="002F7534"/>
    <w:rsid w:val="00301EBB"/>
    <w:rsid w:val="003033E3"/>
    <w:rsid w:val="00303C3B"/>
    <w:rsid w:val="00306800"/>
    <w:rsid w:val="00310BB2"/>
    <w:rsid w:val="003127E6"/>
    <w:rsid w:val="003136C7"/>
    <w:rsid w:val="003150AD"/>
    <w:rsid w:val="00325245"/>
    <w:rsid w:val="0032793C"/>
    <w:rsid w:val="00330538"/>
    <w:rsid w:val="0034278D"/>
    <w:rsid w:val="00342799"/>
    <w:rsid w:val="0034487B"/>
    <w:rsid w:val="00350D9E"/>
    <w:rsid w:val="00351251"/>
    <w:rsid w:val="00354C36"/>
    <w:rsid w:val="003564EB"/>
    <w:rsid w:val="00366901"/>
    <w:rsid w:val="00370738"/>
    <w:rsid w:val="00370D21"/>
    <w:rsid w:val="00371061"/>
    <w:rsid w:val="00377263"/>
    <w:rsid w:val="00377398"/>
    <w:rsid w:val="00380645"/>
    <w:rsid w:val="00383282"/>
    <w:rsid w:val="00387AE2"/>
    <w:rsid w:val="003905BD"/>
    <w:rsid w:val="003914F8"/>
    <w:rsid w:val="00392E1D"/>
    <w:rsid w:val="00396545"/>
    <w:rsid w:val="00396C42"/>
    <w:rsid w:val="003979A0"/>
    <w:rsid w:val="003A0B9E"/>
    <w:rsid w:val="003A1CDD"/>
    <w:rsid w:val="003A7D55"/>
    <w:rsid w:val="003B1074"/>
    <w:rsid w:val="003B3A1C"/>
    <w:rsid w:val="003B4E05"/>
    <w:rsid w:val="003B56B0"/>
    <w:rsid w:val="003B684F"/>
    <w:rsid w:val="003D6559"/>
    <w:rsid w:val="003D6A8A"/>
    <w:rsid w:val="003E17B3"/>
    <w:rsid w:val="003E19DC"/>
    <w:rsid w:val="003E2026"/>
    <w:rsid w:val="003E4373"/>
    <w:rsid w:val="003E4E16"/>
    <w:rsid w:val="003E4ED2"/>
    <w:rsid w:val="003F3C9F"/>
    <w:rsid w:val="003F77FB"/>
    <w:rsid w:val="00407A13"/>
    <w:rsid w:val="00410B18"/>
    <w:rsid w:val="004119B9"/>
    <w:rsid w:val="004128A9"/>
    <w:rsid w:val="004136DF"/>
    <w:rsid w:val="00413ABE"/>
    <w:rsid w:val="0041618A"/>
    <w:rsid w:val="00417F09"/>
    <w:rsid w:val="00424C49"/>
    <w:rsid w:val="00424DF2"/>
    <w:rsid w:val="00426054"/>
    <w:rsid w:val="00435776"/>
    <w:rsid w:val="00437BB0"/>
    <w:rsid w:val="00444385"/>
    <w:rsid w:val="0044586B"/>
    <w:rsid w:val="00446BD4"/>
    <w:rsid w:val="00450375"/>
    <w:rsid w:val="004534D7"/>
    <w:rsid w:val="00457AF3"/>
    <w:rsid w:val="0046136D"/>
    <w:rsid w:val="0046183E"/>
    <w:rsid w:val="004848ED"/>
    <w:rsid w:val="00494CCD"/>
    <w:rsid w:val="004A0C50"/>
    <w:rsid w:val="004A47BA"/>
    <w:rsid w:val="004B4EAC"/>
    <w:rsid w:val="004B77FD"/>
    <w:rsid w:val="004C2983"/>
    <w:rsid w:val="004C4674"/>
    <w:rsid w:val="004C50A4"/>
    <w:rsid w:val="004C5AC8"/>
    <w:rsid w:val="004D18C6"/>
    <w:rsid w:val="004D46B9"/>
    <w:rsid w:val="004E1AEB"/>
    <w:rsid w:val="004E3346"/>
    <w:rsid w:val="004E674F"/>
    <w:rsid w:val="004F1F59"/>
    <w:rsid w:val="00505F8C"/>
    <w:rsid w:val="005106FD"/>
    <w:rsid w:val="00512173"/>
    <w:rsid w:val="00512C56"/>
    <w:rsid w:val="00513033"/>
    <w:rsid w:val="00513F6A"/>
    <w:rsid w:val="00515DA6"/>
    <w:rsid w:val="005174C6"/>
    <w:rsid w:val="005207C5"/>
    <w:rsid w:val="00523E90"/>
    <w:rsid w:val="0052472D"/>
    <w:rsid w:val="00524AC2"/>
    <w:rsid w:val="00526A59"/>
    <w:rsid w:val="005302A2"/>
    <w:rsid w:val="00540A58"/>
    <w:rsid w:val="00544AAF"/>
    <w:rsid w:val="00545F23"/>
    <w:rsid w:val="00550785"/>
    <w:rsid w:val="00552C9C"/>
    <w:rsid w:val="00561F79"/>
    <w:rsid w:val="00562F8B"/>
    <w:rsid w:val="00565634"/>
    <w:rsid w:val="00566BFB"/>
    <w:rsid w:val="00567F2F"/>
    <w:rsid w:val="00570118"/>
    <w:rsid w:val="005701CC"/>
    <w:rsid w:val="005718CF"/>
    <w:rsid w:val="00572D0C"/>
    <w:rsid w:val="00574E7E"/>
    <w:rsid w:val="00583E2F"/>
    <w:rsid w:val="00586EDA"/>
    <w:rsid w:val="005A2598"/>
    <w:rsid w:val="005A459B"/>
    <w:rsid w:val="005A5E43"/>
    <w:rsid w:val="005A66A2"/>
    <w:rsid w:val="005B12C6"/>
    <w:rsid w:val="005B3D19"/>
    <w:rsid w:val="005C1BF2"/>
    <w:rsid w:val="005C50C5"/>
    <w:rsid w:val="005D3E5C"/>
    <w:rsid w:val="005D6508"/>
    <w:rsid w:val="005E13F1"/>
    <w:rsid w:val="005E4610"/>
    <w:rsid w:val="005F01FF"/>
    <w:rsid w:val="005F571D"/>
    <w:rsid w:val="005F5DFA"/>
    <w:rsid w:val="005F7D78"/>
    <w:rsid w:val="006014FB"/>
    <w:rsid w:val="00616A65"/>
    <w:rsid w:val="00621781"/>
    <w:rsid w:val="00621928"/>
    <w:rsid w:val="00623723"/>
    <w:rsid w:val="006251C5"/>
    <w:rsid w:val="00626AEF"/>
    <w:rsid w:val="00640073"/>
    <w:rsid w:val="0064348D"/>
    <w:rsid w:val="0064709D"/>
    <w:rsid w:val="006472E4"/>
    <w:rsid w:val="00650D9A"/>
    <w:rsid w:val="006534AE"/>
    <w:rsid w:val="00653BA0"/>
    <w:rsid w:val="0065455E"/>
    <w:rsid w:val="00661334"/>
    <w:rsid w:val="00662D7A"/>
    <w:rsid w:val="006651EE"/>
    <w:rsid w:val="0066548A"/>
    <w:rsid w:val="00677790"/>
    <w:rsid w:val="00680D04"/>
    <w:rsid w:val="00681D5B"/>
    <w:rsid w:val="00682812"/>
    <w:rsid w:val="0068426C"/>
    <w:rsid w:val="006907BD"/>
    <w:rsid w:val="00694A7D"/>
    <w:rsid w:val="00694DC9"/>
    <w:rsid w:val="00697744"/>
    <w:rsid w:val="006A0695"/>
    <w:rsid w:val="006B100F"/>
    <w:rsid w:val="006B5383"/>
    <w:rsid w:val="006C089D"/>
    <w:rsid w:val="006C1304"/>
    <w:rsid w:val="006C3A9D"/>
    <w:rsid w:val="006C56AE"/>
    <w:rsid w:val="006D21B2"/>
    <w:rsid w:val="006D3B9D"/>
    <w:rsid w:val="006D5054"/>
    <w:rsid w:val="006F2981"/>
    <w:rsid w:val="006F35A6"/>
    <w:rsid w:val="006F36C0"/>
    <w:rsid w:val="006F3A4D"/>
    <w:rsid w:val="006F6069"/>
    <w:rsid w:val="00702B85"/>
    <w:rsid w:val="00706B5D"/>
    <w:rsid w:val="00706C93"/>
    <w:rsid w:val="00707785"/>
    <w:rsid w:val="007116F2"/>
    <w:rsid w:val="00711776"/>
    <w:rsid w:val="00712172"/>
    <w:rsid w:val="00714285"/>
    <w:rsid w:val="00715960"/>
    <w:rsid w:val="00720208"/>
    <w:rsid w:val="0072364F"/>
    <w:rsid w:val="00723C44"/>
    <w:rsid w:val="00724FC1"/>
    <w:rsid w:val="0072598D"/>
    <w:rsid w:val="00725C4D"/>
    <w:rsid w:val="00726055"/>
    <w:rsid w:val="00726E29"/>
    <w:rsid w:val="00732A61"/>
    <w:rsid w:val="0073586B"/>
    <w:rsid w:val="00735DB4"/>
    <w:rsid w:val="0074047E"/>
    <w:rsid w:val="00741FC5"/>
    <w:rsid w:val="007547B2"/>
    <w:rsid w:val="00757674"/>
    <w:rsid w:val="00763175"/>
    <w:rsid w:val="0076487C"/>
    <w:rsid w:val="00767500"/>
    <w:rsid w:val="00777FA6"/>
    <w:rsid w:val="00782743"/>
    <w:rsid w:val="00785125"/>
    <w:rsid w:val="00785770"/>
    <w:rsid w:val="007958AB"/>
    <w:rsid w:val="007A282E"/>
    <w:rsid w:val="007A3E4C"/>
    <w:rsid w:val="007A5BA6"/>
    <w:rsid w:val="007B08D2"/>
    <w:rsid w:val="007B0FC7"/>
    <w:rsid w:val="007B112B"/>
    <w:rsid w:val="007B491E"/>
    <w:rsid w:val="007C098B"/>
    <w:rsid w:val="007C11D5"/>
    <w:rsid w:val="007C1626"/>
    <w:rsid w:val="007C2446"/>
    <w:rsid w:val="007C427C"/>
    <w:rsid w:val="007C56FB"/>
    <w:rsid w:val="007C6BCC"/>
    <w:rsid w:val="007D3577"/>
    <w:rsid w:val="007D4697"/>
    <w:rsid w:val="007D510A"/>
    <w:rsid w:val="007E011D"/>
    <w:rsid w:val="007F11A2"/>
    <w:rsid w:val="007F22E9"/>
    <w:rsid w:val="007F6C17"/>
    <w:rsid w:val="00800DFE"/>
    <w:rsid w:val="00804ACD"/>
    <w:rsid w:val="00805E9E"/>
    <w:rsid w:val="00807F28"/>
    <w:rsid w:val="008124AB"/>
    <w:rsid w:val="00815E4A"/>
    <w:rsid w:val="00821F17"/>
    <w:rsid w:val="00827F58"/>
    <w:rsid w:val="00831346"/>
    <w:rsid w:val="00832027"/>
    <w:rsid w:val="00833B49"/>
    <w:rsid w:val="00834131"/>
    <w:rsid w:val="008403A7"/>
    <w:rsid w:val="00840D6B"/>
    <w:rsid w:val="0084486E"/>
    <w:rsid w:val="008515FC"/>
    <w:rsid w:val="00852494"/>
    <w:rsid w:val="0085531C"/>
    <w:rsid w:val="0085719A"/>
    <w:rsid w:val="00861039"/>
    <w:rsid w:val="008616B9"/>
    <w:rsid w:val="00863E12"/>
    <w:rsid w:val="00880FF1"/>
    <w:rsid w:val="008813D9"/>
    <w:rsid w:val="00886254"/>
    <w:rsid w:val="00893022"/>
    <w:rsid w:val="00894DDD"/>
    <w:rsid w:val="008A01D7"/>
    <w:rsid w:val="008A73A2"/>
    <w:rsid w:val="008B191A"/>
    <w:rsid w:val="008B2710"/>
    <w:rsid w:val="008B3130"/>
    <w:rsid w:val="008B4F23"/>
    <w:rsid w:val="008B7466"/>
    <w:rsid w:val="008B7E77"/>
    <w:rsid w:val="008C295F"/>
    <w:rsid w:val="008C5EA4"/>
    <w:rsid w:val="008C7D40"/>
    <w:rsid w:val="008D0F88"/>
    <w:rsid w:val="008D246B"/>
    <w:rsid w:val="008D348C"/>
    <w:rsid w:val="008D4B96"/>
    <w:rsid w:val="008D6E2F"/>
    <w:rsid w:val="008E0845"/>
    <w:rsid w:val="008E2E4B"/>
    <w:rsid w:val="008E33B6"/>
    <w:rsid w:val="008E5EEC"/>
    <w:rsid w:val="008F6440"/>
    <w:rsid w:val="00901CB9"/>
    <w:rsid w:val="009051E4"/>
    <w:rsid w:val="00906E41"/>
    <w:rsid w:val="009101BD"/>
    <w:rsid w:val="00910C5A"/>
    <w:rsid w:val="0091115E"/>
    <w:rsid w:val="0091128E"/>
    <w:rsid w:val="00911ECA"/>
    <w:rsid w:val="00915EED"/>
    <w:rsid w:val="00916813"/>
    <w:rsid w:val="00921328"/>
    <w:rsid w:val="0092244D"/>
    <w:rsid w:val="00922C06"/>
    <w:rsid w:val="00923D91"/>
    <w:rsid w:val="009320D3"/>
    <w:rsid w:val="00932AEB"/>
    <w:rsid w:val="00934847"/>
    <w:rsid w:val="00934DBC"/>
    <w:rsid w:val="009356EB"/>
    <w:rsid w:val="0094028B"/>
    <w:rsid w:val="0094435E"/>
    <w:rsid w:val="009630A3"/>
    <w:rsid w:val="009667EF"/>
    <w:rsid w:val="00970FF2"/>
    <w:rsid w:val="0097358E"/>
    <w:rsid w:val="00973B70"/>
    <w:rsid w:val="00982197"/>
    <w:rsid w:val="00985672"/>
    <w:rsid w:val="0099139B"/>
    <w:rsid w:val="00991CBC"/>
    <w:rsid w:val="00993D42"/>
    <w:rsid w:val="009966B8"/>
    <w:rsid w:val="009A0B47"/>
    <w:rsid w:val="009A3403"/>
    <w:rsid w:val="009A4946"/>
    <w:rsid w:val="009B1562"/>
    <w:rsid w:val="009B183E"/>
    <w:rsid w:val="009B6E03"/>
    <w:rsid w:val="009C4C9A"/>
    <w:rsid w:val="009C536E"/>
    <w:rsid w:val="009D2638"/>
    <w:rsid w:val="009D2AE4"/>
    <w:rsid w:val="009E25ED"/>
    <w:rsid w:val="009E4836"/>
    <w:rsid w:val="009E4980"/>
    <w:rsid w:val="009E5E86"/>
    <w:rsid w:val="009E7925"/>
    <w:rsid w:val="009E7F03"/>
    <w:rsid w:val="009F3373"/>
    <w:rsid w:val="009F4489"/>
    <w:rsid w:val="009F777C"/>
    <w:rsid w:val="009F7EFE"/>
    <w:rsid w:val="00A04130"/>
    <w:rsid w:val="00A10A91"/>
    <w:rsid w:val="00A11848"/>
    <w:rsid w:val="00A1184C"/>
    <w:rsid w:val="00A22999"/>
    <w:rsid w:val="00A25B6E"/>
    <w:rsid w:val="00A2619F"/>
    <w:rsid w:val="00A303D6"/>
    <w:rsid w:val="00A34BBC"/>
    <w:rsid w:val="00A36201"/>
    <w:rsid w:val="00A52E0F"/>
    <w:rsid w:val="00A53A56"/>
    <w:rsid w:val="00A54145"/>
    <w:rsid w:val="00A56532"/>
    <w:rsid w:val="00A56E20"/>
    <w:rsid w:val="00A63802"/>
    <w:rsid w:val="00A70C8D"/>
    <w:rsid w:val="00A72C40"/>
    <w:rsid w:val="00A747D1"/>
    <w:rsid w:val="00A83921"/>
    <w:rsid w:val="00A97E02"/>
    <w:rsid w:val="00AA3329"/>
    <w:rsid w:val="00AA4A68"/>
    <w:rsid w:val="00AA5360"/>
    <w:rsid w:val="00AB3D8C"/>
    <w:rsid w:val="00AB3DC9"/>
    <w:rsid w:val="00AB58FC"/>
    <w:rsid w:val="00AC4738"/>
    <w:rsid w:val="00AC6736"/>
    <w:rsid w:val="00AD5092"/>
    <w:rsid w:val="00AD6BB8"/>
    <w:rsid w:val="00AD6D59"/>
    <w:rsid w:val="00AE146B"/>
    <w:rsid w:val="00AE1E54"/>
    <w:rsid w:val="00AE50D6"/>
    <w:rsid w:val="00AE7DD3"/>
    <w:rsid w:val="00AF33F4"/>
    <w:rsid w:val="00AF3A14"/>
    <w:rsid w:val="00AF53C4"/>
    <w:rsid w:val="00B05376"/>
    <w:rsid w:val="00B11519"/>
    <w:rsid w:val="00B12044"/>
    <w:rsid w:val="00B12AC5"/>
    <w:rsid w:val="00B14423"/>
    <w:rsid w:val="00B15EDB"/>
    <w:rsid w:val="00B26CA0"/>
    <w:rsid w:val="00B30B1F"/>
    <w:rsid w:val="00B37CC9"/>
    <w:rsid w:val="00B4452F"/>
    <w:rsid w:val="00B45AFA"/>
    <w:rsid w:val="00B46464"/>
    <w:rsid w:val="00B50C9D"/>
    <w:rsid w:val="00B637DD"/>
    <w:rsid w:val="00B72221"/>
    <w:rsid w:val="00B76B3A"/>
    <w:rsid w:val="00B77390"/>
    <w:rsid w:val="00B85169"/>
    <w:rsid w:val="00B94CB8"/>
    <w:rsid w:val="00B95CBC"/>
    <w:rsid w:val="00B96F5E"/>
    <w:rsid w:val="00B97B19"/>
    <w:rsid w:val="00BA0B84"/>
    <w:rsid w:val="00BA0D6F"/>
    <w:rsid w:val="00BA765C"/>
    <w:rsid w:val="00BD1B3B"/>
    <w:rsid w:val="00BD2473"/>
    <w:rsid w:val="00BE005E"/>
    <w:rsid w:val="00BE08A7"/>
    <w:rsid w:val="00BE18E8"/>
    <w:rsid w:val="00BE4F79"/>
    <w:rsid w:val="00BE68FB"/>
    <w:rsid w:val="00BF0505"/>
    <w:rsid w:val="00BF2DA3"/>
    <w:rsid w:val="00C03325"/>
    <w:rsid w:val="00C04F4F"/>
    <w:rsid w:val="00C13066"/>
    <w:rsid w:val="00C218D6"/>
    <w:rsid w:val="00C30C6B"/>
    <w:rsid w:val="00C3432A"/>
    <w:rsid w:val="00C35CE8"/>
    <w:rsid w:val="00C42090"/>
    <w:rsid w:val="00C44A86"/>
    <w:rsid w:val="00C44E47"/>
    <w:rsid w:val="00C457AA"/>
    <w:rsid w:val="00C45CEB"/>
    <w:rsid w:val="00C467E6"/>
    <w:rsid w:val="00C46957"/>
    <w:rsid w:val="00C47846"/>
    <w:rsid w:val="00C55972"/>
    <w:rsid w:val="00C64B26"/>
    <w:rsid w:val="00C66DF9"/>
    <w:rsid w:val="00C81ADC"/>
    <w:rsid w:val="00C81B08"/>
    <w:rsid w:val="00C84B84"/>
    <w:rsid w:val="00C85516"/>
    <w:rsid w:val="00C87A24"/>
    <w:rsid w:val="00C95D87"/>
    <w:rsid w:val="00CA4A77"/>
    <w:rsid w:val="00CB2510"/>
    <w:rsid w:val="00CB4265"/>
    <w:rsid w:val="00CB5213"/>
    <w:rsid w:val="00CB66DD"/>
    <w:rsid w:val="00CB6C54"/>
    <w:rsid w:val="00CC4A8D"/>
    <w:rsid w:val="00CC7C3D"/>
    <w:rsid w:val="00CC7D2F"/>
    <w:rsid w:val="00CD2A4E"/>
    <w:rsid w:val="00CE24EC"/>
    <w:rsid w:val="00CE503E"/>
    <w:rsid w:val="00CE5094"/>
    <w:rsid w:val="00CF05CD"/>
    <w:rsid w:val="00CF38DB"/>
    <w:rsid w:val="00D07742"/>
    <w:rsid w:val="00D10D05"/>
    <w:rsid w:val="00D1270F"/>
    <w:rsid w:val="00D142C3"/>
    <w:rsid w:val="00D142D7"/>
    <w:rsid w:val="00D22CB0"/>
    <w:rsid w:val="00D2358F"/>
    <w:rsid w:val="00D2601A"/>
    <w:rsid w:val="00D341EF"/>
    <w:rsid w:val="00D36A36"/>
    <w:rsid w:val="00D37201"/>
    <w:rsid w:val="00D37B15"/>
    <w:rsid w:val="00D45BAE"/>
    <w:rsid w:val="00D552CF"/>
    <w:rsid w:val="00D5599B"/>
    <w:rsid w:val="00D57A5A"/>
    <w:rsid w:val="00D62523"/>
    <w:rsid w:val="00D71F9F"/>
    <w:rsid w:val="00D72A3A"/>
    <w:rsid w:val="00D73DC9"/>
    <w:rsid w:val="00D758EC"/>
    <w:rsid w:val="00D7752F"/>
    <w:rsid w:val="00D81B5C"/>
    <w:rsid w:val="00D83641"/>
    <w:rsid w:val="00D87D69"/>
    <w:rsid w:val="00D923A6"/>
    <w:rsid w:val="00D964C0"/>
    <w:rsid w:val="00DA5236"/>
    <w:rsid w:val="00DA74A0"/>
    <w:rsid w:val="00DB14FD"/>
    <w:rsid w:val="00DB2889"/>
    <w:rsid w:val="00DB6877"/>
    <w:rsid w:val="00DC06FD"/>
    <w:rsid w:val="00DC0943"/>
    <w:rsid w:val="00DC686C"/>
    <w:rsid w:val="00DD379F"/>
    <w:rsid w:val="00DD40E8"/>
    <w:rsid w:val="00DE083E"/>
    <w:rsid w:val="00DE3ACB"/>
    <w:rsid w:val="00DE460E"/>
    <w:rsid w:val="00DE7003"/>
    <w:rsid w:val="00DE764B"/>
    <w:rsid w:val="00DE7DDC"/>
    <w:rsid w:val="00DF1258"/>
    <w:rsid w:val="00DF1336"/>
    <w:rsid w:val="00DF25D5"/>
    <w:rsid w:val="00DF3FF2"/>
    <w:rsid w:val="00DF5D33"/>
    <w:rsid w:val="00E031EB"/>
    <w:rsid w:val="00E032D1"/>
    <w:rsid w:val="00E053C4"/>
    <w:rsid w:val="00E0575B"/>
    <w:rsid w:val="00E1576C"/>
    <w:rsid w:val="00E159A4"/>
    <w:rsid w:val="00E202C8"/>
    <w:rsid w:val="00E2162B"/>
    <w:rsid w:val="00E25B2C"/>
    <w:rsid w:val="00E27415"/>
    <w:rsid w:val="00E37919"/>
    <w:rsid w:val="00E46556"/>
    <w:rsid w:val="00E50BD9"/>
    <w:rsid w:val="00E54F3A"/>
    <w:rsid w:val="00E55DA2"/>
    <w:rsid w:val="00E57A71"/>
    <w:rsid w:val="00E600CB"/>
    <w:rsid w:val="00E6197A"/>
    <w:rsid w:val="00E6670E"/>
    <w:rsid w:val="00E66CE8"/>
    <w:rsid w:val="00E66D88"/>
    <w:rsid w:val="00E66EA3"/>
    <w:rsid w:val="00E74A61"/>
    <w:rsid w:val="00E865D2"/>
    <w:rsid w:val="00E91083"/>
    <w:rsid w:val="00E93FB6"/>
    <w:rsid w:val="00EA2A25"/>
    <w:rsid w:val="00EA4959"/>
    <w:rsid w:val="00EA6071"/>
    <w:rsid w:val="00EA7061"/>
    <w:rsid w:val="00EA7191"/>
    <w:rsid w:val="00EB4A9A"/>
    <w:rsid w:val="00EB5EFA"/>
    <w:rsid w:val="00EB6585"/>
    <w:rsid w:val="00EB7847"/>
    <w:rsid w:val="00EC161E"/>
    <w:rsid w:val="00EC5201"/>
    <w:rsid w:val="00ED4E9C"/>
    <w:rsid w:val="00EE08A8"/>
    <w:rsid w:val="00EE4B8C"/>
    <w:rsid w:val="00EF0348"/>
    <w:rsid w:val="00EF2406"/>
    <w:rsid w:val="00EF57C5"/>
    <w:rsid w:val="00F03A00"/>
    <w:rsid w:val="00F048C7"/>
    <w:rsid w:val="00F056FB"/>
    <w:rsid w:val="00F0636B"/>
    <w:rsid w:val="00F10755"/>
    <w:rsid w:val="00F12419"/>
    <w:rsid w:val="00F13147"/>
    <w:rsid w:val="00F15124"/>
    <w:rsid w:val="00F206BF"/>
    <w:rsid w:val="00F20AA6"/>
    <w:rsid w:val="00F26C02"/>
    <w:rsid w:val="00F31152"/>
    <w:rsid w:val="00F32175"/>
    <w:rsid w:val="00F3325A"/>
    <w:rsid w:val="00F36BA5"/>
    <w:rsid w:val="00F438E3"/>
    <w:rsid w:val="00F45263"/>
    <w:rsid w:val="00F52053"/>
    <w:rsid w:val="00F55043"/>
    <w:rsid w:val="00F56571"/>
    <w:rsid w:val="00F604DF"/>
    <w:rsid w:val="00F61295"/>
    <w:rsid w:val="00F77E88"/>
    <w:rsid w:val="00F8182D"/>
    <w:rsid w:val="00F81FDC"/>
    <w:rsid w:val="00F95A05"/>
    <w:rsid w:val="00FA1CB9"/>
    <w:rsid w:val="00FA3AEA"/>
    <w:rsid w:val="00FA7AA4"/>
    <w:rsid w:val="00FA7B7D"/>
    <w:rsid w:val="00FB0946"/>
    <w:rsid w:val="00FB0C6A"/>
    <w:rsid w:val="00FB227F"/>
    <w:rsid w:val="00FB354E"/>
    <w:rsid w:val="00FB3621"/>
    <w:rsid w:val="00FB3EF6"/>
    <w:rsid w:val="00FC26FF"/>
    <w:rsid w:val="00FC4805"/>
    <w:rsid w:val="00FC64A5"/>
    <w:rsid w:val="00FD13C7"/>
    <w:rsid w:val="00FD7C53"/>
    <w:rsid w:val="00FE05A6"/>
    <w:rsid w:val="00FE2AD7"/>
    <w:rsid w:val="00FE3B9B"/>
    <w:rsid w:val="00FE6D10"/>
    <w:rsid w:val="00FF0941"/>
    <w:rsid w:val="00FF0F46"/>
    <w:rsid w:val="00FF1A93"/>
    <w:rsid w:val="00FF1F86"/>
    <w:rsid w:val="00FF312F"/>
    <w:rsid w:val="07D63340"/>
    <w:rsid w:val="0FBD2685"/>
    <w:rsid w:val="13C6F925"/>
    <w:rsid w:val="17FF4253"/>
    <w:rsid w:val="19D7331E"/>
    <w:rsid w:val="1BFD2700"/>
    <w:rsid w:val="1BFF4CF2"/>
    <w:rsid w:val="1D3FD5FB"/>
    <w:rsid w:val="1E7F2821"/>
    <w:rsid w:val="1FF72881"/>
    <w:rsid w:val="23FF653E"/>
    <w:rsid w:val="2DDFA2B2"/>
    <w:rsid w:val="2F6CC440"/>
    <w:rsid w:val="32C31FF9"/>
    <w:rsid w:val="33DE527D"/>
    <w:rsid w:val="33FD554B"/>
    <w:rsid w:val="347FA16F"/>
    <w:rsid w:val="37B76913"/>
    <w:rsid w:val="37FFAE44"/>
    <w:rsid w:val="3A1F63ED"/>
    <w:rsid w:val="3D7FA0AE"/>
    <w:rsid w:val="3DFFAA81"/>
    <w:rsid w:val="3F2D4838"/>
    <w:rsid w:val="3FCF34FD"/>
    <w:rsid w:val="45FF6C51"/>
    <w:rsid w:val="477FB25C"/>
    <w:rsid w:val="4BF7AED5"/>
    <w:rsid w:val="4DEEED5F"/>
    <w:rsid w:val="53FD39E3"/>
    <w:rsid w:val="55790C06"/>
    <w:rsid w:val="5637BD7D"/>
    <w:rsid w:val="56FE7CC2"/>
    <w:rsid w:val="57D323D4"/>
    <w:rsid w:val="58F7122C"/>
    <w:rsid w:val="5BCFA411"/>
    <w:rsid w:val="5C4609F3"/>
    <w:rsid w:val="5CA6A349"/>
    <w:rsid w:val="5FCDEAE7"/>
    <w:rsid w:val="66B7D9EE"/>
    <w:rsid w:val="67FF67E3"/>
    <w:rsid w:val="67FFAC14"/>
    <w:rsid w:val="6ADA3BCF"/>
    <w:rsid w:val="6BFD6ED6"/>
    <w:rsid w:val="6BFF573D"/>
    <w:rsid w:val="6D954BBF"/>
    <w:rsid w:val="6DD35290"/>
    <w:rsid w:val="6DDEA8C2"/>
    <w:rsid w:val="6DFC4DDD"/>
    <w:rsid w:val="6F7B8E50"/>
    <w:rsid w:val="6FD204DF"/>
    <w:rsid w:val="6FD8E989"/>
    <w:rsid w:val="715CF45B"/>
    <w:rsid w:val="715F8676"/>
    <w:rsid w:val="73372C2D"/>
    <w:rsid w:val="736FC347"/>
    <w:rsid w:val="73BFE29A"/>
    <w:rsid w:val="73FFD7AE"/>
    <w:rsid w:val="753FDECF"/>
    <w:rsid w:val="76BAFA6A"/>
    <w:rsid w:val="76BE08E8"/>
    <w:rsid w:val="76DFF1F7"/>
    <w:rsid w:val="772D19B9"/>
    <w:rsid w:val="77637EB5"/>
    <w:rsid w:val="777FBB79"/>
    <w:rsid w:val="77D32086"/>
    <w:rsid w:val="77EB5420"/>
    <w:rsid w:val="77FAC634"/>
    <w:rsid w:val="77FBC57F"/>
    <w:rsid w:val="79B72F58"/>
    <w:rsid w:val="7A7DA11C"/>
    <w:rsid w:val="7AD5981E"/>
    <w:rsid w:val="7B16170F"/>
    <w:rsid w:val="7B73FD36"/>
    <w:rsid w:val="7BB7F442"/>
    <w:rsid w:val="7BE7A662"/>
    <w:rsid w:val="7D6DEE32"/>
    <w:rsid w:val="7D6EA90B"/>
    <w:rsid w:val="7D9DEDEF"/>
    <w:rsid w:val="7DD7919F"/>
    <w:rsid w:val="7DED571A"/>
    <w:rsid w:val="7EDBA470"/>
    <w:rsid w:val="7EEBD4C6"/>
    <w:rsid w:val="7EEF8FC1"/>
    <w:rsid w:val="7F4D137E"/>
    <w:rsid w:val="7F6FC46B"/>
    <w:rsid w:val="7F732450"/>
    <w:rsid w:val="7F774E5F"/>
    <w:rsid w:val="7F7C9556"/>
    <w:rsid w:val="7F7D58EC"/>
    <w:rsid w:val="7FE77FC3"/>
    <w:rsid w:val="7FEB98E6"/>
    <w:rsid w:val="7FF3019F"/>
    <w:rsid w:val="7FF6CE6D"/>
    <w:rsid w:val="7FFD11B8"/>
    <w:rsid w:val="7FFDE66F"/>
    <w:rsid w:val="7FFF4EE0"/>
    <w:rsid w:val="7FFF75BE"/>
    <w:rsid w:val="7FFFF898"/>
    <w:rsid w:val="87DFCAF5"/>
    <w:rsid w:val="8FD59646"/>
    <w:rsid w:val="9D4B5CFF"/>
    <w:rsid w:val="9ECFC99C"/>
    <w:rsid w:val="9FEF55FF"/>
    <w:rsid w:val="A34F7A5F"/>
    <w:rsid w:val="AB7FF647"/>
    <w:rsid w:val="B36BD62D"/>
    <w:rsid w:val="B7756087"/>
    <w:rsid w:val="B7E92E90"/>
    <w:rsid w:val="B973409B"/>
    <w:rsid w:val="BBCF91C2"/>
    <w:rsid w:val="BBFA34EF"/>
    <w:rsid w:val="BDEE3260"/>
    <w:rsid w:val="BE5ED327"/>
    <w:rsid w:val="BEBF2E4D"/>
    <w:rsid w:val="BEEB02BB"/>
    <w:rsid w:val="BEFF0816"/>
    <w:rsid w:val="BF7794DB"/>
    <w:rsid w:val="BFB9583A"/>
    <w:rsid w:val="BFEF65F2"/>
    <w:rsid w:val="BFF72E14"/>
    <w:rsid w:val="BFFE3E34"/>
    <w:rsid w:val="CBEFC692"/>
    <w:rsid w:val="CDFE203C"/>
    <w:rsid w:val="CFBF63D8"/>
    <w:rsid w:val="D167F561"/>
    <w:rsid w:val="D2972EFD"/>
    <w:rsid w:val="D3BE8276"/>
    <w:rsid w:val="D3D75413"/>
    <w:rsid w:val="D7B6E63F"/>
    <w:rsid w:val="D7E56FF3"/>
    <w:rsid w:val="D7FB3E05"/>
    <w:rsid w:val="DBBF1D8A"/>
    <w:rsid w:val="DC7F7253"/>
    <w:rsid w:val="DD5F679C"/>
    <w:rsid w:val="DDFC8B68"/>
    <w:rsid w:val="DE7E018A"/>
    <w:rsid w:val="DF7FE804"/>
    <w:rsid w:val="DF8D90C3"/>
    <w:rsid w:val="DFA35372"/>
    <w:rsid w:val="DFB62EC4"/>
    <w:rsid w:val="DFBD8772"/>
    <w:rsid w:val="DFBF2CA3"/>
    <w:rsid w:val="DFBFD56B"/>
    <w:rsid w:val="DFEF6BD6"/>
    <w:rsid w:val="DFFE7D25"/>
    <w:rsid w:val="E47EE53C"/>
    <w:rsid w:val="E5B7FE2D"/>
    <w:rsid w:val="E77C2560"/>
    <w:rsid w:val="E9CF1160"/>
    <w:rsid w:val="E9FE5288"/>
    <w:rsid w:val="EAFFF481"/>
    <w:rsid w:val="EB76FD9A"/>
    <w:rsid w:val="EBF37D61"/>
    <w:rsid w:val="ECDDCFBA"/>
    <w:rsid w:val="EEBF5ECF"/>
    <w:rsid w:val="EEBF7102"/>
    <w:rsid w:val="EEDDD883"/>
    <w:rsid w:val="EFFB4DBF"/>
    <w:rsid w:val="EFFB83EF"/>
    <w:rsid w:val="F2055967"/>
    <w:rsid w:val="F3F2728B"/>
    <w:rsid w:val="F3FD023C"/>
    <w:rsid w:val="F5DBA457"/>
    <w:rsid w:val="F5F57F5A"/>
    <w:rsid w:val="F5FA9DB6"/>
    <w:rsid w:val="F5FFC6D7"/>
    <w:rsid w:val="F5FFFCD8"/>
    <w:rsid w:val="F68FE333"/>
    <w:rsid w:val="F74F6333"/>
    <w:rsid w:val="F78DA7C4"/>
    <w:rsid w:val="F79F046D"/>
    <w:rsid w:val="F7BF6ACF"/>
    <w:rsid w:val="F7FC19A5"/>
    <w:rsid w:val="F7FF89A4"/>
    <w:rsid w:val="F887238F"/>
    <w:rsid w:val="F99F7E03"/>
    <w:rsid w:val="F9CF0AFE"/>
    <w:rsid w:val="F9DE2124"/>
    <w:rsid w:val="FBAF4AB7"/>
    <w:rsid w:val="FBFD22A9"/>
    <w:rsid w:val="FBFF70E0"/>
    <w:rsid w:val="FC7F7314"/>
    <w:rsid w:val="FCDB6126"/>
    <w:rsid w:val="FD9D75EE"/>
    <w:rsid w:val="FDAAA598"/>
    <w:rsid w:val="FDCBF3CD"/>
    <w:rsid w:val="FDFFCABA"/>
    <w:rsid w:val="FE7D0F82"/>
    <w:rsid w:val="FE7FA731"/>
    <w:rsid w:val="FEEE2168"/>
    <w:rsid w:val="FEFF0735"/>
    <w:rsid w:val="FF3D03D8"/>
    <w:rsid w:val="FF4E42E8"/>
    <w:rsid w:val="FF5F9671"/>
    <w:rsid w:val="FF7BB986"/>
    <w:rsid w:val="FF9B271B"/>
    <w:rsid w:val="FF9EE52E"/>
    <w:rsid w:val="FFA64886"/>
    <w:rsid w:val="FFD65321"/>
    <w:rsid w:val="FFD6F4E4"/>
    <w:rsid w:val="FFDF3093"/>
    <w:rsid w:val="FFEF3177"/>
    <w:rsid w:val="FFEFE3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方正仿宋_GBK" w:cs="Times New Roman"/>
      <w:kern w:val="2"/>
      <w:sz w:val="32"/>
      <w:szCs w:val="21"/>
      <w:lang w:val="en-US" w:eastAsia="zh-CN" w:bidi="ar-SA"/>
    </w:rPr>
  </w:style>
  <w:style w:type="paragraph" w:styleId="2">
    <w:name w:val="heading 1"/>
    <w:basedOn w:val="1"/>
    <w:next w:val="1"/>
    <w:link w:val="18"/>
    <w:qFormat/>
    <w:uiPriority w:val="9"/>
    <w:pPr>
      <w:keepNext/>
      <w:keepLines/>
      <w:spacing w:line="594" w:lineRule="exact"/>
      <w:ind w:firstLine="200"/>
      <w:outlineLvl w:val="0"/>
    </w:pPr>
    <w:rPr>
      <w:rFonts w:eastAsia="方正黑体_GBK"/>
      <w:bCs/>
      <w:kern w:val="44"/>
      <w:szCs w:val="44"/>
    </w:rPr>
  </w:style>
  <w:style w:type="paragraph" w:styleId="3">
    <w:name w:val="heading 2"/>
    <w:basedOn w:val="1"/>
    <w:next w:val="1"/>
    <w:link w:val="19"/>
    <w:qFormat/>
    <w:uiPriority w:val="0"/>
    <w:pPr>
      <w:keepNext/>
      <w:keepLines/>
      <w:spacing w:line="594" w:lineRule="exact"/>
      <w:ind w:firstLine="200"/>
      <w:outlineLvl w:val="1"/>
    </w:pPr>
    <w:rPr>
      <w:rFonts w:ascii="等线 Light" w:hAnsi="等线 Light" w:eastAsia="方正黑体_GBK" w:cs="Times New Roman"/>
      <w:bCs/>
      <w:szCs w:val="32"/>
    </w:rPr>
  </w:style>
  <w:style w:type="paragraph" w:styleId="4">
    <w:name w:val="heading 3"/>
    <w:basedOn w:val="1"/>
    <w:next w:val="1"/>
    <w:link w:val="20"/>
    <w:qFormat/>
    <w:uiPriority w:val="0"/>
    <w:pPr>
      <w:keepNext/>
      <w:keepLines/>
      <w:spacing w:line="594" w:lineRule="exact"/>
      <w:ind w:firstLine="200"/>
      <w:outlineLvl w:val="2"/>
    </w:pPr>
    <w:rPr>
      <w:rFonts w:eastAsia="方正楷体_GBK"/>
      <w:bCs/>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uto"/>
      <w:ind w:firstLine="420"/>
    </w:pPr>
    <w:rPr>
      <w:rFonts w:ascii="宋体" w:eastAsia="宋体"/>
      <w:sz w:val="28"/>
      <w:szCs w:val="24"/>
    </w:rPr>
  </w:style>
  <w:style w:type="paragraph" w:styleId="6">
    <w:name w:val="Document Map"/>
    <w:basedOn w:val="1"/>
    <w:link w:val="21"/>
    <w:semiHidden/>
    <w:qFormat/>
    <w:uiPriority w:val="0"/>
    <w:pPr>
      <w:shd w:val="clear" w:color="auto" w:fill="000080"/>
      <w:spacing w:line="240" w:lineRule="auto"/>
      <w:ind w:firstLine="0" w:firstLineChars="0"/>
    </w:pPr>
    <w:rPr>
      <w:rFonts w:ascii="宋体" w:eastAsia="宋体"/>
      <w:sz w:val="28"/>
      <w:szCs w:val="24"/>
    </w:rPr>
  </w:style>
  <w:style w:type="paragraph" w:styleId="7">
    <w:name w:val="Body Text Indent"/>
    <w:basedOn w:val="1"/>
    <w:link w:val="22"/>
    <w:qFormat/>
    <w:uiPriority w:val="0"/>
    <w:pPr>
      <w:spacing w:line="240" w:lineRule="auto"/>
      <w:ind w:firstLine="570" w:firstLineChars="0"/>
    </w:pPr>
    <w:rPr>
      <w:rFonts w:eastAsia="宋体"/>
      <w:color w:val="FF0000"/>
      <w:sz w:val="28"/>
      <w:szCs w:val="20"/>
    </w:rPr>
  </w:style>
  <w:style w:type="paragraph" w:styleId="8">
    <w:name w:val="Plain Text"/>
    <w:basedOn w:val="1"/>
    <w:link w:val="23"/>
    <w:qFormat/>
    <w:uiPriority w:val="0"/>
    <w:pPr>
      <w:spacing w:line="240" w:lineRule="auto"/>
      <w:ind w:firstLine="0" w:firstLineChars="0"/>
    </w:pPr>
    <w:rPr>
      <w:rFonts w:ascii="宋体" w:hAnsi="Courier New" w:eastAsia="宋体"/>
      <w:sz w:val="21"/>
      <w:szCs w:val="20"/>
    </w:rPr>
  </w:style>
  <w:style w:type="paragraph" w:styleId="9">
    <w:name w:val="Date"/>
    <w:basedOn w:val="1"/>
    <w:next w:val="1"/>
    <w:link w:val="24"/>
    <w:unhideWhenUsed/>
    <w:qFormat/>
    <w:uiPriority w:val="0"/>
    <w:pPr>
      <w:ind w:left="100" w:leftChars="2500"/>
    </w:pPr>
  </w:style>
  <w:style w:type="paragraph" w:styleId="10">
    <w:name w:val="Balloon Text"/>
    <w:basedOn w:val="1"/>
    <w:link w:val="25"/>
    <w:unhideWhenUsed/>
    <w:qFormat/>
    <w:uiPriority w:val="0"/>
    <w:pPr>
      <w:spacing w:line="240" w:lineRule="auto"/>
    </w:pPr>
    <w:rPr>
      <w:sz w:val="18"/>
      <w:szCs w:val="18"/>
    </w:rPr>
  </w:style>
  <w:style w:type="paragraph" w:styleId="11">
    <w:name w:val="footer"/>
    <w:basedOn w:val="1"/>
    <w:link w:val="26"/>
    <w:unhideWhenUsed/>
    <w:qFormat/>
    <w:uiPriority w:val="0"/>
    <w:pPr>
      <w:tabs>
        <w:tab w:val="center" w:pos="4153"/>
        <w:tab w:val="right" w:pos="8306"/>
      </w:tabs>
      <w:snapToGrid w:val="0"/>
      <w:spacing w:line="240" w:lineRule="auto"/>
      <w:ind w:firstLine="0" w:firstLineChars="0"/>
      <w:jc w:val="left"/>
    </w:pPr>
    <w:rPr>
      <w:rFonts w:ascii="等线" w:hAnsi="等线" w:eastAsia="等线" w:cs="Times New Roman"/>
      <w:sz w:val="18"/>
      <w:szCs w:val="18"/>
    </w:rPr>
  </w:style>
  <w:style w:type="paragraph" w:styleId="12">
    <w:name w:val="header"/>
    <w:basedOn w:val="1"/>
    <w:link w:val="27"/>
    <w:unhideWhenUsed/>
    <w:qFormat/>
    <w:uiPriority w:val="0"/>
    <w:pPr>
      <w:pBdr>
        <w:bottom w:val="single" w:color="auto" w:sz="6" w:space="1"/>
      </w:pBdr>
      <w:tabs>
        <w:tab w:val="center" w:pos="4153"/>
        <w:tab w:val="right" w:pos="8306"/>
      </w:tabs>
      <w:snapToGrid w:val="0"/>
      <w:spacing w:line="240" w:lineRule="auto"/>
      <w:ind w:firstLine="0" w:firstLineChars="0"/>
      <w:jc w:val="center"/>
    </w:pPr>
    <w:rPr>
      <w:rFonts w:ascii="等线" w:hAnsi="等线" w:eastAsia="等线" w:cs="Times New Roman"/>
      <w:sz w:val="18"/>
      <w:szCs w:val="18"/>
    </w:rPr>
  </w:style>
  <w:style w:type="paragraph" w:styleId="13">
    <w:name w:val="Body Text Indent 3"/>
    <w:basedOn w:val="1"/>
    <w:link w:val="28"/>
    <w:qFormat/>
    <w:uiPriority w:val="0"/>
    <w:pPr>
      <w:spacing w:after="120" w:line="240" w:lineRule="auto"/>
      <w:ind w:left="420" w:leftChars="200" w:firstLine="0" w:firstLineChars="0"/>
    </w:pPr>
    <w:rPr>
      <w:rFonts w:ascii="等线" w:hAnsi="等线" w:eastAsia="等线"/>
      <w:sz w:val="16"/>
      <w:szCs w:val="16"/>
    </w:rPr>
  </w:style>
  <w:style w:type="paragraph" w:styleId="1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7">
    <w:name w:val="page number"/>
    <w:qFormat/>
    <w:uiPriority w:val="0"/>
  </w:style>
  <w:style w:type="character" w:customStyle="1" w:styleId="18">
    <w:name w:val="标题 1 Char"/>
    <w:link w:val="2"/>
    <w:qFormat/>
    <w:uiPriority w:val="9"/>
    <w:rPr>
      <w:rFonts w:ascii="Times New Roman" w:hAnsi="Times New Roman" w:eastAsia="方正黑体_GBK"/>
      <w:bCs/>
      <w:kern w:val="44"/>
      <w:sz w:val="32"/>
      <w:szCs w:val="44"/>
    </w:rPr>
  </w:style>
  <w:style w:type="character" w:customStyle="1" w:styleId="19">
    <w:name w:val="标题 2 Char1"/>
    <w:link w:val="3"/>
    <w:qFormat/>
    <w:uiPriority w:val="9"/>
    <w:rPr>
      <w:rFonts w:ascii="等线 Light" w:hAnsi="等线 Light" w:eastAsia="方正黑体_GBK" w:cs="Times New Roman"/>
      <w:bCs/>
      <w:sz w:val="32"/>
      <w:szCs w:val="32"/>
    </w:rPr>
  </w:style>
  <w:style w:type="character" w:customStyle="1" w:styleId="20">
    <w:name w:val="标题 3 Char1"/>
    <w:link w:val="4"/>
    <w:qFormat/>
    <w:uiPriority w:val="9"/>
    <w:rPr>
      <w:rFonts w:ascii="Times New Roman" w:hAnsi="Times New Roman" w:eastAsia="方正楷体_GBK" w:cs="Times New Roman"/>
      <w:bCs/>
      <w:sz w:val="32"/>
      <w:szCs w:val="32"/>
    </w:rPr>
  </w:style>
  <w:style w:type="character" w:customStyle="1" w:styleId="21">
    <w:name w:val="文档结构图 Char"/>
    <w:link w:val="6"/>
    <w:semiHidden/>
    <w:qFormat/>
    <w:uiPriority w:val="0"/>
    <w:rPr>
      <w:rFonts w:ascii="宋体" w:hAnsi="Times New Roman" w:eastAsia="宋体"/>
      <w:kern w:val="2"/>
      <w:sz w:val="28"/>
      <w:szCs w:val="24"/>
      <w:shd w:val="clear" w:color="auto" w:fill="000080"/>
    </w:rPr>
  </w:style>
  <w:style w:type="character" w:customStyle="1" w:styleId="22">
    <w:name w:val="正文文本缩进 Char"/>
    <w:link w:val="7"/>
    <w:qFormat/>
    <w:uiPriority w:val="0"/>
    <w:rPr>
      <w:rFonts w:ascii="Times New Roman" w:hAnsi="Times New Roman" w:eastAsia="宋体"/>
      <w:color w:val="FF0000"/>
      <w:kern w:val="2"/>
      <w:sz w:val="28"/>
    </w:rPr>
  </w:style>
  <w:style w:type="character" w:customStyle="1" w:styleId="23">
    <w:name w:val="纯文本 Char"/>
    <w:link w:val="8"/>
    <w:qFormat/>
    <w:uiPriority w:val="0"/>
    <w:rPr>
      <w:rFonts w:ascii="宋体" w:hAnsi="Courier New" w:eastAsia="宋体"/>
      <w:kern w:val="2"/>
      <w:sz w:val="21"/>
    </w:rPr>
  </w:style>
  <w:style w:type="character" w:customStyle="1" w:styleId="24">
    <w:name w:val="日期 Char"/>
    <w:link w:val="9"/>
    <w:semiHidden/>
    <w:qFormat/>
    <w:uiPriority w:val="99"/>
    <w:rPr>
      <w:rFonts w:ascii="Times New Roman" w:hAnsi="Times New Roman" w:eastAsia="方正仿宋_GBK"/>
      <w:kern w:val="2"/>
      <w:sz w:val="32"/>
      <w:szCs w:val="21"/>
    </w:rPr>
  </w:style>
  <w:style w:type="character" w:customStyle="1" w:styleId="25">
    <w:name w:val="批注框文本 Char"/>
    <w:link w:val="10"/>
    <w:semiHidden/>
    <w:qFormat/>
    <w:uiPriority w:val="99"/>
    <w:rPr>
      <w:rFonts w:ascii="Times New Roman" w:hAnsi="Times New Roman" w:eastAsia="方正仿宋_GBK" w:cs="Times New Roman"/>
      <w:sz w:val="18"/>
      <w:szCs w:val="18"/>
    </w:rPr>
  </w:style>
  <w:style w:type="character" w:customStyle="1" w:styleId="26">
    <w:name w:val="页脚 Char"/>
    <w:link w:val="11"/>
    <w:qFormat/>
    <w:uiPriority w:val="99"/>
    <w:rPr>
      <w:sz w:val="18"/>
      <w:szCs w:val="18"/>
    </w:rPr>
  </w:style>
  <w:style w:type="character" w:customStyle="1" w:styleId="27">
    <w:name w:val="页眉 Char"/>
    <w:link w:val="12"/>
    <w:qFormat/>
    <w:uiPriority w:val="99"/>
    <w:rPr>
      <w:sz w:val="18"/>
      <w:szCs w:val="18"/>
    </w:rPr>
  </w:style>
  <w:style w:type="character" w:customStyle="1" w:styleId="28">
    <w:name w:val="正文文本缩进 3 Char"/>
    <w:link w:val="13"/>
    <w:qFormat/>
    <w:uiPriority w:val="0"/>
    <w:rPr>
      <w:kern w:val="2"/>
      <w:sz w:val="16"/>
      <w:szCs w:val="16"/>
    </w:rPr>
  </w:style>
  <w:style w:type="paragraph" w:customStyle="1" w:styleId="29">
    <w:name w:val="样式 样式 正文缩进 + (符号) 宋体 小四 首行缩进:  2 字符 行距: 固定值 22 磅1 + 首行缩进:  2 字符"/>
    <w:basedOn w:val="1"/>
    <w:qFormat/>
    <w:uiPriority w:val="0"/>
    <w:pPr>
      <w:spacing w:line="420" w:lineRule="exact"/>
      <w:ind w:firstLine="432"/>
    </w:pPr>
    <w:rPr>
      <w:rFonts w:ascii="宋体" w:hAnsi="宋体" w:eastAsia="宋体" w:cs="宋体"/>
      <w:sz w:val="24"/>
      <w:szCs w:val="24"/>
    </w:rPr>
  </w:style>
  <w:style w:type="paragraph" w:customStyle="1" w:styleId="30">
    <w:name w:val="样式5"/>
    <w:basedOn w:val="1"/>
    <w:qFormat/>
    <w:uiPriority w:val="99"/>
    <w:pPr>
      <w:autoSpaceDE w:val="0"/>
      <w:autoSpaceDN w:val="0"/>
      <w:adjustRightInd w:val="0"/>
      <w:spacing w:line="500" w:lineRule="exact"/>
      <w:ind w:firstLine="200"/>
      <w:jc w:val="left"/>
    </w:pPr>
    <w:rPr>
      <w:rFonts w:ascii="宋体" w:hAnsi="宋体" w:eastAsia="宋体"/>
      <w:sz w:val="24"/>
      <w:szCs w:val="22"/>
    </w:rPr>
  </w:style>
  <w:style w:type="paragraph" w:styleId="31">
    <w:name w:val="List Paragraph"/>
    <w:basedOn w:val="1"/>
    <w:qFormat/>
    <w:uiPriority w:val="34"/>
    <w:pPr>
      <w:ind w:firstLine="420"/>
    </w:pPr>
  </w:style>
  <w:style w:type="character" w:customStyle="1" w:styleId="32">
    <w:name w:val="正文文本_"/>
    <w:link w:val="33"/>
    <w:qFormat/>
    <w:uiPriority w:val="0"/>
    <w:rPr>
      <w:rFonts w:ascii="MingLiU" w:hAnsi="MingLiU" w:eastAsia="MingLiU" w:cs="MingLiU"/>
      <w:sz w:val="19"/>
      <w:szCs w:val="19"/>
      <w:shd w:val="clear" w:color="auto" w:fill="FFFFFF"/>
      <w:lang w:val="zh-CN" w:bidi="zh-CN"/>
    </w:rPr>
  </w:style>
  <w:style w:type="paragraph" w:customStyle="1" w:styleId="33">
    <w:name w:val="正文文本1"/>
    <w:basedOn w:val="1"/>
    <w:link w:val="32"/>
    <w:qFormat/>
    <w:uiPriority w:val="0"/>
    <w:pPr>
      <w:shd w:val="clear" w:color="auto" w:fill="FFFFFF"/>
      <w:spacing w:line="341" w:lineRule="auto"/>
      <w:ind w:firstLine="0" w:firstLineChars="0"/>
      <w:jc w:val="left"/>
    </w:pPr>
    <w:rPr>
      <w:rFonts w:ascii="MingLiU" w:hAnsi="MingLiU" w:eastAsia="MingLiU" w:cs="MingLiU"/>
      <w:sz w:val="19"/>
      <w:szCs w:val="19"/>
      <w:lang w:val="zh-CN" w:bidi="zh-CN"/>
    </w:rPr>
  </w:style>
  <w:style w:type="paragraph" w:customStyle="1" w:styleId="34">
    <w:name w:val="p0"/>
    <w:basedOn w:val="1"/>
    <w:qFormat/>
    <w:uiPriority w:val="0"/>
    <w:pPr>
      <w:widowControl/>
      <w:spacing w:line="240" w:lineRule="auto"/>
      <w:ind w:firstLine="0" w:firstLineChars="0"/>
    </w:pPr>
    <w:rPr>
      <w:rFonts w:eastAsia="宋体"/>
      <w:kern w:val="0"/>
      <w:sz w:val="21"/>
      <w:szCs w:val="20"/>
    </w:rPr>
  </w:style>
  <w:style w:type="paragraph" w:customStyle="1" w:styleId="35">
    <w:name w:val=" Char"/>
    <w:basedOn w:val="1"/>
    <w:qFormat/>
    <w:uiPriority w:val="0"/>
    <w:pPr>
      <w:spacing w:line="240" w:lineRule="auto"/>
      <w:ind w:firstLine="0" w:firstLineChars="0"/>
    </w:pPr>
    <w:rPr>
      <w:rFonts w:eastAsia="宋体"/>
      <w:sz w:val="24"/>
      <w:szCs w:val="24"/>
    </w:rPr>
  </w:style>
  <w:style w:type="paragraph" w:customStyle="1" w:styleId="36">
    <w:name w:val="样式 正文缩进 + (符号) 宋体 小四 首行缩进:  2 字符 行距: 固定值 22 磅1"/>
    <w:basedOn w:val="5"/>
    <w:qFormat/>
    <w:uiPriority w:val="0"/>
    <w:pPr>
      <w:widowControl/>
      <w:spacing w:line="540" w:lineRule="exact"/>
      <w:ind w:firstLine="480"/>
    </w:pPr>
    <w:rPr>
      <w:rFonts w:hAnsi="宋体" w:cs="宋体"/>
      <w:snapToGrid w:val="0"/>
      <w:color w:val="FF0000"/>
      <w:kern w:val="0"/>
      <w:sz w:val="24"/>
    </w:rPr>
  </w:style>
  <w:style w:type="paragraph" w:customStyle="1" w:styleId="37">
    <w:name w:val="Char Char1 Char Char Char Char Char Char Char"/>
    <w:basedOn w:val="1"/>
    <w:qFormat/>
    <w:uiPriority w:val="0"/>
    <w:pPr>
      <w:pageBreakBefore/>
      <w:spacing w:line="240" w:lineRule="auto"/>
      <w:ind w:firstLine="0" w:firstLineChars="0"/>
    </w:pPr>
    <w:rPr>
      <w:rFonts w:ascii="宋体" w:eastAsia="仿宋_GB2312" w:cs="宋体"/>
      <w:sz w:val="28"/>
      <w:szCs w:val="28"/>
    </w:rPr>
  </w:style>
  <w:style w:type="paragraph" w:customStyle="1" w:styleId="38">
    <w:name w:val="样式 样式16 + 首行缩进:  2 字符"/>
    <w:basedOn w:val="1"/>
    <w:qFormat/>
    <w:uiPriority w:val="0"/>
    <w:pPr>
      <w:adjustRightInd w:val="0"/>
      <w:snapToGrid w:val="0"/>
      <w:spacing w:line="355" w:lineRule="auto"/>
      <w:ind w:firstLine="560"/>
    </w:pPr>
    <w:rPr>
      <w:rFonts w:ascii="Calibri" w:hAnsi="宋体" w:eastAsia="仿宋_GB2312" w:cs="宋体"/>
      <w:sz w:val="28"/>
      <w:szCs w:val="20"/>
    </w:rPr>
  </w:style>
  <w:style w:type="character" w:customStyle="1" w:styleId="39">
    <w:name w:val="标题 2 Char"/>
    <w:qFormat/>
    <w:uiPriority w:val="0"/>
    <w:rPr>
      <w:rFonts w:ascii="宋体" w:hAnsi="宋体"/>
      <w:b/>
      <w:kern w:val="2"/>
      <w:sz w:val="28"/>
      <w:szCs w:val="28"/>
    </w:rPr>
  </w:style>
  <w:style w:type="character" w:customStyle="1" w:styleId="40">
    <w:name w:val="标题 3 Char"/>
    <w:qFormat/>
    <w:uiPriority w:val="0"/>
    <w:rPr>
      <w:rFonts w:ascii="宋体" w:hAnsi="宋体"/>
      <w:kern w:val="2"/>
      <w:sz w:val="28"/>
      <w:szCs w:val="28"/>
    </w:rPr>
  </w:style>
  <w:style w:type="paragraph" w:customStyle="1" w:styleId="41">
    <w:name w:val="报告正文"/>
    <w:basedOn w:val="1"/>
    <w:qFormat/>
    <w:uiPriority w:val="0"/>
    <w:pPr>
      <w:spacing w:line="240" w:lineRule="auto"/>
      <w:ind w:firstLine="560"/>
    </w:pPr>
    <w:rPr>
      <w:rFonts w:ascii="宋体" w:hAnsi="宋体" w:eastAsia="宋体"/>
      <w:sz w:val="28"/>
      <w:szCs w:val="28"/>
    </w:rPr>
  </w:style>
  <w:style w:type="paragraph" w:customStyle="1" w:styleId="42">
    <w:name w:val="样式1"/>
    <w:basedOn w:val="1"/>
    <w:qFormat/>
    <w:uiPriority w:val="0"/>
    <w:pPr>
      <w:spacing w:line="240" w:lineRule="auto"/>
      <w:ind w:firstLine="200"/>
    </w:pPr>
    <w:rPr>
      <w:rFonts w:eastAsia="宋体"/>
      <w:sz w:val="28"/>
      <w:szCs w:val="24"/>
    </w:rPr>
  </w:style>
  <w:style w:type="character" w:customStyle="1" w:styleId="43">
    <w:name w:val="正文文本缩进 3 Char1"/>
    <w:qFormat/>
    <w:uiPriority w:val="0"/>
    <w:rPr>
      <w:rFonts w:ascii="Times New Roman" w:hAnsi="Times New Roman" w:eastAsia="方正仿宋_GBK"/>
      <w:kern w:val="2"/>
      <w:sz w:val="16"/>
      <w:szCs w:val="16"/>
    </w:rPr>
  </w:style>
  <w:style w:type="character" w:customStyle="1" w:styleId="44">
    <w:name w:val="font41"/>
    <w:qFormat/>
    <w:uiPriority w:val="0"/>
    <w:rPr>
      <w:rFonts w:hint="eastAsia" w:ascii="宋体" w:hAnsi="宋体" w:eastAsia="宋体" w:cs="宋体"/>
      <w:color w:val="000000"/>
      <w:sz w:val="18"/>
      <w:szCs w:val="18"/>
      <w:u w:val="none"/>
    </w:rPr>
  </w:style>
  <w:style w:type="character" w:customStyle="1" w:styleId="45">
    <w:name w:val="font31"/>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1678</Words>
  <Characters>9571</Characters>
  <Lines>79</Lines>
  <Paragraphs>22</Paragraphs>
  <TotalTime>0</TotalTime>
  <ScaleCrop>false</ScaleCrop>
  <LinksUpToDate>false</LinksUpToDate>
  <CharactersWithSpaces>11227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2021-10-28T17:43:00Z</dcterms:created>
  <dc:creator>hp</dc:creator>
  <cp:lastModifiedBy>mominglu</cp:lastModifiedBy>
  <cp:lastPrinted>2022-10-30T00:39:00Z</cp:lastPrinted>
  <dcterms:modified xsi:type="dcterms:W3CDTF">2022-11-03T03:17:20Z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52054B7B479A480AB030D3B17EBE5DFE</vt:lpwstr>
  </property>
</Properties>
</file>